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 w:val="0"/>
          <w:bCs/>
        </w:rPr>
      </w:pPr>
      <w:r>
        <w:rPr>
          <w:rFonts w:hint="eastAsia" w:ascii="Times New Roman" w:hAnsi="Times New Roman" w:cs="Times New Roman"/>
          <w:b w:val="0"/>
          <w:bCs/>
        </w:rPr>
        <w:t>Table S</w:t>
      </w:r>
      <w:r>
        <w:rPr>
          <w:rFonts w:hint="eastAsia" w:ascii="Times New Roman" w:hAnsi="Times New Roman" w:cs="Times New Roman"/>
          <w:b w:val="0"/>
          <w:bCs/>
          <w:lang w:val="en-US" w:eastAsia="zh-CN"/>
        </w:rPr>
        <w:t xml:space="preserve">1 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/>
        </w:rPr>
        <w:t>T</w:t>
      </w:r>
      <w:r>
        <w:rPr>
          <w:rFonts w:ascii="Times New Roman" w:hAnsi="Times New Roman" w:cs="Times New Roman"/>
          <w:b w:val="0"/>
          <w:bCs/>
        </w:rPr>
        <w:t>he</w:t>
      </w:r>
      <w:r>
        <w:rPr>
          <w:rFonts w:hint="eastAsia" w:ascii="Times New Roman" w:hAnsi="Times New Roman" w:cs="Times New Roman"/>
          <w:b w:val="0"/>
          <w:bCs/>
        </w:rPr>
        <w:t xml:space="preserve"> size of </w:t>
      </w:r>
      <w:r>
        <w:rPr>
          <w:rFonts w:hint="eastAsia" w:ascii="Times New Roman" w:hAnsi="Times New Roman" w:cs="Times New Roman"/>
          <w:b w:val="0"/>
          <w:bCs/>
          <w:szCs w:val="21"/>
        </w:rPr>
        <w:t>a</w:t>
      </w:r>
      <w:r>
        <w:rPr>
          <w:rFonts w:ascii="Times New Roman" w:hAnsi="Times New Roman" w:cs="Times New Roman"/>
          <w:b w:val="0"/>
          <w:bCs/>
          <w:szCs w:val="21"/>
        </w:rPr>
        <w:t>daxial petal epidermal cells</w:t>
      </w:r>
      <w:r>
        <w:rPr>
          <w:rFonts w:hint="eastAsia" w:ascii="Times New Roman" w:hAnsi="Times New Roman" w:cs="Times New Roman"/>
          <w:b w:val="0"/>
          <w:bCs/>
          <w:szCs w:val="21"/>
        </w:rPr>
        <w:t>, a</w:t>
      </w:r>
      <w:r>
        <w:rPr>
          <w:rFonts w:ascii="Times New Roman" w:hAnsi="Times New Roman" w:cs="Times New Roman"/>
          <w:b w:val="0"/>
          <w:bCs/>
          <w:szCs w:val="21"/>
        </w:rPr>
        <w:t>baxial petal epidermal cells</w:t>
      </w:r>
      <w:r>
        <w:rPr>
          <w:rFonts w:hint="eastAsia" w:ascii="Times New Roman" w:hAnsi="Times New Roman" w:cs="Times New Roman"/>
          <w:b w:val="0"/>
          <w:bCs/>
          <w:szCs w:val="21"/>
        </w:rPr>
        <w:t>, and v</w:t>
      </w:r>
      <w:r>
        <w:rPr>
          <w:rFonts w:ascii="Times New Roman" w:hAnsi="Times New Roman" w:cs="Times New Roman"/>
          <w:b w:val="0"/>
          <w:bCs/>
          <w:szCs w:val="21"/>
        </w:rPr>
        <w:t>acuole</w:t>
      </w:r>
    </w:p>
    <w:tbl>
      <w:tblPr>
        <w:tblStyle w:val="5"/>
        <w:tblW w:w="8522" w:type="dxa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267"/>
        <w:gridCol w:w="2269"/>
        <w:gridCol w:w="2318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tcBorders>
              <w:top w:val="single" w:color="000000" w:themeColor="text1" w:sz="8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Developmental stages</w:t>
            </w:r>
          </w:p>
        </w:tc>
        <w:tc>
          <w:tcPr>
            <w:tcW w:w="4536" w:type="dxa"/>
            <w:gridSpan w:val="2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size (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318" w:type="dxa"/>
            <w:vMerge w:val="restart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Vacuole size (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  <w:tcBorders>
              <w:top w:val="nil"/>
              <w:bottom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7" w:type="dxa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Adaxial petal epidermal cells</w:t>
            </w:r>
          </w:p>
        </w:tc>
        <w:tc>
          <w:tcPr>
            <w:tcW w:w="2269" w:type="dxa"/>
            <w:tcBorders>
              <w:top w:val="single" w:color="000000" w:themeColor="text1" w:sz="8" w:space="0"/>
              <w:bottom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Abaxial petal epidermal cells</w:t>
            </w:r>
          </w:p>
        </w:tc>
        <w:tc>
          <w:tcPr>
            <w:tcW w:w="2318" w:type="dxa"/>
            <w:vMerge w:val="continue"/>
            <w:tcBorders>
              <w:top w:val="nil"/>
              <w:bottom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000000" w:themeColor="text1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2267" w:type="dxa"/>
            <w:tcBorders>
              <w:top w:val="single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226.42±35.55 c</w:t>
            </w:r>
          </w:p>
        </w:tc>
        <w:tc>
          <w:tcPr>
            <w:tcW w:w="2269" w:type="dxa"/>
            <w:tcBorders>
              <w:top w:val="single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239.70±25.94 c</w:t>
            </w:r>
          </w:p>
        </w:tc>
        <w:tc>
          <w:tcPr>
            <w:tcW w:w="2318" w:type="dxa"/>
            <w:tcBorders>
              <w:top w:val="single" w:color="000000" w:themeColor="text1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179.85±6.05 d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S2</w:t>
            </w:r>
          </w:p>
        </w:tc>
        <w:tc>
          <w:tcPr>
            <w:tcW w:w="226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311.41±34.22 bc</w:t>
            </w:r>
          </w:p>
        </w:tc>
        <w:tc>
          <w:tcPr>
            <w:tcW w:w="226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255.17±13.05 c</w:t>
            </w:r>
          </w:p>
        </w:tc>
        <w:tc>
          <w:tcPr>
            <w:tcW w:w="231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346.26±38.77 c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S3</w:t>
            </w:r>
          </w:p>
        </w:tc>
        <w:tc>
          <w:tcPr>
            <w:tcW w:w="226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457.12±43.91 ab</w:t>
            </w:r>
          </w:p>
        </w:tc>
        <w:tc>
          <w:tcPr>
            <w:tcW w:w="226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467.50±50.36 c</w:t>
            </w:r>
          </w:p>
        </w:tc>
        <w:tc>
          <w:tcPr>
            <w:tcW w:w="231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401.08±16.71 bc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S4</w:t>
            </w:r>
          </w:p>
        </w:tc>
        <w:tc>
          <w:tcPr>
            <w:tcW w:w="226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572.08±19.05 a</w:t>
            </w:r>
          </w:p>
        </w:tc>
        <w:tc>
          <w:tcPr>
            <w:tcW w:w="226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998.58±48.29 b</w:t>
            </w:r>
          </w:p>
        </w:tc>
        <w:tc>
          <w:tcPr>
            <w:tcW w:w="231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488.05±18.86 bc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S5</w:t>
            </w:r>
          </w:p>
        </w:tc>
        <w:tc>
          <w:tcPr>
            <w:tcW w:w="226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578.05±40.72 a</w:t>
            </w:r>
          </w:p>
        </w:tc>
        <w:tc>
          <w:tcPr>
            <w:tcW w:w="226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1376.50±85.43 a</w:t>
            </w:r>
          </w:p>
        </w:tc>
        <w:tc>
          <w:tcPr>
            <w:tcW w:w="231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508.90±57.15 b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S6</w:t>
            </w:r>
          </w:p>
        </w:tc>
        <w:tc>
          <w:tcPr>
            <w:tcW w:w="226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495.43±36.55 ab</w:t>
            </w:r>
          </w:p>
        </w:tc>
        <w:tc>
          <w:tcPr>
            <w:tcW w:w="2269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1012.22±103.48 b</w:t>
            </w:r>
          </w:p>
        </w:tc>
        <w:tc>
          <w:tcPr>
            <w:tcW w:w="231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694.47±22.53 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Note: </w:t>
      </w:r>
      <w:r>
        <w:rPr>
          <w:rFonts w:ascii="Times New Roman" w:hAnsi="Times New Roman" w:cs="Times New Roman"/>
          <w:szCs w:val="21"/>
        </w:rPr>
        <w:t>Values are presented as the mean ± SE. Letters indicate significant differences between the respective values (p &lt; 0.05)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946477"/>
    <w:rsid w:val="001042CA"/>
    <w:rsid w:val="001B1819"/>
    <w:rsid w:val="008033FA"/>
    <w:rsid w:val="0080619C"/>
    <w:rsid w:val="00946477"/>
    <w:rsid w:val="009D67F2"/>
    <w:rsid w:val="00C31085"/>
    <w:rsid w:val="00DB2B51"/>
    <w:rsid w:val="00E62702"/>
    <w:rsid w:val="00FA5ACB"/>
    <w:rsid w:val="0BEC3DA7"/>
    <w:rsid w:val="1CA554F1"/>
    <w:rsid w:val="2781656C"/>
    <w:rsid w:val="5592667B"/>
    <w:rsid w:val="5F4D06BF"/>
    <w:rsid w:val="5FDF639C"/>
    <w:rsid w:val="7A424F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98</Words>
  <Characters>559</Characters>
  <Lines>4</Lines>
  <Paragraphs>1</Paragraphs>
  <TotalTime>0</TotalTime>
  <ScaleCrop>false</ScaleCrop>
  <LinksUpToDate>false</LinksUpToDate>
  <CharactersWithSpaces>656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2018-02-03T12:48:00Z</dcterms:created>
  <dc:creator>JIANXIN FU</dc:creator>
  <cp:lastModifiedBy>*宾宾*</cp:lastModifiedBy>
  <dcterms:modified xsi:type="dcterms:W3CDTF">2019-05-19T00:02:04Z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