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99F06" w14:textId="7EF6A58F" w:rsidR="008621C8" w:rsidRPr="00442F1A" w:rsidRDefault="00712023" w:rsidP="00CD5BE2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r w:rsidRPr="00442F1A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165FC6">
        <w:rPr>
          <w:rFonts w:ascii="Times New Roman" w:hAnsi="Times New Roman" w:cs="Times New Roman"/>
          <w:b/>
          <w:bCs/>
          <w:sz w:val="20"/>
          <w:szCs w:val="20"/>
        </w:rPr>
        <w:t>S10</w:t>
      </w:r>
      <w:r w:rsidRPr="00442F1A">
        <w:rPr>
          <w:rFonts w:ascii="Times New Roman" w:hAnsi="Times New Roman" w:cs="Times New Roman"/>
          <w:b/>
          <w:bCs/>
          <w:sz w:val="20"/>
          <w:szCs w:val="20"/>
        </w:rPr>
        <w:t>. Certainty of evidence and summary effect estimates assessed by GRADE (grading of recommendations, assessment, development, and evaluation) of the study outcomes.</w:t>
      </w:r>
    </w:p>
    <w:p w14:paraId="0F2E0989" w14:textId="192B9576" w:rsidR="00712023" w:rsidRPr="00442F1A" w:rsidRDefault="00154F62" w:rsidP="00000856">
      <w:pPr>
        <w:pStyle w:val="a3"/>
        <w:numPr>
          <w:ilvl w:val="0"/>
          <w:numId w:val="1"/>
        </w:numPr>
        <w:spacing w:afterLines="50" w:after="156"/>
        <w:ind w:left="357" w:firstLineChars="0" w:hanging="357"/>
        <w:rPr>
          <w:rFonts w:ascii="Times New Roman" w:hAnsi="Times New Roman" w:cs="Times New Roman"/>
          <w:sz w:val="20"/>
          <w:szCs w:val="20"/>
        </w:rPr>
      </w:pPr>
      <w:bookmarkStart w:id="0" w:name="_Hlk118830314"/>
      <w:r w:rsidRPr="00442F1A">
        <w:rPr>
          <w:rFonts w:ascii="Times New Roman" w:hAnsi="Times New Roman" w:cs="Times New Roman"/>
          <w:sz w:val="20"/>
          <w:szCs w:val="20"/>
        </w:rPr>
        <w:t>Meta-analysis of observational studies assessing serological response after vaccine.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4"/>
        <w:gridCol w:w="1715"/>
        <w:gridCol w:w="1491"/>
        <w:gridCol w:w="1493"/>
        <w:gridCol w:w="1493"/>
        <w:gridCol w:w="1493"/>
        <w:gridCol w:w="1493"/>
        <w:gridCol w:w="1493"/>
        <w:gridCol w:w="1493"/>
      </w:tblGrid>
      <w:tr w:rsidR="00154F62" w:rsidRPr="00442F1A" w14:paraId="20DA7B6E" w14:textId="79D2D48E" w:rsidTr="00984A87">
        <w:tc>
          <w:tcPr>
            <w:tcW w:w="1784" w:type="dxa"/>
            <w:vMerge w:val="restart"/>
          </w:tcPr>
          <w:bookmarkEnd w:id="0"/>
          <w:p w14:paraId="411D45BF" w14:textId="2A590FE4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Outcomes</w:t>
            </w:r>
          </w:p>
        </w:tc>
        <w:tc>
          <w:tcPr>
            <w:tcW w:w="1715" w:type="dxa"/>
            <w:vMerge w:val="restart"/>
          </w:tcPr>
          <w:p w14:paraId="1B0974A6" w14:textId="01C527FF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Starting level of evidence</w:t>
            </w:r>
          </w:p>
        </w:tc>
        <w:tc>
          <w:tcPr>
            <w:tcW w:w="7463" w:type="dxa"/>
            <w:gridSpan w:val="5"/>
          </w:tcPr>
          <w:p w14:paraId="21143FA6" w14:textId="660ED7D0" w:rsidR="00154F62" w:rsidRPr="00442F1A" w:rsidRDefault="00154F62" w:rsidP="009761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Quality assessment</w:t>
            </w:r>
            <w:r w:rsidR="00965F7C" w:rsidRPr="00442F1A">
              <w:rPr>
                <w:rFonts w:ascii="Times New Roman" w:hAnsi="Times New Roman" w:cs="Times New Roman"/>
                <w:sz w:val="20"/>
                <w:szCs w:val="20"/>
              </w:rPr>
              <w:t>$</w:t>
            </w:r>
          </w:p>
        </w:tc>
        <w:tc>
          <w:tcPr>
            <w:tcW w:w="1493" w:type="dxa"/>
            <w:vMerge w:val="restart"/>
          </w:tcPr>
          <w:p w14:paraId="59CDCE9C" w14:textId="67529FA9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Reasons to increase level of evidence</w:t>
            </w:r>
            <w:r w:rsidR="00067DAB" w:rsidRPr="00442F1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93" w:type="dxa"/>
            <w:vMerge w:val="restart"/>
          </w:tcPr>
          <w:p w14:paraId="283146B2" w14:textId="36B1D4DE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Overall quality of evidence</w:t>
            </w:r>
          </w:p>
        </w:tc>
      </w:tr>
      <w:tr w:rsidR="00154F62" w:rsidRPr="00442F1A" w14:paraId="0C5C8C79" w14:textId="0571DEED" w:rsidTr="00984A87">
        <w:tc>
          <w:tcPr>
            <w:tcW w:w="1784" w:type="dxa"/>
            <w:vMerge/>
          </w:tcPr>
          <w:p w14:paraId="78BDE04F" w14:textId="77777777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5" w:type="dxa"/>
            <w:vMerge/>
          </w:tcPr>
          <w:p w14:paraId="27531D21" w14:textId="77777777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1" w:type="dxa"/>
          </w:tcPr>
          <w:p w14:paraId="3A913A27" w14:textId="007A3678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Risk of bias</w:t>
            </w:r>
          </w:p>
        </w:tc>
        <w:tc>
          <w:tcPr>
            <w:tcW w:w="1493" w:type="dxa"/>
          </w:tcPr>
          <w:p w14:paraId="7070C8BA" w14:textId="12646EC8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154F62" w:rsidRPr="00442F1A">
              <w:rPr>
                <w:rFonts w:ascii="Times New Roman" w:hAnsi="Times New Roman" w:cs="Times New Roman"/>
                <w:sz w:val="20"/>
                <w:szCs w:val="20"/>
              </w:rPr>
              <w:t>nconsistency</w:t>
            </w:r>
          </w:p>
        </w:tc>
        <w:tc>
          <w:tcPr>
            <w:tcW w:w="1493" w:type="dxa"/>
          </w:tcPr>
          <w:p w14:paraId="31D16A41" w14:textId="75957641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154F62" w:rsidRPr="00442F1A">
              <w:rPr>
                <w:rFonts w:ascii="Times New Roman" w:hAnsi="Times New Roman" w:cs="Times New Roman"/>
                <w:sz w:val="20"/>
                <w:szCs w:val="20"/>
              </w:rPr>
              <w:t>ndirectness</w:t>
            </w:r>
          </w:p>
        </w:tc>
        <w:tc>
          <w:tcPr>
            <w:tcW w:w="1493" w:type="dxa"/>
          </w:tcPr>
          <w:p w14:paraId="49E5FBA1" w14:textId="130E8C94" w:rsidR="00154F62" w:rsidRPr="00442F1A" w:rsidRDefault="00A62D24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154F62" w:rsidRPr="00442F1A">
              <w:rPr>
                <w:rFonts w:ascii="Times New Roman" w:hAnsi="Times New Roman" w:cs="Times New Roman"/>
                <w:sz w:val="20"/>
                <w:szCs w:val="20"/>
              </w:rPr>
              <w:t>mpression</w:t>
            </w:r>
          </w:p>
        </w:tc>
        <w:tc>
          <w:tcPr>
            <w:tcW w:w="1493" w:type="dxa"/>
          </w:tcPr>
          <w:p w14:paraId="16F33C49" w14:textId="1328C56C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Publication bias</w:t>
            </w:r>
          </w:p>
        </w:tc>
        <w:tc>
          <w:tcPr>
            <w:tcW w:w="1493" w:type="dxa"/>
            <w:vMerge/>
          </w:tcPr>
          <w:p w14:paraId="7F21D148" w14:textId="77777777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vMerge/>
          </w:tcPr>
          <w:p w14:paraId="7C81EFC7" w14:textId="77777777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4F62" w:rsidRPr="00442F1A" w14:paraId="3084C72D" w14:textId="1FD8A2A6" w:rsidTr="00984A87">
        <w:tc>
          <w:tcPr>
            <w:tcW w:w="1784" w:type="dxa"/>
          </w:tcPr>
          <w:p w14:paraId="5585AA2A" w14:textId="004181D7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Overall serological response after incomplete vaccination</w:t>
            </w:r>
          </w:p>
        </w:tc>
        <w:tc>
          <w:tcPr>
            <w:tcW w:w="1715" w:type="dxa"/>
          </w:tcPr>
          <w:p w14:paraId="03DDED8B" w14:textId="5D5B9D2D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067DAB" w:rsidRPr="00442F1A">
              <w:rPr>
                <w:rFonts w:ascii="Times New Roman" w:hAnsi="Times New Roman" w:cs="Times New Roman"/>
                <w:sz w:val="20"/>
                <w:szCs w:val="20"/>
              </w:rPr>
              <w:t>ow</w:t>
            </w:r>
          </w:p>
        </w:tc>
        <w:tc>
          <w:tcPr>
            <w:tcW w:w="1491" w:type="dxa"/>
          </w:tcPr>
          <w:p w14:paraId="73EEB0A1" w14:textId="71AFC9A7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26FB071A" w14:textId="4AA65DAD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074C389B" w14:textId="4AC26049" w:rsidR="00154F62" w:rsidRPr="00442F1A" w:rsidRDefault="002C273A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267FA0" w:rsidRPr="00442F1A">
              <w:rPr>
                <w:rFonts w:ascii="Times New Roman" w:hAnsi="Times New Roman" w:cs="Times New Roman"/>
                <w:sz w:val="20"/>
                <w:szCs w:val="20"/>
              </w:rPr>
              <w:t>ot serious</w:t>
            </w:r>
          </w:p>
        </w:tc>
        <w:tc>
          <w:tcPr>
            <w:tcW w:w="1493" w:type="dxa"/>
          </w:tcPr>
          <w:p w14:paraId="122442B7" w14:textId="27188711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142026FF" w14:textId="30BC893D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32E87258" w14:textId="57919E4F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Dose-response gradient</w:t>
            </w:r>
          </w:p>
        </w:tc>
        <w:tc>
          <w:tcPr>
            <w:tcW w:w="1493" w:type="dxa"/>
          </w:tcPr>
          <w:p w14:paraId="54E48FCC" w14:textId="71326AF4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154F62" w:rsidRPr="00442F1A" w14:paraId="2A50B115" w14:textId="5F6D689D" w:rsidTr="00984A87">
        <w:tc>
          <w:tcPr>
            <w:tcW w:w="1784" w:type="dxa"/>
          </w:tcPr>
          <w:p w14:paraId="70D9C836" w14:textId="7F8B693F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Overall serological response after full vaccination</w:t>
            </w:r>
          </w:p>
        </w:tc>
        <w:tc>
          <w:tcPr>
            <w:tcW w:w="1715" w:type="dxa"/>
          </w:tcPr>
          <w:p w14:paraId="6DE2A8AA" w14:textId="700ED846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067DAB" w:rsidRPr="00442F1A">
              <w:rPr>
                <w:rFonts w:ascii="Times New Roman" w:hAnsi="Times New Roman" w:cs="Times New Roman"/>
                <w:sz w:val="20"/>
                <w:szCs w:val="20"/>
              </w:rPr>
              <w:t>ow</w:t>
            </w:r>
          </w:p>
        </w:tc>
        <w:tc>
          <w:tcPr>
            <w:tcW w:w="1491" w:type="dxa"/>
          </w:tcPr>
          <w:p w14:paraId="2B6D7513" w14:textId="7AB8F355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2131225C" w14:textId="245C0A01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74FFEFB2" w14:textId="6CF0C893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199B7C6C" w14:textId="2D26EFDF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7D00FF57" w14:textId="79F8813B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72E7C646" w14:textId="4165871E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Dose-response gradient</w:t>
            </w:r>
          </w:p>
        </w:tc>
        <w:tc>
          <w:tcPr>
            <w:tcW w:w="1493" w:type="dxa"/>
          </w:tcPr>
          <w:p w14:paraId="03533145" w14:textId="3C61807E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154F62" w:rsidRPr="00442F1A" w14:paraId="3F08CAE6" w14:textId="2995DC90" w:rsidTr="00984A87">
        <w:tc>
          <w:tcPr>
            <w:tcW w:w="1784" w:type="dxa"/>
          </w:tcPr>
          <w:p w14:paraId="74A62B7F" w14:textId="26111610" w:rsidR="00154F62" w:rsidRPr="00442F1A" w:rsidRDefault="00154F62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Overall serological response after booster vaccination</w:t>
            </w:r>
          </w:p>
        </w:tc>
        <w:tc>
          <w:tcPr>
            <w:tcW w:w="1715" w:type="dxa"/>
          </w:tcPr>
          <w:p w14:paraId="25DFA22C" w14:textId="07CB6012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067DAB" w:rsidRPr="00442F1A">
              <w:rPr>
                <w:rFonts w:ascii="Times New Roman" w:hAnsi="Times New Roman" w:cs="Times New Roman"/>
                <w:sz w:val="20"/>
                <w:szCs w:val="20"/>
              </w:rPr>
              <w:t>ow</w:t>
            </w:r>
          </w:p>
        </w:tc>
        <w:tc>
          <w:tcPr>
            <w:tcW w:w="1491" w:type="dxa"/>
          </w:tcPr>
          <w:p w14:paraId="0F5D2F5B" w14:textId="56F21C62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04EE6079" w14:textId="5CE8E046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47F7AE17" w14:textId="6C4BA5DD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03DE81AD" w14:textId="49CCF6BB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0A216ABF" w14:textId="57225107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7E38D976" w14:textId="084FEDB3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Dose-response gradient</w:t>
            </w:r>
          </w:p>
        </w:tc>
        <w:tc>
          <w:tcPr>
            <w:tcW w:w="1493" w:type="dxa"/>
          </w:tcPr>
          <w:p w14:paraId="753B5881" w14:textId="3171EE0C" w:rsidR="00154F62" w:rsidRPr="00442F1A" w:rsidRDefault="00267FA0" w:rsidP="00154F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</w:tbl>
    <w:p w14:paraId="1A5ACF6A" w14:textId="5D565C1C" w:rsidR="00154F62" w:rsidRPr="00442F1A" w:rsidRDefault="00965F7C" w:rsidP="00154F62">
      <w:pPr>
        <w:rPr>
          <w:rFonts w:ascii="Times New Roman" w:hAnsi="Times New Roman" w:cs="Times New Roman"/>
          <w:sz w:val="20"/>
          <w:szCs w:val="20"/>
        </w:rPr>
      </w:pPr>
      <w:r w:rsidRPr="00442F1A">
        <w:rPr>
          <w:rFonts w:ascii="Times New Roman" w:hAnsi="Times New Roman" w:cs="Times New Roman"/>
          <w:sz w:val="20"/>
          <w:szCs w:val="20"/>
        </w:rPr>
        <w:t>$ Quality assessment</w:t>
      </w:r>
      <w:r w:rsidR="00067DAB" w:rsidRPr="00442F1A">
        <w:rPr>
          <w:rFonts w:ascii="Times New Roman" w:hAnsi="Times New Roman" w:cs="Times New Roman"/>
          <w:sz w:val="20"/>
          <w:szCs w:val="20"/>
        </w:rPr>
        <w:t xml:space="preserve"> to decrease level of evidence include risk of bias (≥25% of contributing studies were assessed as serious risk of bias), inconsistency (substantial between study heterogeneity, I</w:t>
      </w:r>
      <w:r w:rsidR="00067DAB" w:rsidRPr="00442F1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067DAB" w:rsidRPr="00442F1A">
        <w:rPr>
          <w:rFonts w:ascii="Times New Roman" w:hAnsi="Times New Roman" w:cs="Times New Roman"/>
          <w:sz w:val="20"/>
          <w:szCs w:val="20"/>
        </w:rPr>
        <w:t xml:space="preserve"> ≥ 50%), indirectness (presence of factors </w:t>
      </w:r>
      <w:r w:rsidRPr="00442F1A">
        <w:rPr>
          <w:rFonts w:ascii="Times New Roman" w:hAnsi="Times New Roman" w:cs="Times New Roman"/>
          <w:sz w:val="20"/>
          <w:szCs w:val="20"/>
        </w:rPr>
        <w:t>limiting generalizability of results</w:t>
      </w:r>
      <w:r w:rsidR="00067DAB" w:rsidRPr="00442F1A">
        <w:rPr>
          <w:rFonts w:ascii="Times New Roman" w:hAnsi="Times New Roman" w:cs="Times New Roman"/>
          <w:sz w:val="20"/>
          <w:szCs w:val="20"/>
        </w:rPr>
        <w:t>)</w:t>
      </w:r>
      <w:r w:rsidRPr="00442F1A">
        <w:rPr>
          <w:rFonts w:ascii="Times New Roman" w:hAnsi="Times New Roman" w:cs="Times New Roman"/>
          <w:sz w:val="20"/>
          <w:szCs w:val="20"/>
        </w:rPr>
        <w:t xml:space="preserve">, impression (95% confidence intervals for risk estimates are wide </w:t>
      </w:r>
      <w:r w:rsidR="00267FA0" w:rsidRPr="00442F1A">
        <w:rPr>
          <w:rFonts w:ascii="Times New Roman" w:hAnsi="Times New Roman" w:cs="Times New Roman"/>
          <w:sz w:val="20"/>
          <w:szCs w:val="20"/>
        </w:rPr>
        <w:t>above 10%</w:t>
      </w:r>
      <w:r w:rsidR="00A62D24" w:rsidRPr="00442F1A">
        <w:rPr>
          <w:rFonts w:ascii="Times New Roman" w:hAnsi="Times New Roman" w:cs="Times New Roman"/>
          <w:sz w:val="20"/>
          <w:szCs w:val="20"/>
        </w:rPr>
        <w:t xml:space="preserve"> for outcomes</w:t>
      </w:r>
      <w:r w:rsidRPr="00442F1A">
        <w:rPr>
          <w:rFonts w:ascii="Times New Roman" w:hAnsi="Times New Roman" w:cs="Times New Roman"/>
          <w:sz w:val="20"/>
          <w:szCs w:val="20"/>
        </w:rPr>
        <w:t>), and publication bias (evidence of small study effects).</w:t>
      </w:r>
    </w:p>
    <w:p w14:paraId="00999DC5" w14:textId="77777777" w:rsidR="00965F7C" w:rsidRPr="00442F1A" w:rsidRDefault="00965F7C" w:rsidP="00965F7C">
      <w:pPr>
        <w:rPr>
          <w:rFonts w:ascii="Times New Roman" w:hAnsi="Times New Roman" w:cs="Times New Roman"/>
          <w:sz w:val="20"/>
          <w:szCs w:val="20"/>
        </w:rPr>
      </w:pPr>
      <w:r w:rsidRPr="00442F1A">
        <w:rPr>
          <w:rFonts w:ascii="Times New Roman" w:hAnsi="Times New Roman" w:cs="Times New Roman"/>
          <w:sz w:val="20"/>
          <w:szCs w:val="20"/>
        </w:rPr>
        <w:t>*Reasons to increase level of evidence include large magnitude of effect (risk estimates less than 0.5), dose-response gradient or attenuation of the pooled risk estimates by plausible confounders.</w:t>
      </w:r>
    </w:p>
    <w:p w14:paraId="619588EA" w14:textId="024A6B5B" w:rsidR="00165FC6" w:rsidRDefault="00165FC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C052AAB" w14:textId="77777777" w:rsidR="00154F62" w:rsidRPr="00442F1A" w:rsidRDefault="00154F62" w:rsidP="00154F62">
      <w:pPr>
        <w:rPr>
          <w:rFonts w:ascii="Times New Roman" w:hAnsi="Times New Roman" w:cs="Times New Roman"/>
          <w:sz w:val="20"/>
          <w:szCs w:val="20"/>
        </w:rPr>
      </w:pPr>
    </w:p>
    <w:p w14:paraId="7506B6EE" w14:textId="51D4E5A7" w:rsidR="00965F7C" w:rsidRPr="00442F1A" w:rsidRDefault="00965F7C" w:rsidP="00984A87">
      <w:pPr>
        <w:pStyle w:val="a3"/>
        <w:numPr>
          <w:ilvl w:val="0"/>
          <w:numId w:val="1"/>
        </w:numPr>
        <w:spacing w:afterLines="50" w:after="156"/>
        <w:ind w:left="357" w:firstLineChars="0" w:hanging="357"/>
        <w:rPr>
          <w:rFonts w:ascii="Times New Roman" w:hAnsi="Times New Roman" w:cs="Times New Roman"/>
          <w:sz w:val="20"/>
          <w:szCs w:val="20"/>
        </w:rPr>
      </w:pPr>
      <w:r w:rsidRPr="00442F1A">
        <w:rPr>
          <w:rFonts w:ascii="Times New Roman" w:hAnsi="Times New Roman" w:cs="Times New Roman"/>
          <w:sz w:val="20"/>
          <w:szCs w:val="20"/>
        </w:rPr>
        <w:t>Meta-analysis of observational studies comparing serological response after vaccine to control.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4"/>
        <w:gridCol w:w="1715"/>
        <w:gridCol w:w="1491"/>
        <w:gridCol w:w="1493"/>
        <w:gridCol w:w="1493"/>
        <w:gridCol w:w="1493"/>
        <w:gridCol w:w="1493"/>
        <w:gridCol w:w="1493"/>
        <w:gridCol w:w="1493"/>
      </w:tblGrid>
      <w:tr w:rsidR="00965F7C" w:rsidRPr="00442F1A" w14:paraId="14C9B8EF" w14:textId="77777777" w:rsidTr="00984A87">
        <w:tc>
          <w:tcPr>
            <w:tcW w:w="1784" w:type="dxa"/>
            <w:vMerge w:val="restart"/>
          </w:tcPr>
          <w:p w14:paraId="1DA4B99B" w14:textId="77777777" w:rsidR="00965F7C" w:rsidRPr="00442F1A" w:rsidRDefault="00965F7C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Outcomes</w:t>
            </w:r>
          </w:p>
        </w:tc>
        <w:tc>
          <w:tcPr>
            <w:tcW w:w="1715" w:type="dxa"/>
            <w:vMerge w:val="restart"/>
          </w:tcPr>
          <w:p w14:paraId="53712D93" w14:textId="77777777" w:rsidR="00965F7C" w:rsidRPr="00442F1A" w:rsidRDefault="00965F7C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Starting level of evidence</w:t>
            </w:r>
          </w:p>
        </w:tc>
        <w:tc>
          <w:tcPr>
            <w:tcW w:w="7463" w:type="dxa"/>
            <w:gridSpan w:val="5"/>
          </w:tcPr>
          <w:p w14:paraId="37EE3812" w14:textId="77777777" w:rsidR="00965F7C" w:rsidRPr="00442F1A" w:rsidRDefault="00965F7C" w:rsidP="009761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Quality assessment$</w:t>
            </w:r>
          </w:p>
        </w:tc>
        <w:tc>
          <w:tcPr>
            <w:tcW w:w="1493" w:type="dxa"/>
            <w:vMerge w:val="restart"/>
          </w:tcPr>
          <w:p w14:paraId="48E9D1F2" w14:textId="77777777" w:rsidR="00965F7C" w:rsidRPr="00442F1A" w:rsidRDefault="00965F7C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Reasons to increase level of evidence*</w:t>
            </w:r>
          </w:p>
        </w:tc>
        <w:tc>
          <w:tcPr>
            <w:tcW w:w="1493" w:type="dxa"/>
            <w:vMerge w:val="restart"/>
          </w:tcPr>
          <w:p w14:paraId="4D280EB9" w14:textId="77777777" w:rsidR="00965F7C" w:rsidRPr="00442F1A" w:rsidRDefault="00965F7C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Overall quality of evidence</w:t>
            </w:r>
          </w:p>
        </w:tc>
      </w:tr>
      <w:tr w:rsidR="00965F7C" w:rsidRPr="00442F1A" w14:paraId="3B949C3E" w14:textId="77777777" w:rsidTr="00984A87">
        <w:tc>
          <w:tcPr>
            <w:tcW w:w="1784" w:type="dxa"/>
            <w:vMerge/>
          </w:tcPr>
          <w:p w14:paraId="19C8679E" w14:textId="77777777" w:rsidR="00965F7C" w:rsidRPr="00442F1A" w:rsidRDefault="00965F7C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5" w:type="dxa"/>
            <w:vMerge/>
          </w:tcPr>
          <w:p w14:paraId="383BD41E" w14:textId="77777777" w:rsidR="00965F7C" w:rsidRPr="00442F1A" w:rsidRDefault="00965F7C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1" w:type="dxa"/>
          </w:tcPr>
          <w:p w14:paraId="6A4553D2" w14:textId="77777777" w:rsidR="00965F7C" w:rsidRPr="00442F1A" w:rsidRDefault="00965F7C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Risk of bias</w:t>
            </w:r>
          </w:p>
        </w:tc>
        <w:tc>
          <w:tcPr>
            <w:tcW w:w="1493" w:type="dxa"/>
          </w:tcPr>
          <w:p w14:paraId="00AD7FBA" w14:textId="4ECFA416" w:rsidR="00965F7C" w:rsidRPr="00442F1A" w:rsidRDefault="00A62D24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965F7C" w:rsidRPr="00442F1A">
              <w:rPr>
                <w:rFonts w:ascii="Times New Roman" w:hAnsi="Times New Roman" w:cs="Times New Roman"/>
                <w:sz w:val="20"/>
                <w:szCs w:val="20"/>
              </w:rPr>
              <w:t>nconsistency</w:t>
            </w:r>
          </w:p>
        </w:tc>
        <w:tc>
          <w:tcPr>
            <w:tcW w:w="1493" w:type="dxa"/>
          </w:tcPr>
          <w:p w14:paraId="1B09AD48" w14:textId="617291B8" w:rsidR="00965F7C" w:rsidRPr="00442F1A" w:rsidRDefault="00A62D24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965F7C" w:rsidRPr="00442F1A">
              <w:rPr>
                <w:rFonts w:ascii="Times New Roman" w:hAnsi="Times New Roman" w:cs="Times New Roman"/>
                <w:sz w:val="20"/>
                <w:szCs w:val="20"/>
              </w:rPr>
              <w:t>ndirectness</w:t>
            </w:r>
          </w:p>
        </w:tc>
        <w:tc>
          <w:tcPr>
            <w:tcW w:w="1493" w:type="dxa"/>
          </w:tcPr>
          <w:p w14:paraId="5D496B29" w14:textId="40A29774" w:rsidR="00965F7C" w:rsidRPr="00442F1A" w:rsidRDefault="00A62D24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965F7C" w:rsidRPr="00442F1A">
              <w:rPr>
                <w:rFonts w:ascii="Times New Roman" w:hAnsi="Times New Roman" w:cs="Times New Roman"/>
                <w:sz w:val="20"/>
                <w:szCs w:val="20"/>
              </w:rPr>
              <w:t>mpression</w:t>
            </w:r>
          </w:p>
        </w:tc>
        <w:tc>
          <w:tcPr>
            <w:tcW w:w="1493" w:type="dxa"/>
          </w:tcPr>
          <w:p w14:paraId="64A0FE96" w14:textId="77777777" w:rsidR="00965F7C" w:rsidRPr="00442F1A" w:rsidRDefault="00965F7C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Publication bias</w:t>
            </w:r>
          </w:p>
        </w:tc>
        <w:tc>
          <w:tcPr>
            <w:tcW w:w="1493" w:type="dxa"/>
            <w:vMerge/>
          </w:tcPr>
          <w:p w14:paraId="0F53BE3A" w14:textId="77777777" w:rsidR="00965F7C" w:rsidRPr="00442F1A" w:rsidRDefault="00965F7C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vMerge/>
          </w:tcPr>
          <w:p w14:paraId="1AB5629B" w14:textId="77777777" w:rsidR="00965F7C" w:rsidRPr="00442F1A" w:rsidRDefault="00965F7C" w:rsidP="00265E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7FA0" w:rsidRPr="00442F1A" w14:paraId="658CB1F4" w14:textId="77777777" w:rsidTr="00984A87">
        <w:tc>
          <w:tcPr>
            <w:tcW w:w="1784" w:type="dxa"/>
          </w:tcPr>
          <w:p w14:paraId="4F3AB863" w14:textId="77777777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Overall serological response after incomplete vaccination</w:t>
            </w:r>
          </w:p>
        </w:tc>
        <w:tc>
          <w:tcPr>
            <w:tcW w:w="1715" w:type="dxa"/>
          </w:tcPr>
          <w:p w14:paraId="1AC07AD8" w14:textId="20C3BC22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491" w:type="dxa"/>
          </w:tcPr>
          <w:p w14:paraId="653571E1" w14:textId="34A11D7A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4E5EB488" w14:textId="23F4AA1D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22409F8C" w14:textId="7C2ED760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2435850B" w14:textId="2C096A99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343DBFE7" w14:textId="4F8DFF9F" w:rsidR="00267FA0" w:rsidRPr="00442F1A" w:rsidRDefault="006C3474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267FA0" w:rsidRPr="00442F1A">
              <w:rPr>
                <w:rFonts w:ascii="Times New Roman" w:hAnsi="Times New Roman" w:cs="Times New Roman"/>
                <w:sz w:val="20"/>
                <w:szCs w:val="20"/>
              </w:rPr>
              <w:t>erious</w:t>
            </w:r>
          </w:p>
        </w:tc>
        <w:tc>
          <w:tcPr>
            <w:tcW w:w="1493" w:type="dxa"/>
          </w:tcPr>
          <w:p w14:paraId="3FF7D0A4" w14:textId="60C8A2E0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Dose-response gradient</w:t>
            </w:r>
          </w:p>
        </w:tc>
        <w:tc>
          <w:tcPr>
            <w:tcW w:w="1493" w:type="dxa"/>
          </w:tcPr>
          <w:p w14:paraId="210C079C" w14:textId="0C1D472B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267FA0" w:rsidRPr="00442F1A" w14:paraId="14AAF853" w14:textId="77777777" w:rsidTr="00984A87">
        <w:tc>
          <w:tcPr>
            <w:tcW w:w="1784" w:type="dxa"/>
          </w:tcPr>
          <w:p w14:paraId="6193C604" w14:textId="77777777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Overall serological response after full vaccination</w:t>
            </w:r>
          </w:p>
        </w:tc>
        <w:tc>
          <w:tcPr>
            <w:tcW w:w="1715" w:type="dxa"/>
          </w:tcPr>
          <w:p w14:paraId="7D206243" w14:textId="16455A69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491" w:type="dxa"/>
          </w:tcPr>
          <w:p w14:paraId="5E66AA3C" w14:textId="5A3FEBAD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239DB06B" w14:textId="61412862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7385AC92" w14:textId="1BB71DF5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6A3A439D" w14:textId="5B04F820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5840D180" w14:textId="68AFBF56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493" w:type="dxa"/>
          </w:tcPr>
          <w:p w14:paraId="49B1F1D1" w14:textId="394C2CAB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Dose-response gradient</w:t>
            </w:r>
          </w:p>
        </w:tc>
        <w:tc>
          <w:tcPr>
            <w:tcW w:w="1493" w:type="dxa"/>
          </w:tcPr>
          <w:p w14:paraId="4A96C25B" w14:textId="3A5A8193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267FA0" w:rsidRPr="00442F1A" w14:paraId="0A7E7C4B" w14:textId="77777777" w:rsidTr="00984A87">
        <w:tc>
          <w:tcPr>
            <w:tcW w:w="1784" w:type="dxa"/>
          </w:tcPr>
          <w:p w14:paraId="7E0544C4" w14:textId="77777777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Overall serological response after booster vaccination</w:t>
            </w:r>
          </w:p>
        </w:tc>
        <w:tc>
          <w:tcPr>
            <w:tcW w:w="1715" w:type="dxa"/>
          </w:tcPr>
          <w:p w14:paraId="2B2C1162" w14:textId="0698B73E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491" w:type="dxa"/>
          </w:tcPr>
          <w:p w14:paraId="54A3B1F2" w14:textId="1C2A76A7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26EE667C" w14:textId="051DE614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22DE6729" w14:textId="671048D5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492847A4" w14:textId="76C6FCBA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29513DD0" w14:textId="4ADA543F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493" w:type="dxa"/>
          </w:tcPr>
          <w:p w14:paraId="2CBD293C" w14:textId="34DEC549" w:rsidR="00267FA0" w:rsidRPr="00442F1A" w:rsidRDefault="00267FA0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Dose-response gradient</w:t>
            </w:r>
          </w:p>
        </w:tc>
        <w:tc>
          <w:tcPr>
            <w:tcW w:w="1493" w:type="dxa"/>
          </w:tcPr>
          <w:p w14:paraId="6FE3A003" w14:textId="656E32A5" w:rsidR="00267FA0" w:rsidRPr="00442F1A" w:rsidRDefault="006C3474" w:rsidP="00267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F1A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</w:tr>
    </w:tbl>
    <w:p w14:paraId="3172FD9F" w14:textId="37102E52" w:rsidR="00965F7C" w:rsidRPr="00442F1A" w:rsidRDefault="00965F7C" w:rsidP="00984A87">
      <w:pPr>
        <w:spacing w:beforeLines="50" w:before="156"/>
        <w:rPr>
          <w:rFonts w:ascii="Times New Roman" w:hAnsi="Times New Roman" w:cs="Times New Roman"/>
          <w:sz w:val="20"/>
          <w:szCs w:val="20"/>
        </w:rPr>
      </w:pPr>
      <w:r w:rsidRPr="00442F1A">
        <w:rPr>
          <w:rFonts w:ascii="Times New Roman" w:hAnsi="Times New Roman" w:cs="Times New Roman"/>
          <w:sz w:val="20"/>
          <w:szCs w:val="20"/>
        </w:rPr>
        <w:t>$ Quality assessment to decrease level of evidence include risk of bias (≥25% of contributing studies were assessed as serious risk of bias), inconsistency (substantial between study heterogeneity, I</w:t>
      </w:r>
      <w:r w:rsidRPr="00442F1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42F1A">
        <w:rPr>
          <w:rFonts w:ascii="Times New Roman" w:hAnsi="Times New Roman" w:cs="Times New Roman"/>
          <w:sz w:val="20"/>
          <w:szCs w:val="20"/>
        </w:rPr>
        <w:t xml:space="preserve"> ≥ 50%), indirectness (presence of factors limiting generalizability of results), impression (95% confidence intervals for risk estimates are wide </w:t>
      </w:r>
      <w:r w:rsidR="00A62D24" w:rsidRPr="00442F1A">
        <w:rPr>
          <w:rFonts w:ascii="Times New Roman" w:hAnsi="Times New Roman" w:cs="Times New Roman"/>
          <w:sz w:val="20"/>
          <w:szCs w:val="20"/>
        </w:rPr>
        <w:t>than</w:t>
      </w:r>
      <w:r w:rsidRPr="00442F1A">
        <w:rPr>
          <w:rFonts w:ascii="Times New Roman" w:hAnsi="Times New Roman" w:cs="Times New Roman"/>
          <w:sz w:val="20"/>
          <w:szCs w:val="20"/>
        </w:rPr>
        <w:t xml:space="preserve"> 10% for outcomes), and publication bias (evidence of small study effects).</w:t>
      </w:r>
    </w:p>
    <w:p w14:paraId="23789554" w14:textId="5CE9AB44" w:rsidR="00965F7C" w:rsidRPr="00442F1A" w:rsidRDefault="00965F7C" w:rsidP="00965F7C">
      <w:pPr>
        <w:rPr>
          <w:rFonts w:ascii="Times New Roman" w:hAnsi="Times New Roman" w:cs="Times New Roman"/>
          <w:sz w:val="20"/>
          <w:szCs w:val="20"/>
        </w:rPr>
      </w:pPr>
      <w:r w:rsidRPr="00442F1A">
        <w:rPr>
          <w:rFonts w:ascii="Times New Roman" w:hAnsi="Times New Roman" w:cs="Times New Roman"/>
          <w:sz w:val="20"/>
          <w:szCs w:val="20"/>
        </w:rPr>
        <w:t>*Reasons to increase level of evidence include large magnitude of effect (risk estimates above 2 or less than 0.5), dose-response gradient or attenuation of the pooled risk estimates by plausible confounders.</w:t>
      </w:r>
    </w:p>
    <w:p w14:paraId="19A22B2A" w14:textId="640585D0" w:rsidR="00154F62" w:rsidRPr="00442F1A" w:rsidRDefault="00154F62" w:rsidP="00154F62">
      <w:pPr>
        <w:rPr>
          <w:rFonts w:ascii="Times New Roman" w:hAnsi="Times New Roman" w:cs="Times New Roman"/>
          <w:sz w:val="20"/>
          <w:szCs w:val="20"/>
        </w:rPr>
      </w:pPr>
    </w:p>
    <w:sectPr w:rsidR="00154F62" w:rsidRPr="00442F1A" w:rsidSect="007120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1FDBC" w14:textId="77777777" w:rsidR="00481A9A" w:rsidRDefault="00481A9A" w:rsidP="002C273A">
      <w:r>
        <w:separator/>
      </w:r>
    </w:p>
  </w:endnote>
  <w:endnote w:type="continuationSeparator" w:id="0">
    <w:p w14:paraId="4CD37BA5" w14:textId="77777777" w:rsidR="00481A9A" w:rsidRDefault="00481A9A" w:rsidP="002C2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CBB14" w14:textId="77777777" w:rsidR="00481A9A" w:rsidRDefault="00481A9A" w:rsidP="002C273A">
      <w:r>
        <w:separator/>
      </w:r>
    </w:p>
  </w:footnote>
  <w:footnote w:type="continuationSeparator" w:id="0">
    <w:p w14:paraId="2E7A6EAA" w14:textId="77777777" w:rsidR="00481A9A" w:rsidRDefault="00481A9A" w:rsidP="002C27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191A01"/>
    <w:multiLevelType w:val="hybridMultilevel"/>
    <w:tmpl w:val="DBF85F44"/>
    <w:lvl w:ilvl="0" w:tplc="C9E4ED0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6075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51D"/>
    <w:rsid w:val="00000856"/>
    <w:rsid w:val="00064DBE"/>
    <w:rsid w:val="00067DAB"/>
    <w:rsid w:val="001477BB"/>
    <w:rsid w:val="00154F62"/>
    <w:rsid w:val="001574A5"/>
    <w:rsid w:val="00165FC6"/>
    <w:rsid w:val="00267FA0"/>
    <w:rsid w:val="002C273A"/>
    <w:rsid w:val="00340367"/>
    <w:rsid w:val="003B451D"/>
    <w:rsid w:val="00442F1A"/>
    <w:rsid w:val="00481A9A"/>
    <w:rsid w:val="005D1013"/>
    <w:rsid w:val="006C128A"/>
    <w:rsid w:val="006C3474"/>
    <w:rsid w:val="00712023"/>
    <w:rsid w:val="008621C8"/>
    <w:rsid w:val="00965F7C"/>
    <w:rsid w:val="009761A9"/>
    <w:rsid w:val="00984A87"/>
    <w:rsid w:val="00A62D24"/>
    <w:rsid w:val="00CD5BE2"/>
    <w:rsid w:val="00FE2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27FAE5"/>
  <w15:chartTrackingRefBased/>
  <w15:docId w15:val="{4C4DC45C-741F-4CBF-B46B-3C976CEED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4F62"/>
    <w:pPr>
      <w:ind w:firstLineChars="200" w:firstLine="420"/>
    </w:pPr>
  </w:style>
  <w:style w:type="table" w:styleId="a4">
    <w:name w:val="Table Grid"/>
    <w:basedOn w:val="a1"/>
    <w:uiPriority w:val="39"/>
    <w:rsid w:val="00154F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C2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C273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C2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C27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C5F9A-EE82-4B11-8DCE-800372611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427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Guangtong</dc:creator>
  <cp:keywords/>
  <dc:description/>
  <cp:lastModifiedBy>周 倩</cp:lastModifiedBy>
  <cp:revision>20</cp:revision>
  <dcterms:created xsi:type="dcterms:W3CDTF">2022-10-29T13:04:00Z</dcterms:created>
  <dcterms:modified xsi:type="dcterms:W3CDTF">2022-11-18T13:21:00Z</dcterms:modified>
</cp:coreProperties>
</file>