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680" w:rsidRPr="004D540B" w:rsidRDefault="00955680" w:rsidP="00955680">
      <w:pPr>
        <w:rPr>
          <w:rFonts w:eastAsia="맑은 고딕"/>
          <w:b/>
          <w:color w:val="000000"/>
          <w:szCs w:val="20"/>
        </w:rPr>
      </w:pPr>
      <w:r w:rsidRPr="004D540B">
        <w:rPr>
          <w:rFonts w:eastAsia="맑은 고딕"/>
          <w:b/>
          <w:color w:val="000000"/>
          <w:szCs w:val="20"/>
        </w:rPr>
        <w:t>Supplementary Table</w:t>
      </w:r>
      <w:r>
        <w:rPr>
          <w:rFonts w:eastAsia="맑은 고딕"/>
          <w:b/>
          <w:color w:val="000000"/>
          <w:szCs w:val="20"/>
        </w:rPr>
        <w:t xml:space="preserve"> </w:t>
      </w:r>
      <w:r w:rsidRPr="004D540B">
        <w:rPr>
          <w:rFonts w:eastAsia="맑은 고딕"/>
          <w:b/>
          <w:color w:val="000000"/>
          <w:szCs w:val="20"/>
        </w:rPr>
        <w:t>1. Baseline characteristics of patients who developed or non-developed CKD during the follow-up period</w:t>
      </w:r>
    </w:p>
    <w:tbl>
      <w:tblPr>
        <w:tblW w:w="9030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134"/>
        <w:gridCol w:w="877"/>
        <w:gridCol w:w="257"/>
        <w:gridCol w:w="71"/>
        <w:gridCol w:w="236"/>
        <w:gridCol w:w="827"/>
        <w:gridCol w:w="1701"/>
        <w:gridCol w:w="808"/>
      </w:tblGrid>
      <w:tr w:rsidR="00955680" w:rsidTr="00054F3D">
        <w:trPr>
          <w:trHeight w:val="140"/>
          <w:jc w:val="center"/>
        </w:trPr>
        <w:tc>
          <w:tcPr>
            <w:tcW w:w="1843" w:type="dxa"/>
            <w:vMerge w:val="restart"/>
            <w:tcBorders>
              <w:top w:val="single" w:sz="12" w:space="0" w:color="auto"/>
            </w:tcBorders>
            <w:vAlign w:val="center"/>
          </w:tcPr>
          <w:p w:rsidR="00955680" w:rsidRPr="007F0339" w:rsidRDefault="00955680" w:rsidP="00054F3D">
            <w:pPr>
              <w:rPr>
                <w:sz w:val="16"/>
                <w:szCs w:val="18"/>
              </w:rPr>
            </w:pPr>
            <w:r w:rsidRPr="007F0339">
              <w:rPr>
                <w:sz w:val="16"/>
                <w:szCs w:val="18"/>
              </w:rPr>
              <w:t xml:space="preserve">　</w:t>
            </w:r>
          </w:p>
        </w:tc>
        <w:tc>
          <w:tcPr>
            <w:tcW w:w="3615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Total subjects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</w:p>
        </w:tc>
        <w:tc>
          <w:tcPr>
            <w:tcW w:w="333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YOD</w:t>
            </w:r>
          </w:p>
        </w:tc>
      </w:tr>
      <w:tr w:rsidR="00955680" w:rsidTr="00054F3D">
        <w:trPr>
          <w:trHeight w:val="139"/>
          <w:jc w:val="center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:rsidR="00955680" w:rsidRPr="007F0339" w:rsidRDefault="00955680" w:rsidP="00054F3D">
            <w:pPr>
              <w:rPr>
                <w:sz w:val="16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 xml:space="preserve">CKD </w:t>
            </w:r>
          </w:p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non-developed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 xml:space="preserve">CKD </w:t>
            </w:r>
          </w:p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developed</w:t>
            </w:r>
          </w:p>
        </w:tc>
        <w:tc>
          <w:tcPr>
            <w:tcW w:w="8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p-value</w:t>
            </w:r>
          </w:p>
        </w:tc>
        <w:tc>
          <w:tcPr>
            <w:tcW w:w="257" w:type="dxa"/>
            <w:tcBorders>
              <w:top w:val="single" w:sz="12" w:space="0" w:color="auto"/>
              <w:bottom w:val="single" w:sz="4" w:space="0" w:color="auto"/>
            </w:tcBorders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 xml:space="preserve">CKD </w:t>
            </w:r>
          </w:p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non-developed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 xml:space="preserve">CKD </w:t>
            </w:r>
          </w:p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developed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b/>
                <w:sz w:val="16"/>
                <w:szCs w:val="18"/>
              </w:rPr>
            </w:pPr>
            <w:r w:rsidRPr="007F0339">
              <w:rPr>
                <w:b/>
                <w:sz w:val="16"/>
                <w:szCs w:val="18"/>
              </w:rPr>
              <w:t>p-value</w:t>
            </w:r>
          </w:p>
        </w:tc>
      </w:tr>
      <w:tr w:rsidR="00955680" w:rsidTr="00054F3D">
        <w:trPr>
          <w:trHeight w:val="128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b/>
                <w:sz w:val="16"/>
                <w:szCs w:val="18"/>
              </w:rPr>
            </w:pPr>
            <w:r w:rsidRPr="007F0339">
              <w:rPr>
                <w:rFonts w:eastAsia="맑은 고딕"/>
                <w:b/>
                <w:color w:val="000000"/>
                <w:sz w:val="16"/>
                <w:szCs w:val="18"/>
              </w:rPr>
              <w:t>Number,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82,942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1442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7,311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34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sz w:val="16"/>
                <w:szCs w:val="18"/>
              </w:rPr>
            </w:pP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widowControl/>
              <w:autoSpaceDE/>
              <w:autoSpaceDN/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Sex: Male,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54,001 (65.11)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965 (66.92)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0.1518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5,963 (81.56)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30 (88.24)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0.3165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Age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51.27 ± 8.07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56.25 ± 6.48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35.05 ± 3.65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36.44 ± 2.62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0.0268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Height (cm)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164.43 ± 8.68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163.53 ± 8.52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170.58 ± 7.69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171.47 ± 7.72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0.499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Weight (kg)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69.45 ± 11.84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69.2 ± 11.04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0.4208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78.77 ± 14.44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79.35 ± 17.28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0.8147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BMI (kg/m</w:t>
            </w: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  <w:vertAlign w:val="superscript"/>
              </w:rPr>
              <w:t>2</w:t>
            </w: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25.6 ± 3.33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25.82 ± 3.2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0.0155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26.98 ± 4.16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26.79 ± 4.53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0.7901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Obesity (BMI ≥ 25 kg/m</w:t>
            </w: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  <w:vertAlign w:val="superscript"/>
              </w:rPr>
              <w:t>2</w:t>
            </w: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),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44,991 (54.24)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840 (58.25)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0.0024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4,955 (67.77)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19 (55.88)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0.139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Waist circumference (cm)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85.85 ± 8.51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87 ± 8.12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88.15 ± 10.14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89.38 ± 11.82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0.4814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Abdominal Obesity,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65039 (78.42)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1194 (82.8)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5,978 (81.77)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28 (82.35)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0.9297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Smoking,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23685 (28.56)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372 (25.8)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0.0214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3,353 (45.86)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 (32.35)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0.1147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Heavy drinker,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9132 (11.01)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127 (8.81)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0.008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944 (12.91)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 (8.82)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0.4779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Regular physical activity,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17575 (21.19)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322 (22.33)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0.2935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1,233 (16.86)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 (14.71)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0.7372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Low socioeconomic status,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17941(21.63)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402 (27.88)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954 (13.05)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 (20.59)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0.1934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Hypertension,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43348 (52.26)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1100 (76.28)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2,541 (34.76)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22 (64.71)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0.0003</w:t>
            </w:r>
          </w:p>
        </w:tc>
      </w:tr>
      <w:tr w:rsidR="00955680" w:rsidTr="00054F3D">
        <w:trPr>
          <w:trHeight w:val="156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Dyslipidemia,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42,710 (51.49)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886 (61.44)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3,427 (46.87)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25 (73.53)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0.0019</w:t>
            </w:r>
          </w:p>
        </w:tc>
      </w:tr>
      <w:tr w:rsidR="00955680" w:rsidTr="00054F3D">
        <w:trPr>
          <w:trHeight w:val="300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Medication,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Aspirin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21,658 (26.11)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616 (42.72)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748 (10.23)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 (14.71)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0.3908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Statin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38,905 (46.91)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850 (58.95)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2,761 (37.77)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23 (67.65)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0.0003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ARB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30,575 (36.86)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875 (60.68)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1,776 (24.29)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19 (55.88)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</w:tr>
      <w:tr w:rsidR="00955680" w:rsidTr="00054F3D">
        <w:trPr>
          <w:trHeight w:val="317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Insulin,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5929 (7.15)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119 (8.25)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0.1071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886 (12.12)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 (14.71)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0.6448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Oral hypopglycemic agents,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Times New Roman"/>
                <w:sz w:val="16"/>
                <w:szCs w:val="18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  <w:hideMark/>
          </w:tcPr>
          <w:p w:rsidR="00955680" w:rsidRPr="007F0339" w:rsidRDefault="00955680" w:rsidP="00054F3D">
            <w:pPr>
              <w:jc w:val="center"/>
              <w:rPr>
                <w:rFonts w:eastAsia="Times New Roman"/>
                <w:sz w:val="16"/>
                <w:szCs w:val="18"/>
              </w:rPr>
            </w:pP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Sulfonylurea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27,985 (33.74)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519 (35.99)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0.0731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2,598 (35.54)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18 (52.94)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0.0345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Metformin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65,454 (78.92)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1089 (75.52)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0.0017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5,880 (80.43)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23 (67.65)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0.0613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Meglitinide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718 (0.87)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24 (1.66)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0.0013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64 (0.88)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 (0)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0.5837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widowControl/>
              <w:autoSpaceDE/>
              <w:autoSpaceDN/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lastRenderedPageBreak/>
              <w:t xml:space="preserve">  Thiazolidinedione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2,395 (2.89)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42 (2.91)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0.9551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226 (3.09)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Times New Roman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 (5.88)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Times New Roman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0.3492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DPP-4 inhibitor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7,163 (8.64)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102 (7.07)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0.036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779 (10.66)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 (11.76)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0.8343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 xml:space="preserve">  α-glucosidase inhibitor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2,986 (3.6)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61 (4.23)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0.2035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286 (3.91)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 (5.88)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0.5548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Number of oral hypoglycemic agents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0.4887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0.4653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56,071 (67.6)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984 (68.24)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4,277 (58.5)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18 (52.94)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2,4287 (29.28)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407 (28.22)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2,700 (36.93)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13 (38.24)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≥ 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2,584 (3.12)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51 (3.54)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334 (4.57)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3 (8.82)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color w:val="000000"/>
                <w:sz w:val="16"/>
                <w:szCs w:val="18"/>
              </w:rPr>
              <w:t>Number of oral hypoglycemic agents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1.36 ± 0.55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1.36 ± 0.56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0.9165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1.47 ± 0.6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1.59 ± 0.74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0.2396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color w:val="000000"/>
                <w:sz w:val="16"/>
                <w:szCs w:val="18"/>
              </w:rPr>
              <w:t>Fasting glucose (mg/dl)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144.69 ± 51.09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145.11 ± 55.84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0.7618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158.75 ± 65.74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167.62 ± 90.51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0.4338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Systolic BP (mmHg)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127.14 ± 14.78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130.05 ± 15.78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125.87 ± 13.98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129.18 ± 19.26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0.1693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Diastolic BP (mmHg)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79.72 ± 9.97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80.87 ± 10.59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79.83 ± 10.15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81.85 ± 13.45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0.2482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Total Cholesterol (mg/dl)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203.66 ± 42.23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202.89 ± 46.66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0.496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205.54 ± 42.62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206.85 ± 53.31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0.8578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Triglyceride (mg/dl)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182.54 ± 116.12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198.25 ± 126.24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216.07 ± 145.59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251.09 ± 204.84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0.1627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HDL-C (mg/dl)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50.96 ± 14.56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50.62 ± 18.04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0.3803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48.58 ± 15.32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48.94 ± 14.15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0.8908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bCs/>
                <w:color w:val="000000"/>
                <w:sz w:val="16"/>
                <w:szCs w:val="18"/>
              </w:rPr>
              <w:t>LDL-C (mg/dl)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117.4 ± 46.25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113.1 ± 41.76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0.0005</w:t>
            </w:r>
          </w:p>
        </w:tc>
        <w:tc>
          <w:tcPr>
            <w:tcW w:w="257" w:type="dxa"/>
            <w:tcBorders>
              <w:top w:val="nil"/>
              <w:bottom w:val="nil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116.42 ± 53.44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108.35 ± 46.94</w:t>
            </w:r>
          </w:p>
        </w:tc>
        <w:tc>
          <w:tcPr>
            <w:tcW w:w="808" w:type="dxa"/>
            <w:tcBorders>
              <w:top w:val="nil"/>
              <w:bottom w:val="nil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0.3796</w:t>
            </w:r>
          </w:p>
        </w:tc>
      </w:tr>
      <w:tr w:rsidR="00955680" w:rsidTr="00054F3D">
        <w:trPr>
          <w:trHeight w:val="144"/>
          <w:jc w:val="center"/>
        </w:trPr>
        <w:tc>
          <w:tcPr>
            <w:tcW w:w="1843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left"/>
              <w:rPr>
                <w:rFonts w:eastAsia="맑은 고딕"/>
                <w:b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b/>
                <w:color w:val="000000"/>
                <w:sz w:val="16"/>
                <w:szCs w:val="18"/>
              </w:rPr>
              <w:t>GFR (ml/min/1.73 m</w:t>
            </w:r>
            <w:r w:rsidRPr="00D06644">
              <w:rPr>
                <w:rFonts w:eastAsia="맑은 고딕"/>
                <w:b/>
                <w:color w:val="000000"/>
                <w:sz w:val="16"/>
                <w:szCs w:val="18"/>
                <w:vertAlign w:val="superscript"/>
              </w:rPr>
              <w:t>2</w:t>
            </w:r>
            <w:r w:rsidRPr="007F0339">
              <w:rPr>
                <w:rFonts w:eastAsia="맑은 고딕"/>
                <w:b/>
                <w:color w:val="000000"/>
                <w:sz w:val="16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92.23 ± 37.57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78.35 ± 30.94</w:t>
            </w:r>
          </w:p>
        </w:tc>
        <w:tc>
          <w:tcPr>
            <w:tcW w:w="877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&lt;.0001</w:t>
            </w:r>
          </w:p>
        </w:tc>
        <w:tc>
          <w:tcPr>
            <w:tcW w:w="257" w:type="dxa"/>
            <w:tcBorders>
              <w:top w:val="nil"/>
              <w:bottom w:val="single" w:sz="12" w:space="0" w:color="auto"/>
            </w:tcBorders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98.99 ± 45.14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84.65 ± 18.34</w:t>
            </w:r>
          </w:p>
        </w:tc>
        <w:tc>
          <w:tcPr>
            <w:tcW w:w="808" w:type="dxa"/>
            <w:tcBorders>
              <w:top w:val="nil"/>
              <w:bottom w:val="single" w:sz="12" w:space="0" w:color="auto"/>
            </w:tcBorders>
            <w:vAlign w:val="center"/>
          </w:tcPr>
          <w:p w:rsidR="00955680" w:rsidRPr="007F0339" w:rsidRDefault="00955680" w:rsidP="00054F3D">
            <w:pPr>
              <w:jc w:val="center"/>
              <w:rPr>
                <w:rFonts w:eastAsia="맑은 고딕"/>
                <w:color w:val="000000"/>
                <w:sz w:val="16"/>
                <w:szCs w:val="18"/>
              </w:rPr>
            </w:pPr>
            <w:r w:rsidRPr="007F0339">
              <w:rPr>
                <w:rFonts w:eastAsia="맑은 고딕"/>
                <w:color w:val="000000"/>
                <w:sz w:val="16"/>
                <w:szCs w:val="18"/>
              </w:rPr>
              <w:t>0.0642</w:t>
            </w:r>
          </w:p>
        </w:tc>
      </w:tr>
    </w:tbl>
    <w:p w:rsidR="00955680" w:rsidRDefault="00955680" w:rsidP="00955680"/>
    <w:p w:rsidR="00955680" w:rsidRPr="006532ED" w:rsidRDefault="00955680" w:rsidP="00955680">
      <w:pPr>
        <w:jc w:val="left"/>
      </w:pPr>
      <w:r w:rsidRPr="006532ED">
        <w:t xml:space="preserve">ARB, angiotensin II receptor blocker; BMI, body mass index; BP, blood pressure; CKD, chronic kidney disease; GFR, glomerular filtration rate; HDL-C, high-density lipoprotein cholesterol; LDL-C, low-density lipoprotein cholesterol </w:t>
      </w:r>
    </w:p>
    <w:p w:rsidR="00955680" w:rsidRPr="00D97785" w:rsidRDefault="00955680" w:rsidP="00955680"/>
    <w:p w:rsidR="0046493A" w:rsidRPr="00955680" w:rsidRDefault="0046493A">
      <w:bookmarkStart w:id="0" w:name="_GoBack"/>
      <w:bookmarkEnd w:id="0"/>
    </w:p>
    <w:sectPr w:rsidR="0046493A" w:rsidRPr="0095568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680"/>
    <w:rsid w:val="0046493A"/>
    <w:rsid w:val="0095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083D3F-ED07-4BF9-9D4A-4E9216D9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680"/>
    <w:pPr>
      <w:widowControl w:val="0"/>
      <w:autoSpaceDE w:val="0"/>
      <w:autoSpaceDN w:val="0"/>
      <w:adjustRightInd w:val="0"/>
      <w:snapToGrid w:val="0"/>
      <w:spacing w:after="0" w:line="480" w:lineRule="auto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likeasisay@empal.com</dc:creator>
  <cp:keywords/>
  <dc:description/>
  <cp:lastModifiedBy>likeasisay@empal.com</cp:lastModifiedBy>
  <cp:revision>1</cp:revision>
  <dcterms:created xsi:type="dcterms:W3CDTF">2023-01-08T01:55:00Z</dcterms:created>
  <dcterms:modified xsi:type="dcterms:W3CDTF">2023-01-08T01:57:00Z</dcterms:modified>
</cp:coreProperties>
</file>