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CBD" w:rsidRDefault="00863CBD" w:rsidP="00863CBD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asciiTheme="majorHAnsi" w:hAnsiTheme="majorHAnsi" w:cs="Verdana"/>
          <w:kern w:val="0"/>
        </w:rPr>
      </w:pPr>
      <w:r>
        <w:rPr>
          <w:rFonts w:asciiTheme="majorHAnsi" w:hAnsiTheme="majorHAnsi" w:cs="Verdana"/>
          <w:kern w:val="0"/>
        </w:rPr>
        <w:t>The detailed processes are as follows:</w:t>
      </w:r>
    </w:p>
    <w:p w:rsidR="00863CBD" w:rsidRDefault="00863CBD" w:rsidP="00863CBD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asciiTheme="majorHAnsi" w:hAnsiTheme="majorHAnsi" w:cs="Verdana"/>
          <w:kern w:val="0"/>
        </w:rPr>
      </w:pPr>
      <w:r>
        <w:rPr>
          <w:rFonts w:asciiTheme="majorHAnsi" w:hAnsiTheme="majorHAnsi" w:cs="Verdana"/>
          <w:kern w:val="0"/>
        </w:rPr>
        <w:t>DNA Extraction from Plasma Samples</w:t>
      </w:r>
    </w:p>
    <w:p w:rsidR="00863CBD" w:rsidRDefault="00863CBD" w:rsidP="00863CBD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asciiTheme="majorHAnsi" w:hAnsiTheme="majorHAnsi" w:cs="Verdana"/>
          <w:kern w:val="0"/>
        </w:rPr>
      </w:pPr>
      <w:r>
        <w:rPr>
          <w:rFonts w:asciiTheme="majorHAnsi" w:hAnsiTheme="majorHAnsi" w:cs="Verdana"/>
          <w:kern w:val="0"/>
        </w:rPr>
        <w:t xml:space="preserve">Samples of peripheral blood (5 mL) were collected in an </w:t>
      </w:r>
      <w:proofErr w:type="spellStart"/>
      <w:r>
        <w:rPr>
          <w:rFonts w:asciiTheme="majorHAnsi" w:hAnsiTheme="majorHAnsi" w:cs="Verdana"/>
          <w:kern w:val="0"/>
        </w:rPr>
        <w:t>ethylenediamine</w:t>
      </w:r>
      <w:proofErr w:type="spellEnd"/>
      <w:r>
        <w:rPr>
          <w:rFonts w:asciiTheme="majorHAnsi" w:hAnsiTheme="majorHAnsi" w:cs="Verdana"/>
          <w:kern w:val="0"/>
        </w:rPr>
        <w:t xml:space="preserve"> </w:t>
      </w:r>
      <w:proofErr w:type="spellStart"/>
      <w:r>
        <w:rPr>
          <w:rFonts w:asciiTheme="majorHAnsi" w:hAnsiTheme="majorHAnsi" w:cs="Verdana"/>
          <w:kern w:val="0"/>
        </w:rPr>
        <w:t>tetraacetic</w:t>
      </w:r>
      <w:proofErr w:type="spellEnd"/>
      <w:r>
        <w:rPr>
          <w:rFonts w:asciiTheme="majorHAnsi" w:hAnsiTheme="majorHAnsi" w:cs="Verdana"/>
          <w:kern w:val="0"/>
        </w:rPr>
        <w:t xml:space="preserve"> acid tube from all participants and were centrifuged at ×1600g for isolation of plasma. Plasma samples were transferred carefully into plain polypropylene tubes for storage at </w:t>
      </w:r>
      <w:r>
        <w:rPr>
          <w:rFonts w:asciiTheme="majorHAnsi" w:hAnsiTheme="majorHAnsi" w:cs="Verdana" w:hint="eastAsia"/>
          <w:kern w:val="0"/>
        </w:rPr>
        <w:t>﹣</w:t>
      </w:r>
      <w:r>
        <w:rPr>
          <w:rFonts w:asciiTheme="majorHAnsi" w:hAnsiTheme="majorHAnsi" w:cs="Verdana"/>
          <w:kern w:val="0"/>
        </w:rPr>
        <w:t xml:space="preserve">80 °C until further processing. DNA from plasma samples was extracted with the </w:t>
      </w:r>
      <w:proofErr w:type="spellStart"/>
      <w:r>
        <w:rPr>
          <w:rFonts w:asciiTheme="majorHAnsi" w:hAnsiTheme="majorHAnsi" w:cs="Verdana"/>
          <w:kern w:val="0"/>
        </w:rPr>
        <w:t>QIAamp</w:t>
      </w:r>
      <w:proofErr w:type="spellEnd"/>
      <w:r>
        <w:rPr>
          <w:rFonts w:asciiTheme="majorHAnsi" w:hAnsiTheme="majorHAnsi" w:cs="Verdana"/>
          <w:kern w:val="0"/>
        </w:rPr>
        <w:t xml:space="preserve"> Blood Kit (</w:t>
      </w:r>
      <w:proofErr w:type="spellStart"/>
      <w:r>
        <w:rPr>
          <w:rFonts w:asciiTheme="majorHAnsi" w:hAnsiTheme="majorHAnsi" w:cs="Verdana"/>
          <w:kern w:val="0"/>
        </w:rPr>
        <w:t>Qiagen</w:t>
      </w:r>
      <w:proofErr w:type="spellEnd"/>
      <w:r>
        <w:rPr>
          <w:rFonts w:asciiTheme="majorHAnsi" w:hAnsiTheme="majorHAnsi" w:cs="Verdana"/>
          <w:kern w:val="0"/>
        </w:rPr>
        <w:t>, Hilden, Germany) using the blood and body fluid protocol, as recommended by the manufacturer. In total, 500 –1000µL of each plasma sample were used for DNA extraction per column, with a final elution volume of 50µL from the extraction column. The exact amounts were documented for the calculation of the target DNA concentration.</w:t>
      </w:r>
    </w:p>
    <w:p w:rsidR="00863CBD" w:rsidRDefault="00863CBD" w:rsidP="00863CBD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asciiTheme="majorHAnsi" w:hAnsiTheme="majorHAnsi" w:cs="Verdana"/>
          <w:kern w:val="0"/>
        </w:rPr>
      </w:pPr>
      <w:r>
        <w:rPr>
          <w:rFonts w:asciiTheme="majorHAnsi" w:hAnsiTheme="majorHAnsi" w:cs="Verdana"/>
          <w:kern w:val="0"/>
        </w:rPr>
        <w:t>Real-Time Quantitative EBV DNA PCR</w:t>
      </w:r>
    </w:p>
    <w:p w:rsidR="00863CBD" w:rsidRDefault="00863CBD" w:rsidP="00863CBD">
      <w:pPr>
        <w:widowControl/>
        <w:autoSpaceDE w:val="0"/>
        <w:autoSpaceDN w:val="0"/>
        <w:adjustRightInd w:val="0"/>
        <w:snapToGrid w:val="0"/>
        <w:spacing w:line="360" w:lineRule="auto"/>
        <w:jc w:val="left"/>
        <w:rPr>
          <w:rFonts w:asciiTheme="majorHAnsi" w:hAnsiTheme="majorHAnsi" w:cs="Verdana"/>
          <w:kern w:val="0"/>
        </w:rPr>
      </w:pPr>
      <w:r>
        <w:rPr>
          <w:rFonts w:asciiTheme="majorHAnsi" w:hAnsiTheme="majorHAnsi" w:cs="Verdana"/>
          <w:kern w:val="0"/>
        </w:rPr>
        <w:t xml:space="preserve">The real-time quantitative PCR system was developed for EBV DNA detection toward the </w:t>
      </w:r>
      <w:proofErr w:type="spellStart"/>
      <w:r>
        <w:rPr>
          <w:rFonts w:asciiTheme="majorHAnsi" w:hAnsiTheme="majorHAnsi" w:cs="Verdana"/>
          <w:kern w:val="0"/>
        </w:rPr>
        <w:t>BamHI</w:t>
      </w:r>
      <w:proofErr w:type="spellEnd"/>
      <w:r>
        <w:rPr>
          <w:rFonts w:asciiTheme="majorHAnsi" w:hAnsiTheme="majorHAnsi" w:cs="Verdana"/>
          <w:kern w:val="0"/>
        </w:rPr>
        <w:t xml:space="preserve">-W region. The system consisted of the amplification primers W-44F (5’-AGT CTC TGC CTC CAG GCA-3’) and W-119R (5’-ACA GAG GGC CTG TCC ACC G-3’) and the dual-labeled fluorescent probe W-67T (5’- [FAM] CAC TGT CTG TAA AGT CCA GCC TCC [TAMRA]-3’). In this study, real-time quantitative PCR for the β-actin gene was used as a control for the </w:t>
      </w:r>
      <w:proofErr w:type="spellStart"/>
      <w:r>
        <w:rPr>
          <w:rFonts w:asciiTheme="majorHAnsi" w:hAnsiTheme="majorHAnsi" w:cs="Verdana"/>
          <w:kern w:val="0"/>
        </w:rPr>
        <w:t>amplifiability</w:t>
      </w:r>
      <w:proofErr w:type="spellEnd"/>
      <w:r>
        <w:rPr>
          <w:rFonts w:asciiTheme="majorHAnsi" w:hAnsiTheme="majorHAnsi" w:cs="Verdana"/>
          <w:kern w:val="0"/>
        </w:rPr>
        <w:t xml:space="preserve"> of plasma DNA. Theβ-actin gene primer sequence was forward, 5’-ACA GGC ACCA GGG CGT GA TGG-3’; and reverse, 5’-CTC CAT GTC </w:t>
      </w:r>
      <w:proofErr w:type="spellStart"/>
      <w:r>
        <w:rPr>
          <w:rFonts w:asciiTheme="majorHAnsi" w:hAnsiTheme="majorHAnsi" w:cs="Verdana"/>
          <w:kern w:val="0"/>
        </w:rPr>
        <w:t>GTC</w:t>
      </w:r>
      <w:proofErr w:type="spellEnd"/>
      <w:r>
        <w:rPr>
          <w:rFonts w:asciiTheme="majorHAnsi" w:hAnsiTheme="majorHAnsi" w:cs="Verdana"/>
          <w:kern w:val="0"/>
        </w:rPr>
        <w:t xml:space="preserve"> CCA GTT GGT-3’; and the dual-labeled fluorescent probe sequence (5’-[FAM] CAT CCT CAC CCT GAA GTA CCC CAT C [TAMRA]-3’).</w:t>
      </w:r>
    </w:p>
    <w:p w:rsidR="00340368" w:rsidRDefault="00340368">
      <w:bookmarkStart w:id="0" w:name="_GoBack"/>
      <w:bookmarkEnd w:id="0"/>
    </w:p>
    <w:sectPr w:rsidR="00340368" w:rsidSect="0034036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CBD"/>
    <w:rsid w:val="00340368"/>
    <w:rsid w:val="0086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730A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C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C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48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1279</Characters>
  <Application>Microsoft Macintosh Word</Application>
  <DocSecurity>0</DocSecurity>
  <Lines>47</Lines>
  <Paragraphs>23</Paragraphs>
  <ScaleCrop>false</ScaleCrop>
  <Company>无</Company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 孙</dc:creator>
  <cp:keywords/>
  <dc:description/>
  <cp:lastModifiedBy>mac 孙</cp:lastModifiedBy>
  <cp:revision>1</cp:revision>
  <dcterms:created xsi:type="dcterms:W3CDTF">2019-07-26T10:32:00Z</dcterms:created>
  <dcterms:modified xsi:type="dcterms:W3CDTF">2019-07-26T10:33:00Z</dcterms:modified>
</cp:coreProperties>
</file>