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9DB29" w14:textId="77777777" w:rsidR="005335F0" w:rsidRPr="00DF18AA" w:rsidRDefault="005335F0" w:rsidP="005335F0">
      <w:pPr>
        <w:spacing w:line="480" w:lineRule="auto"/>
        <w:jc w:val="center"/>
        <w:rPr>
          <w:sz w:val="36"/>
          <w:szCs w:val="36"/>
        </w:rPr>
      </w:pPr>
      <w:r w:rsidRPr="00DF18AA">
        <w:rPr>
          <w:sz w:val="36"/>
          <w:szCs w:val="36"/>
        </w:rPr>
        <w:t>Supplementary Materials for</w:t>
      </w:r>
    </w:p>
    <w:p w14:paraId="78D6C8D8" w14:textId="77777777" w:rsidR="00EB6202" w:rsidRPr="00DF18AA" w:rsidRDefault="00EB6202" w:rsidP="00EB6202">
      <w:pPr>
        <w:pStyle w:val="Head"/>
        <w:spacing w:before="0" w:line="480" w:lineRule="auto"/>
        <w:rPr>
          <w:bCs w:val="0"/>
          <w:sz w:val="24"/>
          <w:szCs w:val="24"/>
        </w:rPr>
      </w:pPr>
      <w:r w:rsidRPr="00DF18AA">
        <w:rPr>
          <w:bCs w:val="0"/>
          <w:sz w:val="24"/>
          <w:szCs w:val="24"/>
        </w:rPr>
        <w:t>Calpeptin is a potent cathepsin inhibitor and drug candidate for SARS-CoV-2 infections</w:t>
      </w:r>
    </w:p>
    <w:p w14:paraId="5059079A" w14:textId="77777777" w:rsidR="00523ECE" w:rsidRPr="00DF18AA" w:rsidRDefault="00523ECE" w:rsidP="00523ECE">
      <w:pPr>
        <w:pStyle w:val="Paragraph"/>
        <w:spacing w:before="0" w:line="480" w:lineRule="auto"/>
        <w:ind w:firstLine="0"/>
        <w:rPr>
          <w:color w:val="000000"/>
        </w:rPr>
      </w:pPr>
      <w:r w:rsidRPr="00DF18AA">
        <w:rPr>
          <w:color w:val="000000"/>
        </w:rPr>
        <w:t>Patrick YA Reinke</w:t>
      </w:r>
      <w:r w:rsidRPr="00DF18AA">
        <w:rPr>
          <w:color w:val="000000"/>
          <w:vertAlign w:val="superscript"/>
        </w:rPr>
        <w:t>1</w:t>
      </w:r>
      <w:r w:rsidRPr="00DF18AA">
        <w:rPr>
          <w:color w:val="000000"/>
        </w:rPr>
        <w:t xml:space="preserve">†, </w:t>
      </w:r>
      <w:proofErr w:type="spellStart"/>
      <w:r w:rsidRPr="00DF18AA">
        <w:rPr>
          <w:color w:val="000000"/>
        </w:rPr>
        <w:t>Edmarcia</w:t>
      </w:r>
      <w:proofErr w:type="spellEnd"/>
      <w:r w:rsidRPr="00DF18AA">
        <w:rPr>
          <w:color w:val="000000"/>
        </w:rPr>
        <w:t xml:space="preserve"> Elisa de Souza</w:t>
      </w:r>
      <w:r w:rsidRPr="00DF18AA">
        <w:rPr>
          <w:color w:val="000000"/>
          <w:vertAlign w:val="superscript"/>
        </w:rPr>
        <w:t>2</w:t>
      </w:r>
      <w:r w:rsidRPr="00DF18AA">
        <w:rPr>
          <w:color w:val="000000"/>
        </w:rPr>
        <w:t>†, Sebastian Günther</w:t>
      </w:r>
      <w:r w:rsidRPr="00DF18AA">
        <w:rPr>
          <w:color w:val="000000"/>
          <w:vertAlign w:val="superscript"/>
        </w:rPr>
        <w:t>1</w:t>
      </w:r>
      <w:r w:rsidRPr="00DF18AA">
        <w:rPr>
          <w:color w:val="000000"/>
        </w:rPr>
        <w:t>†, Sven Falke</w:t>
      </w:r>
      <w:r w:rsidRPr="00DF18AA">
        <w:rPr>
          <w:color w:val="000000"/>
          <w:vertAlign w:val="superscript"/>
        </w:rPr>
        <w:t>1</w:t>
      </w:r>
      <w:r w:rsidRPr="00DF18AA">
        <w:rPr>
          <w:color w:val="000000"/>
        </w:rPr>
        <w:t>, Julia Lieske</w:t>
      </w:r>
      <w:r w:rsidRPr="00DF18AA">
        <w:rPr>
          <w:color w:val="000000"/>
          <w:vertAlign w:val="superscript"/>
        </w:rPr>
        <w:t>1</w:t>
      </w:r>
      <w:r w:rsidRPr="00DF18AA">
        <w:rPr>
          <w:color w:val="000000"/>
        </w:rPr>
        <w:t xml:space="preserve">, </w:t>
      </w:r>
      <w:proofErr w:type="spellStart"/>
      <w:r w:rsidRPr="00DF18AA">
        <w:rPr>
          <w:color w:val="000000"/>
        </w:rPr>
        <w:t>Wiebke</w:t>
      </w:r>
      <w:proofErr w:type="spellEnd"/>
      <w:r w:rsidRPr="00DF18AA">
        <w:rPr>
          <w:color w:val="000000"/>
        </w:rPr>
        <w:t xml:space="preserve"> Ewert</w:t>
      </w:r>
      <w:r w:rsidRPr="00DF18AA">
        <w:rPr>
          <w:color w:val="000000"/>
          <w:vertAlign w:val="superscript"/>
        </w:rPr>
        <w:t>1</w:t>
      </w:r>
      <w:r w:rsidRPr="00DF18AA">
        <w:rPr>
          <w:color w:val="000000"/>
        </w:rPr>
        <w:t>, Jure Loboda</w:t>
      </w:r>
      <w:r w:rsidRPr="00DF18AA">
        <w:rPr>
          <w:color w:val="000000"/>
          <w:vertAlign w:val="superscript"/>
        </w:rPr>
        <w:t>3,4</w:t>
      </w:r>
      <w:r w:rsidRPr="00DF18AA">
        <w:rPr>
          <w:color w:val="000000"/>
        </w:rPr>
        <w:t>, Alexander Her</w:t>
      </w:r>
      <w:r>
        <w:rPr>
          <w:color w:val="000000"/>
        </w:rPr>
        <w:t>r</w:t>
      </w:r>
      <w:r w:rsidRPr="00DF18AA">
        <w:rPr>
          <w:color w:val="000000"/>
        </w:rPr>
        <w:t>mann</w:t>
      </w:r>
      <w:r w:rsidRPr="00DF18AA">
        <w:rPr>
          <w:color w:val="000000"/>
          <w:vertAlign w:val="superscript"/>
        </w:rPr>
        <w:t>5</w:t>
      </w:r>
      <w:r w:rsidRPr="00DF18AA">
        <w:rPr>
          <w:color w:val="000000"/>
        </w:rPr>
        <w:t xml:space="preserve">, Aida </w:t>
      </w:r>
      <w:proofErr w:type="spellStart"/>
      <w:r w:rsidRPr="00DF18AA">
        <w:rPr>
          <w:color w:val="000000"/>
        </w:rPr>
        <w:t>Rahmani</w:t>
      </w:r>
      <w:proofErr w:type="spellEnd"/>
      <w:r w:rsidRPr="00DF18AA">
        <w:rPr>
          <w:color w:val="000000"/>
        </w:rPr>
        <w:t xml:space="preserve"> Mashhour</w:t>
      </w:r>
      <w:r w:rsidRPr="00DF18AA">
        <w:rPr>
          <w:color w:val="000000"/>
          <w:vertAlign w:val="superscript"/>
        </w:rPr>
        <w:t>1</w:t>
      </w:r>
      <w:r w:rsidRPr="00DF18AA">
        <w:rPr>
          <w:color w:val="000000"/>
        </w:rPr>
        <w:t>, Katarina Karničar</w:t>
      </w:r>
      <w:r w:rsidRPr="00DF18AA">
        <w:rPr>
          <w:color w:val="000000"/>
          <w:vertAlign w:val="superscript"/>
        </w:rPr>
        <w:t>3,6</w:t>
      </w:r>
      <w:r w:rsidRPr="00DF18AA">
        <w:rPr>
          <w:color w:val="000000"/>
        </w:rPr>
        <w:t>, Aleksandra Usenik</w:t>
      </w:r>
      <w:r w:rsidRPr="00DF18AA">
        <w:rPr>
          <w:color w:val="000000"/>
          <w:vertAlign w:val="superscript"/>
        </w:rPr>
        <w:t>3,6</w:t>
      </w:r>
      <w:r w:rsidRPr="00DF18AA">
        <w:rPr>
          <w:color w:val="000000"/>
        </w:rPr>
        <w:t xml:space="preserve">, </w:t>
      </w:r>
      <w:proofErr w:type="spellStart"/>
      <w:r w:rsidRPr="00DF18AA">
        <w:rPr>
          <w:color w:val="000000"/>
        </w:rPr>
        <w:t>Nataša</w:t>
      </w:r>
      <w:proofErr w:type="spellEnd"/>
      <w:r w:rsidRPr="00DF18AA">
        <w:rPr>
          <w:color w:val="000000"/>
        </w:rPr>
        <w:t xml:space="preserve"> Lindič</w:t>
      </w:r>
      <w:r w:rsidRPr="00DF18AA">
        <w:rPr>
          <w:color w:val="000000"/>
          <w:vertAlign w:val="superscript"/>
        </w:rPr>
        <w:t>3</w:t>
      </w:r>
      <w:r w:rsidRPr="00DF18AA">
        <w:rPr>
          <w:color w:val="000000"/>
        </w:rPr>
        <w:t>, Andreja Sekirnik</w:t>
      </w:r>
      <w:r w:rsidRPr="00DF18AA">
        <w:rPr>
          <w:color w:val="000000"/>
          <w:vertAlign w:val="superscript"/>
        </w:rPr>
        <w:t>3</w:t>
      </w:r>
      <w:r w:rsidRPr="00DF18AA">
        <w:rPr>
          <w:color w:val="000000"/>
        </w:rPr>
        <w:t xml:space="preserve">, Viviane </w:t>
      </w:r>
      <w:proofErr w:type="spellStart"/>
      <w:r w:rsidRPr="00DF18AA">
        <w:rPr>
          <w:color w:val="000000"/>
        </w:rPr>
        <w:t>Fongaro</w:t>
      </w:r>
      <w:proofErr w:type="spellEnd"/>
      <w:r w:rsidRPr="00DF18AA">
        <w:rPr>
          <w:color w:val="000000"/>
        </w:rPr>
        <w:t xml:space="preserve"> Botosso</w:t>
      </w:r>
      <w:r w:rsidRPr="00DF18AA">
        <w:rPr>
          <w:color w:val="000000"/>
          <w:vertAlign w:val="superscript"/>
        </w:rPr>
        <w:t>7</w:t>
      </w:r>
      <w:r w:rsidRPr="00DF18AA">
        <w:rPr>
          <w:color w:val="000000"/>
        </w:rPr>
        <w:t xml:space="preserve">, </w:t>
      </w:r>
      <w:proofErr w:type="spellStart"/>
      <w:r w:rsidRPr="00DF18AA">
        <w:rPr>
          <w:color w:val="000000"/>
        </w:rPr>
        <w:t>Gláucia</w:t>
      </w:r>
      <w:proofErr w:type="spellEnd"/>
      <w:r w:rsidRPr="00DF18AA">
        <w:rPr>
          <w:color w:val="000000"/>
        </w:rPr>
        <w:t xml:space="preserve"> Maria Machado Santelli</w:t>
      </w:r>
      <w:r w:rsidRPr="00A170BE">
        <w:rPr>
          <w:color w:val="000000"/>
          <w:vertAlign w:val="superscript"/>
        </w:rPr>
        <w:t>8</w:t>
      </w:r>
      <w:r w:rsidRPr="00DF18AA">
        <w:rPr>
          <w:color w:val="000000"/>
        </w:rPr>
        <w:t xml:space="preserve">, </w:t>
      </w:r>
      <w:proofErr w:type="spellStart"/>
      <w:r w:rsidRPr="00DF18AA">
        <w:rPr>
          <w:color w:val="000000"/>
        </w:rPr>
        <w:t>Josana</w:t>
      </w:r>
      <w:proofErr w:type="spellEnd"/>
      <w:r w:rsidRPr="00DF18AA">
        <w:rPr>
          <w:color w:val="000000"/>
        </w:rPr>
        <w:t xml:space="preserve"> Kapronezai</w:t>
      </w:r>
      <w:r w:rsidRPr="00DF18AA">
        <w:rPr>
          <w:color w:val="000000"/>
          <w:vertAlign w:val="superscript"/>
        </w:rPr>
        <w:t>7</w:t>
      </w:r>
      <w:r w:rsidRPr="00DF18AA">
        <w:rPr>
          <w:color w:val="000000"/>
        </w:rPr>
        <w:t xml:space="preserve">, Marcelo </w:t>
      </w:r>
      <w:proofErr w:type="spellStart"/>
      <w:r w:rsidRPr="00DF18AA">
        <w:rPr>
          <w:color w:val="000000"/>
        </w:rPr>
        <w:t>Valdemir</w:t>
      </w:r>
      <w:proofErr w:type="spellEnd"/>
      <w:r w:rsidRPr="00DF18AA">
        <w:rPr>
          <w:color w:val="000000"/>
        </w:rPr>
        <w:t xml:space="preserve"> de Araújo</w:t>
      </w:r>
      <w:r w:rsidRPr="00DF18AA">
        <w:rPr>
          <w:color w:val="000000"/>
          <w:vertAlign w:val="superscript"/>
        </w:rPr>
        <w:t>7,</w:t>
      </w:r>
      <w:r>
        <w:rPr>
          <w:color w:val="000000"/>
          <w:vertAlign w:val="superscript"/>
        </w:rPr>
        <w:t>9</w:t>
      </w:r>
      <w:r w:rsidRPr="00DF18AA">
        <w:rPr>
          <w:color w:val="000000"/>
        </w:rPr>
        <w:t xml:space="preserve">, </w:t>
      </w:r>
      <w:proofErr w:type="spellStart"/>
      <w:r w:rsidRPr="00DF18AA">
        <w:rPr>
          <w:color w:val="000000"/>
        </w:rPr>
        <w:t>Taiana</w:t>
      </w:r>
      <w:proofErr w:type="spellEnd"/>
      <w:r w:rsidRPr="00DF18AA">
        <w:rPr>
          <w:color w:val="000000"/>
        </w:rPr>
        <w:t xml:space="preserve"> </w:t>
      </w:r>
      <w:proofErr w:type="spellStart"/>
      <w:r w:rsidRPr="00DF18AA">
        <w:rPr>
          <w:color w:val="000000"/>
        </w:rPr>
        <w:t>Tainá</w:t>
      </w:r>
      <w:proofErr w:type="spellEnd"/>
      <w:r w:rsidRPr="00DF18AA">
        <w:rPr>
          <w:color w:val="000000"/>
        </w:rPr>
        <w:t xml:space="preserve"> Silva-Pereira</w:t>
      </w:r>
      <w:r w:rsidRPr="00DF18AA">
        <w:rPr>
          <w:color w:val="000000"/>
          <w:vertAlign w:val="superscript"/>
        </w:rPr>
        <w:t>9</w:t>
      </w:r>
      <w:r>
        <w:rPr>
          <w:color w:val="000000"/>
          <w:vertAlign w:val="superscript"/>
        </w:rPr>
        <w:t>,10</w:t>
      </w:r>
      <w:r w:rsidRPr="00DF18AA">
        <w:rPr>
          <w:color w:val="000000"/>
        </w:rPr>
        <w:t>, Antônio Francisco de Souza Filho</w:t>
      </w:r>
      <w:r w:rsidRPr="00A170BE">
        <w:rPr>
          <w:color w:val="000000"/>
          <w:vertAlign w:val="superscript"/>
        </w:rPr>
        <w:t>9</w:t>
      </w:r>
      <w:r w:rsidRPr="00DF18AA">
        <w:rPr>
          <w:color w:val="000000"/>
        </w:rPr>
        <w:t>, Mariana Silva Tavares</w:t>
      </w:r>
      <w:r>
        <w:rPr>
          <w:color w:val="000000"/>
          <w:vertAlign w:val="superscript"/>
        </w:rPr>
        <w:t>9</w:t>
      </w:r>
      <w:r w:rsidRPr="00DF18AA">
        <w:rPr>
          <w:color w:val="000000"/>
        </w:rPr>
        <w:t xml:space="preserve">, </w:t>
      </w:r>
      <w:proofErr w:type="spellStart"/>
      <w:r w:rsidRPr="00DF18AA">
        <w:rPr>
          <w:color w:val="000000"/>
        </w:rPr>
        <w:t>Lizdany</w:t>
      </w:r>
      <w:proofErr w:type="spellEnd"/>
      <w:r w:rsidRPr="00DF18AA">
        <w:rPr>
          <w:color w:val="000000"/>
        </w:rPr>
        <w:t xml:space="preserve"> Flórez-Álvarez</w:t>
      </w:r>
      <w:r w:rsidRPr="00DF18AA">
        <w:rPr>
          <w:color w:val="000000"/>
          <w:vertAlign w:val="superscript"/>
        </w:rPr>
        <w:t>2</w:t>
      </w:r>
      <w:r w:rsidRPr="00DF18AA">
        <w:rPr>
          <w:color w:val="000000"/>
        </w:rPr>
        <w:t xml:space="preserve">, </w:t>
      </w:r>
      <w:r w:rsidRPr="00DF18AA">
        <w:rPr>
          <w:color w:val="212121"/>
          <w:shd w:val="clear" w:color="auto" w:fill="FFFFFF"/>
        </w:rPr>
        <w:t>Danielle Bruna Leal de Oliveira</w:t>
      </w:r>
      <w:r w:rsidRPr="007E25DF">
        <w:rPr>
          <w:color w:val="212121"/>
          <w:shd w:val="clear" w:color="auto" w:fill="FFFFFF"/>
          <w:vertAlign w:val="superscript"/>
        </w:rPr>
        <w:t>9</w:t>
      </w:r>
      <w:r w:rsidRPr="00DF18AA">
        <w:rPr>
          <w:color w:val="212121"/>
          <w:shd w:val="clear" w:color="auto" w:fill="FFFFFF"/>
        </w:rPr>
        <w:t>,</w:t>
      </w:r>
      <w:r w:rsidRPr="00DF18AA">
        <w:rPr>
          <w:color w:val="000000"/>
        </w:rPr>
        <w:t xml:space="preserve"> Edison Luiz Durigon</w:t>
      </w:r>
      <w:r>
        <w:rPr>
          <w:color w:val="000000"/>
          <w:vertAlign w:val="superscript"/>
        </w:rPr>
        <w:t>9</w:t>
      </w:r>
      <w:r w:rsidRPr="00DF18AA">
        <w:rPr>
          <w:color w:val="000000"/>
        </w:rPr>
        <w:t>, Paula Roberta Giaretta</w:t>
      </w:r>
      <w:r w:rsidRPr="00DF18AA">
        <w:rPr>
          <w:color w:val="000000"/>
          <w:vertAlign w:val="superscript"/>
        </w:rPr>
        <w:t>1</w:t>
      </w:r>
      <w:r>
        <w:rPr>
          <w:color w:val="000000"/>
          <w:vertAlign w:val="superscript"/>
        </w:rPr>
        <w:t>1</w:t>
      </w:r>
      <w:r w:rsidRPr="00DF18AA">
        <w:rPr>
          <w:color w:val="000000"/>
          <w:vertAlign w:val="superscript"/>
        </w:rPr>
        <w:t>,</w:t>
      </w:r>
      <w:r w:rsidRPr="00DF18AA">
        <w:rPr>
          <w:color w:val="000000"/>
        </w:rPr>
        <w:t xml:space="preserve"> Marcos Bryan Heinemann</w:t>
      </w:r>
      <w:r>
        <w:rPr>
          <w:color w:val="000000"/>
          <w:vertAlign w:val="superscript"/>
        </w:rPr>
        <w:t>10</w:t>
      </w:r>
      <w:r w:rsidRPr="00DF18AA">
        <w:rPr>
          <w:color w:val="000000"/>
        </w:rPr>
        <w:t>, Maurice Hauser</w:t>
      </w:r>
      <w:r w:rsidRPr="00DF18AA">
        <w:rPr>
          <w:color w:val="000000"/>
          <w:vertAlign w:val="superscript"/>
        </w:rPr>
        <w:t>1</w:t>
      </w:r>
      <w:r>
        <w:rPr>
          <w:color w:val="000000"/>
          <w:vertAlign w:val="superscript"/>
        </w:rPr>
        <w:t>2</w:t>
      </w:r>
      <w:r w:rsidRPr="00DF18AA">
        <w:rPr>
          <w:color w:val="000000"/>
        </w:rPr>
        <w:t>, Brandon Seychell</w:t>
      </w:r>
      <w:r w:rsidRPr="00DF18AA">
        <w:rPr>
          <w:color w:val="000000"/>
          <w:vertAlign w:val="superscript"/>
        </w:rPr>
        <w:t>1</w:t>
      </w:r>
      <w:r>
        <w:rPr>
          <w:color w:val="000000"/>
          <w:vertAlign w:val="superscript"/>
        </w:rPr>
        <w:t>3</w:t>
      </w:r>
      <w:r w:rsidRPr="00DF18AA">
        <w:rPr>
          <w:color w:val="000000"/>
        </w:rPr>
        <w:t>, Hendrik Böhler</w:t>
      </w:r>
      <w:r w:rsidRPr="00DF18AA">
        <w:rPr>
          <w:color w:val="000000"/>
          <w:vertAlign w:val="superscript"/>
        </w:rPr>
        <w:t>1</w:t>
      </w:r>
      <w:r>
        <w:rPr>
          <w:color w:val="000000"/>
          <w:vertAlign w:val="superscript"/>
        </w:rPr>
        <w:t>3</w:t>
      </w:r>
      <w:r w:rsidRPr="00DF18AA">
        <w:rPr>
          <w:color w:val="000000"/>
        </w:rPr>
        <w:t xml:space="preserve">, </w:t>
      </w:r>
      <w:proofErr w:type="spellStart"/>
      <w:r w:rsidRPr="00DF18AA">
        <w:rPr>
          <w:color w:val="000000"/>
        </w:rPr>
        <w:t>Wioletta</w:t>
      </w:r>
      <w:proofErr w:type="spellEnd"/>
      <w:r w:rsidRPr="00DF18AA">
        <w:rPr>
          <w:color w:val="000000"/>
        </w:rPr>
        <w:t xml:space="preserve"> Rut</w:t>
      </w:r>
      <w:r w:rsidRPr="00DF18AA">
        <w:rPr>
          <w:color w:val="000000"/>
          <w:vertAlign w:val="superscript"/>
        </w:rPr>
        <w:t>1</w:t>
      </w:r>
      <w:r>
        <w:rPr>
          <w:color w:val="000000"/>
          <w:vertAlign w:val="superscript"/>
        </w:rPr>
        <w:t>4</w:t>
      </w:r>
      <w:r w:rsidRPr="00DF18AA">
        <w:rPr>
          <w:color w:val="000000"/>
        </w:rPr>
        <w:t>, Marcin Drag</w:t>
      </w:r>
      <w:r w:rsidRPr="00DF18AA">
        <w:rPr>
          <w:color w:val="000000"/>
          <w:vertAlign w:val="superscript"/>
        </w:rPr>
        <w:t>1</w:t>
      </w:r>
      <w:r>
        <w:rPr>
          <w:color w:val="000000"/>
          <w:vertAlign w:val="superscript"/>
        </w:rPr>
        <w:t>4</w:t>
      </w:r>
      <w:r w:rsidRPr="00DF18AA">
        <w:rPr>
          <w:color w:val="000000"/>
        </w:rPr>
        <w:t>, Tobias Beck</w:t>
      </w:r>
      <w:r w:rsidRPr="00DF18AA">
        <w:rPr>
          <w:color w:val="000000"/>
          <w:vertAlign w:val="superscript"/>
        </w:rPr>
        <w:t>1</w:t>
      </w:r>
      <w:r>
        <w:rPr>
          <w:color w:val="000000"/>
          <w:vertAlign w:val="superscript"/>
        </w:rPr>
        <w:t>3</w:t>
      </w:r>
      <w:r w:rsidRPr="00DF18AA">
        <w:rPr>
          <w:color w:val="000000"/>
          <w:vertAlign w:val="superscript"/>
        </w:rPr>
        <w:t>,1</w:t>
      </w:r>
      <w:r>
        <w:rPr>
          <w:color w:val="000000"/>
          <w:vertAlign w:val="superscript"/>
        </w:rPr>
        <w:t>5</w:t>
      </w:r>
      <w:r w:rsidRPr="00DF18AA">
        <w:rPr>
          <w:color w:val="000000"/>
        </w:rPr>
        <w:t>, Russell Cox</w:t>
      </w:r>
      <w:r w:rsidRPr="00DF18AA">
        <w:rPr>
          <w:color w:val="000000"/>
          <w:vertAlign w:val="superscript"/>
        </w:rPr>
        <w:t>1</w:t>
      </w:r>
      <w:r>
        <w:rPr>
          <w:color w:val="000000"/>
          <w:vertAlign w:val="superscript"/>
        </w:rPr>
        <w:t>2</w:t>
      </w:r>
      <w:r w:rsidRPr="00DF18AA">
        <w:rPr>
          <w:color w:val="000000"/>
        </w:rPr>
        <w:t>, Henry N Chapman</w:t>
      </w:r>
      <w:r w:rsidRPr="00DF18AA">
        <w:rPr>
          <w:color w:val="000000"/>
          <w:vertAlign w:val="superscript"/>
        </w:rPr>
        <w:t>1,1</w:t>
      </w:r>
      <w:r>
        <w:rPr>
          <w:color w:val="000000"/>
          <w:vertAlign w:val="superscript"/>
        </w:rPr>
        <w:t>5</w:t>
      </w:r>
      <w:r w:rsidRPr="00DF18AA">
        <w:rPr>
          <w:color w:val="000000"/>
          <w:vertAlign w:val="superscript"/>
        </w:rPr>
        <w:t>,1</w:t>
      </w:r>
      <w:r>
        <w:rPr>
          <w:color w:val="000000"/>
          <w:vertAlign w:val="superscript"/>
        </w:rPr>
        <w:t>6</w:t>
      </w:r>
      <w:r w:rsidRPr="00DF18AA">
        <w:rPr>
          <w:color w:val="000000"/>
        </w:rPr>
        <w:t>, Christian Betzel</w:t>
      </w:r>
      <w:r w:rsidRPr="00DF18AA">
        <w:rPr>
          <w:color w:val="000000"/>
          <w:vertAlign w:val="superscript"/>
        </w:rPr>
        <w:t>1</w:t>
      </w:r>
      <w:r>
        <w:rPr>
          <w:color w:val="000000"/>
          <w:vertAlign w:val="superscript"/>
        </w:rPr>
        <w:t>5</w:t>
      </w:r>
      <w:r w:rsidRPr="00DF18AA">
        <w:rPr>
          <w:color w:val="000000"/>
          <w:vertAlign w:val="superscript"/>
        </w:rPr>
        <w:t>,1</w:t>
      </w:r>
      <w:r>
        <w:rPr>
          <w:color w:val="000000"/>
          <w:vertAlign w:val="superscript"/>
        </w:rPr>
        <w:t>7</w:t>
      </w:r>
      <w:r w:rsidRPr="00DF18AA">
        <w:rPr>
          <w:color w:val="000000"/>
        </w:rPr>
        <w:t>, Wolfgang Brehm</w:t>
      </w:r>
      <w:r w:rsidRPr="00DF18AA">
        <w:rPr>
          <w:color w:val="000000"/>
          <w:vertAlign w:val="superscript"/>
        </w:rPr>
        <w:t>1</w:t>
      </w:r>
      <w:r w:rsidRPr="00DF18AA">
        <w:rPr>
          <w:color w:val="000000"/>
        </w:rPr>
        <w:t>, Winfried Hinrichs</w:t>
      </w:r>
      <w:r w:rsidRPr="00DF18AA">
        <w:rPr>
          <w:color w:val="000000"/>
          <w:vertAlign w:val="superscript"/>
        </w:rPr>
        <w:t>1</w:t>
      </w:r>
      <w:r>
        <w:rPr>
          <w:color w:val="000000"/>
          <w:vertAlign w:val="superscript"/>
        </w:rPr>
        <w:t>8</w:t>
      </w:r>
      <w:r w:rsidRPr="00DF18AA">
        <w:rPr>
          <w:color w:val="000000"/>
        </w:rPr>
        <w:t>, Gregor Ebert</w:t>
      </w:r>
      <w:r w:rsidRPr="00DF18AA">
        <w:rPr>
          <w:color w:val="000000"/>
          <w:vertAlign w:val="superscript"/>
        </w:rPr>
        <w:t>5</w:t>
      </w:r>
      <w:r>
        <w:rPr>
          <w:color w:val="000000"/>
          <w:vertAlign w:val="superscript"/>
        </w:rPr>
        <w:t>,19</w:t>
      </w:r>
      <w:r w:rsidRPr="00DF18AA">
        <w:rPr>
          <w:color w:val="000000"/>
        </w:rPr>
        <w:t xml:space="preserve">, </w:t>
      </w:r>
      <w:proofErr w:type="spellStart"/>
      <w:r w:rsidRPr="00DF18AA">
        <w:rPr>
          <w:color w:val="000000"/>
        </w:rPr>
        <w:t>Sharissa</w:t>
      </w:r>
      <w:proofErr w:type="spellEnd"/>
      <w:r w:rsidRPr="00DF18AA">
        <w:rPr>
          <w:color w:val="000000"/>
        </w:rPr>
        <w:t xml:space="preserve"> </w:t>
      </w:r>
      <w:r>
        <w:rPr>
          <w:color w:val="000000"/>
        </w:rPr>
        <w:t xml:space="preserve">L </w:t>
      </w:r>
      <w:r w:rsidRPr="00DF18AA">
        <w:rPr>
          <w:color w:val="000000"/>
        </w:rPr>
        <w:t>Latham</w:t>
      </w:r>
      <w:r>
        <w:rPr>
          <w:color w:val="000000"/>
          <w:vertAlign w:val="superscript"/>
        </w:rPr>
        <w:t>20, 21</w:t>
      </w:r>
      <w:r w:rsidRPr="00DF18AA">
        <w:rPr>
          <w:color w:val="000000"/>
        </w:rPr>
        <w:t>, Ana Marcia de Sá Guimarães</w:t>
      </w:r>
      <w:r>
        <w:rPr>
          <w:color w:val="000000"/>
          <w:vertAlign w:val="superscript"/>
        </w:rPr>
        <w:t>9</w:t>
      </w:r>
      <w:r w:rsidRPr="00DF18AA">
        <w:rPr>
          <w:color w:val="000000"/>
        </w:rPr>
        <w:t xml:space="preserve">, </w:t>
      </w:r>
      <w:proofErr w:type="spellStart"/>
      <w:r w:rsidRPr="00DF18AA">
        <w:rPr>
          <w:color w:val="000000"/>
        </w:rPr>
        <w:t>Dusan</w:t>
      </w:r>
      <w:proofErr w:type="spellEnd"/>
      <w:r w:rsidRPr="00DF18AA">
        <w:rPr>
          <w:color w:val="000000"/>
        </w:rPr>
        <w:t xml:space="preserve"> Turk</w:t>
      </w:r>
      <w:r w:rsidRPr="00DF18AA">
        <w:rPr>
          <w:color w:val="000000"/>
          <w:vertAlign w:val="superscript"/>
        </w:rPr>
        <w:t>3,6</w:t>
      </w:r>
      <w:r w:rsidRPr="00DF18AA">
        <w:rPr>
          <w:color w:val="000000"/>
        </w:rPr>
        <w:t>*, Carsten Wrenger</w:t>
      </w:r>
      <w:r w:rsidRPr="00DF18AA">
        <w:rPr>
          <w:color w:val="000000"/>
          <w:vertAlign w:val="superscript"/>
        </w:rPr>
        <w:t>2</w:t>
      </w:r>
      <w:r w:rsidRPr="00DF18AA">
        <w:rPr>
          <w:color w:val="000000"/>
        </w:rPr>
        <w:t xml:space="preserve">*, </w:t>
      </w:r>
      <w:proofErr w:type="spellStart"/>
      <w:r w:rsidRPr="00DF18AA">
        <w:rPr>
          <w:color w:val="000000"/>
        </w:rPr>
        <w:t>Alke</w:t>
      </w:r>
      <w:proofErr w:type="spellEnd"/>
      <w:r w:rsidRPr="00DF18AA">
        <w:rPr>
          <w:color w:val="000000"/>
        </w:rPr>
        <w:t xml:space="preserve"> Meents</w:t>
      </w:r>
      <w:r w:rsidRPr="00DF18AA">
        <w:rPr>
          <w:color w:val="000000"/>
          <w:vertAlign w:val="superscript"/>
        </w:rPr>
        <w:t>1</w:t>
      </w:r>
      <w:r w:rsidRPr="00DF18AA">
        <w:rPr>
          <w:color w:val="000000"/>
        </w:rPr>
        <w:t>*</w:t>
      </w:r>
    </w:p>
    <w:p w14:paraId="463063C3" w14:textId="77777777" w:rsidR="005335F0" w:rsidRPr="00DF18AA" w:rsidRDefault="005335F0" w:rsidP="005335F0">
      <w:pPr>
        <w:spacing w:line="480" w:lineRule="auto"/>
        <w:jc w:val="center"/>
        <w:rPr>
          <w:sz w:val="16"/>
          <w:szCs w:val="16"/>
        </w:rPr>
      </w:pPr>
      <w:r w:rsidRPr="00DF18AA">
        <w:t xml:space="preserve">*Corresponding author. Email: </w:t>
      </w:r>
      <w:r w:rsidRPr="00DF18AA">
        <w:rPr>
          <w:szCs w:val="16"/>
        </w:rPr>
        <w:t>dusan.turk@ijs.si, cwrenger@icb.usp.br, alke.meents@desy.de</w:t>
      </w:r>
    </w:p>
    <w:p w14:paraId="53382293" w14:textId="77777777" w:rsidR="005335F0" w:rsidRPr="00DF18AA" w:rsidRDefault="005335F0" w:rsidP="005335F0">
      <w:pPr>
        <w:spacing w:line="480" w:lineRule="auto"/>
        <w:rPr>
          <w:b/>
        </w:rPr>
      </w:pPr>
    </w:p>
    <w:p w14:paraId="2B9333AD" w14:textId="77777777" w:rsidR="005335F0" w:rsidRPr="00DF18AA" w:rsidRDefault="005335F0" w:rsidP="005335F0">
      <w:pPr>
        <w:spacing w:line="480" w:lineRule="auto"/>
        <w:rPr>
          <w:b/>
        </w:rPr>
      </w:pPr>
      <w:r w:rsidRPr="00DF18AA">
        <w:rPr>
          <w:b/>
        </w:rPr>
        <w:t>This PDF file includes:</w:t>
      </w:r>
    </w:p>
    <w:p w14:paraId="49323842" w14:textId="77777777" w:rsidR="005335F0" w:rsidRPr="00DF18AA" w:rsidRDefault="005335F0" w:rsidP="005335F0">
      <w:pPr>
        <w:spacing w:line="480" w:lineRule="auto"/>
      </w:pPr>
    </w:p>
    <w:p w14:paraId="26A50F99" w14:textId="77777777" w:rsidR="005335F0" w:rsidRPr="00DF18AA" w:rsidRDefault="005335F0" w:rsidP="005335F0">
      <w:pPr>
        <w:spacing w:line="480" w:lineRule="auto"/>
        <w:ind w:left="720"/>
      </w:pPr>
      <w:r w:rsidRPr="00DF18AA">
        <w:t>Supplementary Text</w:t>
      </w:r>
    </w:p>
    <w:p w14:paraId="29A8A60C" w14:textId="31764943" w:rsidR="005335F0" w:rsidRPr="00DF18AA" w:rsidRDefault="005335F0" w:rsidP="005335F0">
      <w:pPr>
        <w:spacing w:line="480" w:lineRule="auto"/>
        <w:ind w:left="720"/>
      </w:pPr>
      <w:r w:rsidRPr="00DF18AA">
        <w:t>Figs. S1 to S</w:t>
      </w:r>
      <w:r w:rsidR="00A2751A">
        <w:t>1</w:t>
      </w:r>
      <w:r w:rsidR="00620D58">
        <w:t>0</w:t>
      </w:r>
      <w:r w:rsidRPr="00DF18AA">
        <w:t>Tables S1 to S3</w:t>
      </w:r>
    </w:p>
    <w:p w14:paraId="4C1CF242" w14:textId="77777777" w:rsidR="005335F0" w:rsidRPr="00DF18AA" w:rsidRDefault="005335F0" w:rsidP="005335F0">
      <w:pPr>
        <w:pStyle w:val="Paragraph"/>
        <w:spacing w:before="0" w:line="480" w:lineRule="auto"/>
        <w:ind w:firstLine="0"/>
        <w:rPr>
          <w:b/>
        </w:rPr>
      </w:pPr>
    </w:p>
    <w:p w14:paraId="0D86ACD7" w14:textId="77777777" w:rsidR="005335F0" w:rsidRPr="00DF18AA" w:rsidRDefault="005335F0" w:rsidP="005335F0">
      <w:pPr>
        <w:pStyle w:val="Paragraph"/>
        <w:spacing w:before="0" w:line="480" w:lineRule="auto"/>
        <w:ind w:firstLine="0"/>
        <w:rPr>
          <w:b/>
        </w:rPr>
      </w:pPr>
      <w:r w:rsidRPr="00DF18AA">
        <w:rPr>
          <w:b/>
        </w:rPr>
        <w:t>Supplementary Materials</w:t>
      </w:r>
    </w:p>
    <w:p w14:paraId="02A165F0" w14:textId="77777777" w:rsidR="005335F0" w:rsidRPr="00DF18AA" w:rsidRDefault="005335F0" w:rsidP="005335F0">
      <w:pPr>
        <w:spacing w:line="480" w:lineRule="auto"/>
        <w:ind w:left="720"/>
        <w:rPr>
          <w:rFonts w:eastAsia="Times New Roman"/>
          <w:sz w:val="24"/>
          <w:szCs w:val="24"/>
        </w:rPr>
      </w:pPr>
    </w:p>
    <w:p w14:paraId="04D053A6" w14:textId="522CCC32" w:rsidR="005335F0" w:rsidRPr="00DF18AA" w:rsidRDefault="005335F0" w:rsidP="005335F0">
      <w:pPr>
        <w:pStyle w:val="SMSubheading"/>
        <w:spacing w:line="480" w:lineRule="auto"/>
      </w:pPr>
      <w:r w:rsidRPr="00DF18AA">
        <w:t xml:space="preserve">Detailed description of the X-ray </w:t>
      </w:r>
      <w:r w:rsidR="00DB6988">
        <w:t xml:space="preserve">crystal </w:t>
      </w:r>
      <w:r w:rsidRPr="00DF18AA">
        <w:t xml:space="preserve">structures of protease-inhibitor complexes </w:t>
      </w:r>
    </w:p>
    <w:p w14:paraId="4725C845" w14:textId="0E9BD06A" w:rsidR="005335F0" w:rsidRPr="00DF18AA" w:rsidRDefault="005335F0" w:rsidP="005335F0">
      <w:pPr>
        <w:pStyle w:val="SMText"/>
        <w:spacing w:line="480" w:lineRule="auto"/>
      </w:pPr>
      <w:proofErr w:type="spellStart"/>
      <w:r w:rsidRPr="00DF18AA">
        <w:rPr>
          <w:b/>
        </w:rPr>
        <w:t>M</w:t>
      </w:r>
      <w:r w:rsidRPr="00DF18AA">
        <w:rPr>
          <w:b/>
          <w:vertAlign w:val="superscript"/>
        </w:rPr>
        <w:t>pro</w:t>
      </w:r>
      <w:proofErr w:type="spellEnd"/>
      <w:r w:rsidRPr="00DF18AA">
        <w:rPr>
          <w:b/>
        </w:rPr>
        <w:t xml:space="preserve"> inhibitor complexes. </w:t>
      </w:r>
      <w:r w:rsidRPr="00DF18AA">
        <w:t xml:space="preserve">The structures of Calpeptin and GC-376 bound to </w:t>
      </w:r>
      <w:proofErr w:type="spellStart"/>
      <w:r w:rsidRPr="00DF18AA">
        <w:t>M</w:t>
      </w:r>
      <w:r w:rsidRPr="00DF18AA">
        <w:rPr>
          <w:vertAlign w:val="superscript"/>
        </w:rPr>
        <w:t>pro</w:t>
      </w:r>
      <w:proofErr w:type="spellEnd"/>
      <w:r w:rsidRPr="00DF18AA">
        <w:t xml:space="preserve"> were previously described</w:t>
      </w:r>
      <w:r w:rsidRPr="00DF18AA">
        <w:fldChar w:fldCharType="begin"/>
      </w:r>
      <w:r w:rsidR="0062283D">
        <w:instrText xml:space="preserve"> ADDIN ZOTERO_ITEM CSL_CITATION {"citationID":"yun6wRCF","properties":{"formattedCitation":"\\super 3,19,29,60\\nosupersub{}","plainCitation":"3,19,29,60","noteIndex":0},"citationItems":[{"id":104,"uris":["http://zotero.org/groups/4570191/items/MB4T7K6V"],"itemData":{"id":104,"type":"article-journal","abstract":"The coronavirus disease (COVID-19) caused by SARS-CoV-2 is creating tremendous human suffering. To date, no effective drug is available to directly treat the disease. In a search for a drug against COVID-19, we have performed a high-throughput x-ray crystallographic screen of two repurposing drug libraries against the SARS-CoV-2 main protease (Mpro), which is essential for viral replication. In contrast to commonly applied x-ray fragment screening experiments with molecules of low complexity, our screen tested already-approved drugs and drugs in clinical trials. From the three-dimensional protein structures, we identified 37 compounds that bind to Mpro In subsequent cell-based viral reduction assays, one peptidomimetic and six nonpeptidic compounds showed antiviral activity at nontoxic concentrations. We identified two allosteric binding sites representing attractive targets for drug development against SARS-CoV-2.","container-title":"Science (New York, N.Y.)","DOI":"10.1126/science.abf7945","ISSN":"1095-9203","issue":"6542","journalAbbreviation":"Science","language":"eng","note":"PMID: 33811162\nPMCID: PMC8224385","page":"642-646","source":"PubMed","title":"X-ray screening identifies active site and allosteric inhibitors of SARS-CoV-2 main protease","volume":"372","author":[{"family":"Günther","given":"Sebastian"},{"family":"Reinke","given":"Patrick Y. A."},{"family":"Fernández-García","given":"Yaiza"},{"family":"Lieske","given":"Julia"},{"family":"Lane","given":"Thomas J."},{"family":"Ginn","given":"Helen M."},{"family":"Koua","given":"Faisal H. M."},{"family":"Ehrt","given":"Christiane"},{"family":"Ewert","given":"Wiebke"},{"family":"Oberthuer","given":"Dominik"},{"family":"Yefanov","given":"Oleksandr"},{"family":"Meier","given":"Susanne"},{"family":"Lorenzen","given":"Kristina"},{"family":"Krichel","given":"Boris"},{"family":"Kopicki","given":"Janine-Denise"},{"family":"Gelisio","given":"Luca"},{"family":"Brehm","given":"Wolfgang"},{"family":"Dunkel","given":"Ilona"},{"family":"Seychell","given":"Brandon"},{"family":"Gieseler","given":"Henry"},{"family":"Norton-Baker","given":"Brenna"},{"family":"Escudero-Pérez","given":"Beatriz"},{"family":"Domaracky","given":"Martin"},{"family":"Saouane","given":"Sofiane"},{"family":"Tolstikova","given":"Alexandra"},{"family":"White","given":"Thomas A."},{"family":"Hänle","given":"Anna"},{"family":"Groessler","given":"Michael"},{"family":"Fleckenstein","given":"Holger"},{"family":"Trost","given":"Fabian"},{"family":"Galchenkova","given":"Marina"},{"family":"Gevorkov","given":"Yaroslav"},{"family":"Li","given":"Chufeng"},{"family":"Awel","given":"Salah"},{"family":"Peck","given":"Ariana"},{"family":"Barthelmess","given":"Miriam"},{"family":"Schlünzen","given":"Frank"},{"family":"Lourdu Xavier","given":"P."},{"family":"Werner","given":"Nadine"},{"family":"Andaleeb","given":"Hina"},{"family":"Ullah","given":"Najeeb"},{"family":"Falke","given":"Sven"},{"family":"Srinivasan","given":"Vasundara"},{"family":"França","given":"Bruno Alves"},{"family":"Schwinzer","given":"Martin"},{"family":"Brognaro","given":"Hévila"},{"family":"Rogers","given":"Cromarte"},{"family":"Melo","given":"Diogo"},{"family":"Zaitseva-Doyle","given":"Joanna J."},{"family":"Knoska","given":"Juraj"},{"family":"Peña-Murillo","given":"Gisel E."},{"family":"Mashhour","given":"Aida Rahmani"},{"family":"Hennicke","given":"Vincent"},{"family":"Fischer","given":"Pontus"},{"family":"Hakanpää","given":"Johanna"},{"family":"Meyer","given":"Jan"},{"family":"Gribbon","given":"Philip"},{"family":"Ellinger","given":"Bernhard"},{"family":"Kuzikov","given":"Maria"},{"family":"Wolf","given":"Markus"},{"family":"Beccari","given":"Andrea R."},{"family":"Bourenkov","given":"Gleb"},{"family":"Stetten","given":"David","non-dropping-particle":"von"},{"family":"Pompidor","given":"Guillaume"},{"family":"Bento","given":"Isabel"},{"family":"Panneerselvam","given":"Saravanan"},{"family":"Karpics","given":"Ivars"},{"family":"Schneider","given":"Thomas R."},{"family":"Garcia-Alai","given":"Maria Marta"},{"family":"Niebling","given":"Stephan"},{"family":"Günther","given":"Christian"},{"family":"Schmidt","given":"Christina"},{"family":"Schubert","given":"Robin"},{"family":"Han","given":"Huijong"},{"family":"Boger","given":"Juliane"},{"family":"Monteiro","given":"Diana C. F."},{"family":"Zhang","given":"Linlin"},{"family":"Sun","given":"Xinyuanyuan"},{"family":"Pletzer-Zelgert","given":"Jonathan"},{"family":"Wollenhaupt","given":"Jan"},{"family":"Feiler","given":"Christian G."},{"family":"Weiss","given":"Manfred S."},{"family":"Schulz","given":"Eike-Christian"},{"family":"Mehrabi","given":"Pedram"},{"family":"Karničar","given":"Katarina"},{"family":"Usenik","given":"Aleksandra"},{"family":"Loboda","given":"Jure"},{"family":"Tidow","given":"Henning"},{"family":"Chari","given":"Ashwin"},{"family":"Hilgenfeld","given":"Rolf"},{"family":"Uetrecht","given":"Charlotte"},{"family":"Cox","given":"Russell"},{"family":"Zaliani","given":"Andrea"},{"family":"Beck","given":"Tobias"},{"family":"Rarey","given":"Matthias"},{"family":"Günther","given":"Stephan"},{"family":"Turk","given":"Dusan"},{"family":"Hinrichs","given":"Winfried"},{"family":"Chapman","given":"Henry N."},{"family":"Pearson","given":"Arwen R."},{"family":"Betzel","given":"Christian"},{"family":"Meents","given":"Alke"}],"issued":{"date-parts":[["2021",5,7]]}}},{"id":"IgabHyCf/QPgRHjKo","uris":["http://zotero.org/users/8810280/items/XSUI8MLX"],"itemData":{"id":49,"type":"article-journal","abstract":"The main protease, Mpro (or 3CLpro) in SARS-CoV-2 is a viable drug target because of its essential role in the cleavage of the virus polypeptide. Feline infectious peritonitis, a fatal coronavirus infection in cats, was successfully treated previously with a prodrug GC376, a dipeptide-based protease inhibitor. Here, we show the prodrug and its parent GC373, are effective inhibitors of the Mpro from both SARS-CoV and SARS-CoV-2 with IC50 values in the nanomolar range. Crystal structures of SARS-CoV-2 Mpro with these inhibitors have a covalent modification of the nucleophilic Cys145. NMR analysis reveals that inhibition proceeds via reversible formation of a hemithioacetal. GC373 and GC376 are potent inhibitors of SARS-CoV-2 replication in cell culture. They are strong drug candidates for the treatment of human coronavirus infections because they have already been successful in animals. The work here lays the framework for their use in human trials for the treatment of COVID-19.","container-title":"Nature Communications","DOI":"10.1038/s41467-020-18096-2","ISSN":"2041-1723","issue":"1","journalAbbreviation":"Nat Commun","language":"en","note":"number: 1\npublisher: Nature Publishing Group","page":"4282","source":"www.nature.com","title":"Feline coronavirus drug inhibits the main protease of SARS-CoV-2 and blocks virus replication","volume":"11","author":[{"family":"Vuong","given":"Wayne"},{"family":"Khan","given":"Muhammad Bashir"},{"family":"Fischer","given":"Conrad"},{"family":"Arutyunova","given":"Elena"},{"family":"Lamer","given":"Tess"},{"family":"Shields","given":"Justin"},{"family":"Saffran","given":"Holly A."},{"family":"McKay","given":"Ryan T."},{"family":"Belkum","given":"Marco J.","non-dropping-particle":"van"},{"family":"Joyce","given":"Michael A."},{"family":"Young","given":"Howard S."},{"family":"Tyrrell","given":"D. Lorne"},{"family":"Vederas","given":"John C."},{"family":"Lemieux","given":"M. Joanne"}],"issued":{"date-parts":[["2020",8,27]]}}},{"id":"IgabHyCf/IqN2nV7s","uris":["http://zotero.org/users/8810280/items/JJSZY7CC"],"itemData":{"id":46,"type":"article-journal","abstract":"COVID-19 was declared a pandemic on March 11 by WHO, due to its great threat to global public health. The coronavirus main protease (Mpro, also called 3CLpro) is essential for processing and maturation of the viral polyprotein, therefore recognized as an attractive drug target. Here we show that a clinically approved anti-HCV drug, Boceprevir, and a pre-clinical inhibitor against feline infectious peritonitis (corona) virus (FIPV), GC376, both efficaciously inhibit SARS-CoV-2 in Vero cells by targeting Mpro. Moreover, combined application of GC376 with Remdesivir, a nucleotide analogue that inhibits viral RNA dependent RNA polymerase (RdRp), results in sterilizing additive effect. Further structural analysis reveals binding of both inhibitors to the catalytically active side of SARS-CoV-2 protease Mpro as main mechanism of inhibition. Our findings may provide critical information for the optimization and design of more potent inhibitors against the emerging SARS-CoV-2 virus.","container-title":"Nature Communications","DOI":"10.1038/s41467-020-18233-x","ISSN":"2041-1723","issue":"1","journalAbbreviation":"Nat Commun","language":"en","note":"number: 1\npublisher: Nature Publishing Group","page":"4417","source":"www.nature.com","title":"Both Boceprevir and GC376 efficaciously inhibit SARS-CoV-2 by targeting its main protease","volume":"11","author":[{"family":"Fu","given":"Lifeng"},{"family":"Ye","given":"Fei"},{"family":"Feng","given":"Yong"},{"family":"Yu","given":"Feng"},{"family":"Wang","given":"Qisheng"},{"family":"Wu","given":"Yan"},{"family":"Zhao","given":"Cheng"},{"family":"Sun","given":"Huan"},{"family":"Huang","given":"Baoying"},{"family":"Niu","given":"Peihua"},{"family":"Song","given":"Hao"},{"family":"Shi","given":"Yi"},{"family":"Li","given":"Xuebing"},{"family":"Tan","given":"Wenjie"},{"family":"Qi","given":"Jianxun"},{"family":"Gao","given":"George Fu"}],"issued":{"date-parts":[["2020",9,4]]}}},{"id":75,"uris":["http://zotero.org/groups/4570191/items/CTGLFCTC"],"itemData":{"id":75,"type":"article-journal","abstract":"A new coronavirus SARS-CoV-2, also called novel coronavirus 2019 (2019-nCoV), started to circulate among humans around December 2019, and it is now widespread as a global pandemic. The disease caused by SARS-CoV-2 virus is called COVID-19, which is highly contagious and has an overall mortality rate of 6.35% as of May 26, 2020. There is no vaccine or antiviral available for SARS-CoV-2. In this study, we report our discovery of inhibitors targeting the SARS-CoV-2 main protease (Mpro). Using the FRET-based enzymatic assay, several inhibitors including boceprevir, GC-376, and calpain inhibitors II, and XII were identified to have potent activity with single-digit to submicromolar IC50 values in the enzymatic assay. The mechanism of action of the hits was further characterized using enzyme kinetic studies, thermal shift binding assays, and native mass spectrometry. Significantly, four compounds (boceprevir, GC-376, calpain inhibitors II and XII) inhibit SARS-CoV-2 viral replication in cell culture with EC50 values ranging from 0.49 to 3.37 µM. Notably, boceprevir, calpain inhibitors II and XII represent novel chemotypes that are distinct from known substrate-based peptidomimetic Mpro inhibitors. A complex crystal structure of SARS-CoV-2 Mpro with GC-376, determined at 2.15 Å resolution with three protomers per asymmetric unit, revealed two unique binding configurations, shedding light on the molecular interactions and protein conformational flexibility underlying substrate and inhibitor binding by Mpro. Overall, the compounds identified herein provide promising starting points for the further development of SARS-CoV-2 therapeutics.","container-title":"Cell Research","DOI":"10.1038/s41422-020-0356-z","ISSN":"1748-7838","issue":"8","journalAbbreviation":"Cell Res","language":"en","license":"2020 Center for Excellence in Molecular Cell Science, CAS","note":"Bandiera_abtest: a\nCg_type: Nature Research Journals\nnumber: 8\nPrimary_atype: Research\npublisher: Nature Publishing Group\nSubject_term: Molecular biology;Structural biology\nSubject_term_id: molecular-biology;structural-biology","page":"678-692","source":"www.nature.com","title":"Boceprevir, GC-376, and calpain inhibitors II, XII inhibit SARS-CoV-2 viral replication by targeting the viral main protease","volume":"30","author":[{"family":"Ma","given":"Chunlong"},{"family":"Sacco","given":"Michael Dominic"},{"family":"Hurst","given":"Brett"},{"family":"Townsend","given":"Julia Alma"},{"family":"Hu","given":"Yanmei"},{"family":"Szeto","given":"Tommy"},{"family":"Zhang","given":"Xiujun"},{"family":"Tarbet","given":"Bart"},{"family":"Marty","given":"Michael Thomas"},{"family":"Chen","given":"Yu"},{"family":"Wang","given":"Jun"}],"issued":{"date-parts":[["2020",8]]}}}],"schema":"https://github.com/citation-style-language/schema/raw/master/csl-citation.json"} </w:instrText>
      </w:r>
      <w:r w:rsidRPr="00DF18AA">
        <w:fldChar w:fldCharType="separate"/>
      </w:r>
      <w:r w:rsidR="0062283D" w:rsidRPr="0062283D">
        <w:rPr>
          <w:szCs w:val="24"/>
          <w:vertAlign w:val="superscript"/>
        </w:rPr>
        <w:t>3,19,29,60</w:t>
      </w:r>
      <w:r w:rsidRPr="00DF18AA">
        <w:fldChar w:fldCharType="end"/>
      </w:r>
      <w:r w:rsidRPr="00DF18AA">
        <w:t>. Calpeptin binds covalently to Cys</w:t>
      </w:r>
      <w:r w:rsidRPr="00DF18AA">
        <w:rPr>
          <w:vertAlign w:val="superscript"/>
        </w:rPr>
        <w:t>145</w:t>
      </w:r>
      <w:r w:rsidRPr="00DF18AA">
        <w:t xml:space="preserve"> of </w:t>
      </w:r>
      <w:proofErr w:type="spellStart"/>
      <w:r w:rsidRPr="00DF18AA">
        <w:t>M</w:t>
      </w:r>
      <w:r w:rsidRPr="00DF18AA">
        <w:rPr>
          <w:vertAlign w:val="superscript"/>
        </w:rPr>
        <w:t>pro</w:t>
      </w:r>
      <w:proofErr w:type="spellEnd"/>
      <w:r w:rsidRPr="00DF18AA">
        <w:t xml:space="preserve"> (PDB: 7AKU)</w:t>
      </w:r>
      <w:r w:rsidRPr="00DF18AA">
        <w:fldChar w:fldCharType="begin"/>
      </w:r>
      <w:r w:rsidR="0062283D">
        <w:instrText xml:space="preserve"> ADDIN ZOTERO_ITEM CSL_CITATION {"citationID":"4qgk9FAo","properties":{"formattedCitation":"\\super 3\\nosupersub{}","plainCitation":"3","noteIndex":0},"citationItems":[{"id":104,"uris":["http://zotero.org/groups/4570191/items/MB4T7K6V"],"itemData":{"id":104,"type":"article-journal","abstract":"The coronavirus disease (COVID-19) caused by SARS-CoV-2 is creating tremendous human suffering. To date, no effective drug is available to directly treat the disease. In a search for a drug against COVID-19, we have performed a high-throughput x-ray crystallographic screen of two repurposing drug libraries against the SARS-CoV-2 main protease (Mpro), which is essential for viral replication. In contrast to commonly applied x-ray fragment screening experiments with molecules of low complexity, our screen tested already-approved drugs and drugs in clinical trials. From the three-dimensional protein structures, we identified 37 compounds that bind to Mpro In subsequent cell-based viral reduction assays, one peptidomimetic and six nonpeptidic compounds showed antiviral activity at nontoxic concentrations. We identified two allosteric binding sites representing attractive targets for drug development against SARS-CoV-2.","container-title":"Science (New York, N.Y.)","DOI":"10.1126/science.abf7945","ISSN":"1095-9203","issue":"6542","journalAbbreviation":"Science","language":"eng","note":"PMID: 33811162\nPMCID: PMC8224385","page":"642-646","source":"PubMed","title":"X-ray screening identifies active site and allosteric inhibitors of SARS-CoV-2 main protease","volume":"372","author":[{"family":"Günther","given":"Sebastian"},{"family":"Reinke","given":"Patrick Y. A."},{"family":"Fernández-García","given":"Yaiza"},{"family":"Lieske","given":"Julia"},{"family":"Lane","given":"Thomas J."},{"family":"Ginn","given":"Helen M."},{"family":"Koua","given":"Faisal H. M."},{"family":"Ehrt","given":"Christiane"},{"family":"Ewert","given":"Wiebke"},{"family":"Oberthuer","given":"Dominik"},{"family":"Yefanov","given":"Oleksandr"},{"family":"Meier","given":"Susanne"},{"family":"Lorenzen","given":"Kristina"},{"family":"Krichel","given":"Boris"},{"family":"Kopicki","given":"Janine-Denise"},{"family":"Gelisio","given":"Luca"},{"family":"Brehm","given":"Wolfgang"},{"family":"Dunkel","given":"Ilona"},{"family":"Seychell","given":"Brandon"},{"family":"Gieseler","given":"Henry"},{"family":"Norton-Baker","given":"Brenna"},{"family":"Escudero-Pérez","given":"Beatriz"},{"family":"Domaracky","given":"Martin"},{"family":"Saouane","given":"Sofiane"},{"family":"Tolstikova","given":"Alexandra"},{"family":"White","given":"Thomas A."},{"family":"Hänle","given":"Anna"},{"family":"Groessler","given":"Michael"},{"family":"Fleckenstein","given":"Holger"},{"family":"Trost","given":"Fabian"},{"family":"Galchenkova","given":"Marina"},{"family":"Gevorkov","given":"Yaroslav"},{"family":"Li","given":"Chufeng"},{"family":"Awel","given":"Salah"},{"family":"Peck","given":"Ariana"},{"family":"Barthelmess","given":"Miriam"},{"family":"Schlünzen","given":"Frank"},{"family":"Lourdu Xavier","given":"P."},{"family":"Werner","given":"Nadine"},{"family":"Andaleeb","given":"Hina"},{"family":"Ullah","given":"Najeeb"},{"family":"Falke","given":"Sven"},{"family":"Srinivasan","given":"Vasundara"},{"family":"França","given":"Bruno Alves"},{"family":"Schwinzer","given":"Martin"},{"family":"Brognaro","given":"Hévila"},{"family":"Rogers","given":"Cromarte"},{"family":"Melo","given":"Diogo"},{"family":"Zaitseva-Doyle","given":"Joanna J."},{"family":"Knoska","given":"Juraj"},{"family":"Peña-Murillo","given":"Gisel E."},{"family":"Mashhour","given":"Aida Rahmani"},{"family":"Hennicke","given":"Vincent"},{"family":"Fischer","given":"Pontus"},{"family":"Hakanpää","given":"Johanna"},{"family":"Meyer","given":"Jan"},{"family":"Gribbon","given":"Philip"},{"family":"Ellinger","given":"Bernhard"},{"family":"Kuzikov","given":"Maria"},{"family":"Wolf","given":"Markus"},{"family":"Beccari","given":"Andrea R."},{"family":"Bourenkov","given":"Gleb"},{"family":"Stetten","given":"David","non-dropping-particle":"von"},{"family":"Pompidor","given":"Guillaume"},{"family":"Bento","given":"Isabel"},{"family":"Panneerselvam","given":"Saravanan"},{"family":"Karpics","given":"Ivars"},{"family":"Schneider","given":"Thomas R."},{"family":"Garcia-Alai","given":"Maria Marta"},{"family":"Niebling","given":"Stephan"},{"family":"Günther","given":"Christian"},{"family":"Schmidt","given":"Christina"},{"family":"Schubert","given":"Robin"},{"family":"Han","given":"Huijong"},{"family":"Boger","given":"Juliane"},{"family":"Monteiro","given":"Diana C. F."},{"family":"Zhang","given":"Linlin"},{"family":"Sun","given":"Xinyuanyuan"},{"family":"Pletzer-Zelgert","given":"Jonathan"},{"family":"Wollenhaupt","given":"Jan"},{"family":"Feiler","given":"Christian G."},{"family":"Weiss","given":"Manfred S."},{"family":"Schulz","given":"Eike-Christian"},{"family":"Mehrabi","given":"Pedram"},{"family":"Karničar","given":"Katarina"},{"family":"Usenik","given":"Aleksandra"},{"family":"Loboda","given":"Jure"},{"family":"Tidow","given":"Henning"},{"family":"Chari","given":"Ashwin"},{"family":"Hilgenfeld","given":"Rolf"},{"family":"Uetrecht","given":"Charlotte"},{"family":"Cox","given":"Russell"},{"family":"Zaliani","given":"Andrea"},{"family":"Beck","given":"Tobias"},{"family":"Rarey","given":"Matthias"},{"family":"Günther","given":"Stephan"},{"family":"Turk","given":"Dusan"},{"family":"Hinrichs","given":"Winfried"},{"family":"Chapman","given":"Henry N."},{"family":"Pearson","given":"Arwen R."},{"family":"Betzel","given":"Christian"},{"family":"Meents","given":"Alke"}],"issued":{"date-parts":[["2021",5,7]]}}}],"schema":"https://github.com/citation-style-language/schema/raw/master/csl-citation.json"} </w:instrText>
      </w:r>
      <w:r w:rsidRPr="00DF18AA">
        <w:fldChar w:fldCharType="separate"/>
      </w:r>
      <w:r w:rsidR="0062283D" w:rsidRPr="0062283D">
        <w:rPr>
          <w:szCs w:val="24"/>
          <w:vertAlign w:val="superscript"/>
        </w:rPr>
        <w:t>3</w:t>
      </w:r>
      <w:r w:rsidRPr="00DF18AA">
        <w:fldChar w:fldCharType="end"/>
      </w:r>
      <w:r w:rsidRPr="00DF18AA">
        <w:t xml:space="preserve"> with its aldehyde group, forming a thiohemiacetal (Figure S</w:t>
      </w:r>
      <w:r w:rsidR="00CA6EFE">
        <w:t>2</w:t>
      </w:r>
      <w:r w:rsidRPr="00DF18AA">
        <w:t xml:space="preserve">F). This structure was solved in a monoclinic space group, where Calpeptin occupies the S1 to S3 pockets. Overall, the peptidomimetic </w:t>
      </w:r>
      <w:r w:rsidRPr="00DF18AA">
        <w:lastRenderedPageBreak/>
        <w:t>backbone of Calpeptin forms hydrogen bonds corresponding to the native peptide substrate</w:t>
      </w:r>
      <w:r w:rsidRPr="00DF18AA">
        <w:fldChar w:fldCharType="begin"/>
      </w:r>
      <w:r w:rsidR="0062283D">
        <w:instrText xml:space="preserve"> ADDIN ZOTERO_ITEM CSL_CITATION {"citationID":"EMUyatDp","properties":{"formattedCitation":"\\super 61\\nosupersub{}","plainCitation":"61","noteIndex":0},"citationItems":[{"id":238,"uris":["http://zotero.org/groups/4570191/items/K7EFKTLL"],"itemData":{"id":238,"type":"article-journal","abstract":"Severe Acute Respiratory Syndrome Coronavirus 2 (SARS-CoV-2), the pathogen that causes the disease COVID-19, produces replicase polyproteins 1a and 1ab that contain, respectively, 11 or 16 nonstructural proteins (nsp). Nsp5 is the main protease (Mpro) responsible for cleavage at eleven positions along these polyproteins, including at its own N- and C-terminal boundaries, representing essential processing events for subsequent viral assembly and maturation. We have determined X-ray crystallographic structures of this cysteine protease in its wild-type free active site state at 1.8 Å resolution, in its acyl-enzyme intermediate state with the native C-terminal autocleavage sequence at 1.95 Å resolution and in its product bound state at 2.0 Å resolution by employing an active site mutation (C145A). We characterize the stereochemical features of the acyl-enzyme intermediate including critical hydrogen bonding distances underlying catalysis in the Cys/His dyad and oxyanion hole. We also identify a highly ordered water molecule in a position compatible for a role as the deacylating nucleophile in the catalytic mechanism and characterize the binding groove conformational changes and dimerization interface that occur upon formation of the acyl-enzyme. Collectively, these crystallographic snapshots provide valuable mechanistic and structural insights for future antiviral therapeutic development including revised molecular docking strategies based on Mpro inhibition.","container-title":"Nature Communications","DOI":"10.1038/s41467-020-19662-4","ISSN":"2041-1723","issue":"1","journalAbbreviation":"Nat Commun","language":"en","license":"2020 The Author(s)","note":"number: 1\npublisher: Nature Publishing Group","page":"5877","source":"www.nature.com","title":"Crystallographic structure of wild-type SARS-CoV-2 main protease acyl-enzyme intermediate with physiological C-terminal autoprocessing site","volume":"11","author":[{"family":"Lee","given":"Jaeyong"},{"family":"Worrall","given":"Liam J."},{"family":"Vuckovic","given":"Marija"},{"family":"Rosell","given":"Federico I."},{"family":"Gentile","given":"Francesco"},{"family":"Ton","given":"Anh-Tien"},{"family":"Caveney","given":"Nathanael A."},{"family":"Ban","given":"Fuqiang"},{"family":"Cherkasov","given":"Artem"},{"family":"Paetzel","given":"Mark"},{"family":"Strynadka","given":"Natalie C. J."}],"issued":{"date-parts":[["2020",11,18]]}}}],"schema":"https://github.com/citation-style-language/schema/raw/master/csl-citation.json"} </w:instrText>
      </w:r>
      <w:r w:rsidRPr="00DF18AA">
        <w:fldChar w:fldCharType="separate"/>
      </w:r>
      <w:r w:rsidR="0062283D" w:rsidRPr="0062283D">
        <w:rPr>
          <w:szCs w:val="24"/>
          <w:vertAlign w:val="superscript"/>
        </w:rPr>
        <w:t>61</w:t>
      </w:r>
      <w:r w:rsidRPr="00DF18AA">
        <w:fldChar w:fldCharType="end"/>
      </w:r>
      <w:r w:rsidRPr="00DF18AA">
        <w:t>. The backbone carbonyl of His</w:t>
      </w:r>
      <w:r w:rsidRPr="00DF18AA">
        <w:rPr>
          <w:vertAlign w:val="superscript"/>
        </w:rPr>
        <w:t>164</w:t>
      </w:r>
      <w:r w:rsidRPr="00DF18AA">
        <w:t xml:space="preserve"> forms a hydrogen bond to the peptidomimetic Calpeptin</w:t>
      </w:r>
      <w:r w:rsidR="00DB6988">
        <w:t xml:space="preserve"> </w:t>
      </w:r>
      <w:proofErr w:type="spellStart"/>
      <w:r w:rsidR="00DB6988">
        <w:t>amide</w:t>
      </w:r>
      <w:r w:rsidRPr="00DF18AA">
        <w:t>nitrogen</w:t>
      </w:r>
      <w:proofErr w:type="spellEnd"/>
      <w:r w:rsidRPr="00DF18AA">
        <w:t xml:space="preserve"> of the </w:t>
      </w:r>
      <w:proofErr w:type="spellStart"/>
      <w:r w:rsidRPr="00DF18AA">
        <w:t>norleucine</w:t>
      </w:r>
      <w:proofErr w:type="spellEnd"/>
      <w:r w:rsidRPr="00DF18AA">
        <w:t xml:space="preserve"> residue-analog</w:t>
      </w:r>
      <w:r w:rsidR="006F4BE3">
        <w:t xml:space="preserve"> (Table S2)</w:t>
      </w:r>
      <w:r w:rsidRPr="00DF18AA">
        <w:t>. The terminal ester carbonyl forms a hydrogen bond with the backbone nitrogen of Glu</w:t>
      </w:r>
      <w:r w:rsidRPr="00DF18AA">
        <w:rPr>
          <w:vertAlign w:val="superscript"/>
        </w:rPr>
        <w:t>166</w:t>
      </w:r>
      <w:r w:rsidRPr="00DF18AA">
        <w:t xml:space="preserve">. The </w:t>
      </w:r>
      <w:proofErr w:type="spellStart"/>
      <w:r w:rsidRPr="00DF18AA">
        <w:t>norleucine</w:t>
      </w:r>
      <w:proofErr w:type="spellEnd"/>
      <w:r w:rsidRPr="00DF18AA">
        <w:t xml:space="preserve"> side chain exhibits van der Waals contacts with the backbone of Phe</w:t>
      </w:r>
      <w:r w:rsidRPr="00DF18AA">
        <w:rPr>
          <w:vertAlign w:val="superscript"/>
        </w:rPr>
        <w:t>140</w:t>
      </w:r>
      <w:r w:rsidRPr="00DF18AA">
        <w:t>, Leu</w:t>
      </w:r>
      <w:r w:rsidRPr="00DF18AA">
        <w:rPr>
          <w:vertAlign w:val="superscript"/>
        </w:rPr>
        <w:t>141</w:t>
      </w:r>
      <w:r w:rsidRPr="00DF18AA">
        <w:t>, and Asn</w:t>
      </w:r>
      <w:r w:rsidRPr="00DF18AA">
        <w:rPr>
          <w:vertAlign w:val="superscript"/>
        </w:rPr>
        <w:t>142</w:t>
      </w:r>
      <w:r w:rsidRPr="00DF18AA">
        <w:t xml:space="preserve">. The terminal </w:t>
      </w:r>
      <w:proofErr w:type="spellStart"/>
      <w:r w:rsidRPr="00DF18AA">
        <w:t>Cbz</w:t>
      </w:r>
      <w:proofErr w:type="spellEnd"/>
      <w:r w:rsidRPr="00DF18AA">
        <w:t>-group is oriented to the S3 pocket between the side chains of Glu</w:t>
      </w:r>
      <w:r w:rsidRPr="00DF18AA">
        <w:rPr>
          <w:vertAlign w:val="superscript"/>
        </w:rPr>
        <w:t>166</w:t>
      </w:r>
      <w:r w:rsidRPr="00DF18AA">
        <w:t xml:space="preserve"> and Gln</w:t>
      </w:r>
      <w:r w:rsidRPr="00DF18AA">
        <w:rPr>
          <w:vertAlign w:val="superscript"/>
        </w:rPr>
        <w:t>189</w:t>
      </w:r>
      <w:r w:rsidRPr="00DF18AA">
        <w:t xml:space="preserve"> </w:t>
      </w:r>
      <w:r w:rsidR="00C8673C" w:rsidRPr="00DF18AA">
        <w:t>and</w:t>
      </w:r>
      <w:r w:rsidRPr="00DF18AA">
        <w:t xml:space="preserve"> exhibits hydrophobic interactions with </w:t>
      </w:r>
      <w:proofErr w:type="spellStart"/>
      <w:r w:rsidRPr="00DF18AA">
        <w:t>norleucine</w:t>
      </w:r>
      <w:proofErr w:type="spellEnd"/>
      <w:r w:rsidRPr="00DF18AA">
        <w:t xml:space="preserve"> (Figure S</w:t>
      </w:r>
      <w:r w:rsidR="00CA6EFE">
        <w:t>2</w:t>
      </w:r>
      <w:r w:rsidRPr="00DF18AA">
        <w:t>F). The structure of GC-376</w:t>
      </w:r>
      <w:r w:rsidR="00602317">
        <w:t xml:space="preserve"> aldehyde</w:t>
      </w:r>
      <w:r w:rsidRPr="00DF18AA">
        <w:t xml:space="preserve"> bound to </w:t>
      </w:r>
      <w:proofErr w:type="spellStart"/>
      <w:r w:rsidRPr="00DF18AA">
        <w:t>M</w:t>
      </w:r>
      <w:r w:rsidRPr="00DF18AA">
        <w:rPr>
          <w:vertAlign w:val="superscript"/>
        </w:rPr>
        <w:t>pro</w:t>
      </w:r>
      <w:proofErr w:type="spellEnd"/>
      <w:r w:rsidRPr="00DF18AA">
        <w:t xml:space="preserve"> solved in a monoclinic space group (PDB: 7QKA) resembles this conformation. Substitution of </w:t>
      </w:r>
      <w:proofErr w:type="spellStart"/>
      <w:r w:rsidRPr="00DF18AA">
        <w:t>norleucine</w:t>
      </w:r>
      <w:proofErr w:type="spellEnd"/>
      <w:r w:rsidRPr="00DF18AA">
        <w:t xml:space="preserve"> by </w:t>
      </w:r>
      <w:r w:rsidR="00376522">
        <w:t>2-</w:t>
      </w:r>
      <w:r w:rsidRPr="00DF18AA">
        <w:t>ox</w:t>
      </w:r>
      <w:r w:rsidR="00376522">
        <w:t>o</w:t>
      </w:r>
      <w:r w:rsidRPr="00DF18AA">
        <w:t>pyrrolidine leads to additional hydrogen bonds to His</w:t>
      </w:r>
      <w:r w:rsidRPr="00DF18AA">
        <w:rPr>
          <w:vertAlign w:val="superscript"/>
        </w:rPr>
        <w:t>163</w:t>
      </w:r>
      <w:r w:rsidRPr="00DF18AA">
        <w:t xml:space="preserve"> and Glu</w:t>
      </w:r>
      <w:r w:rsidRPr="00DF18AA">
        <w:rPr>
          <w:vertAlign w:val="superscript"/>
        </w:rPr>
        <w:t>166</w:t>
      </w:r>
      <w:r w:rsidRPr="00DF18AA">
        <w:t>(Figure S</w:t>
      </w:r>
      <w:r w:rsidR="00CA6EFE">
        <w:t>2</w:t>
      </w:r>
      <w:r w:rsidRPr="00DF18AA">
        <w:t xml:space="preserve">H). In addition to the monoclinic form with one monomer per asymmetric unit, </w:t>
      </w:r>
      <w:proofErr w:type="spellStart"/>
      <w:r w:rsidRPr="00DF18AA">
        <w:t>M</w:t>
      </w:r>
      <w:r w:rsidRPr="00DF18AA">
        <w:rPr>
          <w:vertAlign w:val="superscript"/>
        </w:rPr>
        <w:t>pro</w:t>
      </w:r>
      <w:proofErr w:type="spellEnd"/>
      <w:r w:rsidRPr="00DF18AA">
        <w:t xml:space="preserve"> also crystallizes in an orthorhombic space group containing two monomers per asymmetric unit</w:t>
      </w:r>
      <w:r w:rsidRPr="00DF18AA">
        <w:fldChar w:fldCharType="begin"/>
      </w:r>
      <w:r w:rsidR="0062283D">
        <w:instrText xml:space="preserve"> ADDIN ZOTERO_ITEM CSL_CITATION {"citationID":"iWAlU8IO","properties":{"formattedCitation":"\\super 44\\nosupersub{}","plainCitation":"44","noteIndex":0},"citationItems":[{"id":156,"uris":["http://zotero.org/groups/4570191/items/P94PZPAW"],"itemData":{"id":156,"type":"article-journal","abstract":"The coronavirus disease 2019 (COVID-19) pandemic caused by severe acute respiratory syndrome-coronavirus 2 (SARS-CoV-2) is a global health emergency. An attractive drug target among coronaviruses is the main protease (Mpro, also called 3CLpro) because of its essential role in processing the polyproteins that are translated from the viral RNA. We report the x-ray structures of the unliganded SARS-CoV-2 Mpro and its complex with an α-ketoamide inhibitor. This was derived from a previously designed inhibitor but with the P3-P2 amide bond incorporated into a pyridone ring to enhance the half-life of the compound in plasma. On the basis of the unliganded structure, we developed the lead compound into a potent inhibitor of the SARS-CoV-2 Mpro The pharmacokinetic characterization of the optimized inhibitor reveals a pronounced lung tropism and suitability for administration by the inhalative route.","container-title":"Science (New York, N.Y.)","DOI":"10.1126/science.abb3405","ISSN":"1095-9203","issue":"6489","journalAbbreviation":"Science","language":"eng","note":"PMID: 32198291\nPMCID: PMC7164518","page":"409-412","source":"PubMed","title":"Crystal structure of SARS-CoV-2 main protease provides a basis for design of improved α-ketoamide inhibitors","volume":"368","author":[{"family":"Zhang","given":"Linlin"},{"family":"Lin","given":"Daizong"},{"family":"Sun","given":"Xinyuanyuan"},{"family":"Curth","given":"Ute"},{"family":"Drosten","given":"Christian"},{"family":"Sauerhering","given":"Lucie"},{"family":"Becker","given":"Stephan"},{"family":"Rox","given":"Katharina"},{"family":"Hilgenfeld","given":"Rolf"}],"issued":{"date-parts":[["2020",4,24]]}}}],"schema":"https://github.com/citation-style-language/schema/raw/master/csl-citation.json"} </w:instrText>
      </w:r>
      <w:r w:rsidRPr="00DF18AA">
        <w:fldChar w:fldCharType="separate"/>
      </w:r>
      <w:r w:rsidR="0062283D" w:rsidRPr="0062283D">
        <w:rPr>
          <w:szCs w:val="24"/>
          <w:vertAlign w:val="superscript"/>
        </w:rPr>
        <w:t>44</w:t>
      </w:r>
      <w:r w:rsidRPr="00DF18AA">
        <w:fldChar w:fldCharType="end"/>
      </w:r>
      <w:r w:rsidRPr="00DF18AA">
        <w:t xml:space="preserve"> and the two monomers within the dimer exhibit structural variations. The structure of Calpeptin</w:t>
      </w:r>
      <w:r w:rsidR="00602317">
        <w:t xml:space="preserve"> derived from S-Calpeptin</w:t>
      </w:r>
      <w:r w:rsidRPr="00DF18AA">
        <w:t xml:space="preserve"> bound to </w:t>
      </w:r>
      <w:proofErr w:type="spellStart"/>
      <w:r w:rsidRPr="00DF18AA">
        <w:t>M</w:t>
      </w:r>
      <w:r w:rsidRPr="00DF18AA">
        <w:rPr>
          <w:vertAlign w:val="superscript"/>
        </w:rPr>
        <w:t>pro</w:t>
      </w:r>
      <w:proofErr w:type="spellEnd"/>
      <w:r w:rsidRPr="00DF18AA">
        <w:t xml:space="preserve"> was solved in an orthorhombic space group (PDB 7Z3U) and shows more flexibility with respect to the conformation of the </w:t>
      </w:r>
      <w:proofErr w:type="spellStart"/>
      <w:r w:rsidRPr="00DF18AA">
        <w:t>Cbz</w:t>
      </w:r>
      <w:proofErr w:type="spellEnd"/>
      <w:r w:rsidRPr="00DF18AA">
        <w:t>- group (Figure S</w:t>
      </w:r>
      <w:r w:rsidR="00CA6EFE">
        <w:t>2</w:t>
      </w:r>
      <w:r w:rsidRPr="00DF18AA">
        <w:t>D). This group is oriented in the S4 pocket in one monomer, while it exhibits an alternative conformation oriented to the S3 or S4 pocket in the other monomer. This is linked to an alternative orientation of the loop containing Gln</w:t>
      </w:r>
      <w:r w:rsidRPr="00DF18AA">
        <w:rPr>
          <w:vertAlign w:val="superscript"/>
        </w:rPr>
        <w:t>189</w:t>
      </w:r>
      <w:r w:rsidRPr="00DF18AA">
        <w:t xml:space="preserve">, which is shifted by about 2 Å, further opening this pocket. In addition to the previously described interactions of Calpeptin, the </w:t>
      </w:r>
      <w:proofErr w:type="spellStart"/>
      <w:r w:rsidRPr="00DF18AA">
        <w:t>Cbz</w:t>
      </w:r>
      <w:proofErr w:type="spellEnd"/>
      <w:r w:rsidRPr="00DF18AA">
        <w:t>-group interactions via hydrophobic interactions with the backbone of Thr</w:t>
      </w:r>
      <w:r w:rsidRPr="00DF18AA">
        <w:rPr>
          <w:vertAlign w:val="superscript"/>
        </w:rPr>
        <w:t>190</w:t>
      </w:r>
      <w:r w:rsidRPr="00DF18AA">
        <w:t xml:space="preserve"> and Gln</w:t>
      </w:r>
      <w:r w:rsidRPr="00DF18AA">
        <w:rPr>
          <w:vertAlign w:val="superscript"/>
        </w:rPr>
        <w:t>192</w:t>
      </w:r>
      <w:r w:rsidRPr="00DF18AA">
        <w:t xml:space="preserve"> are evident in the S4 pocket. In the- structure </w:t>
      </w:r>
      <w:r w:rsidR="00602317">
        <w:t xml:space="preserve">co-crystallized with S-Calpeptin, </w:t>
      </w:r>
      <w:r w:rsidRPr="00DF18AA">
        <w:t>the monomers exhibit a NOS-bridge, which is an oxygen-mediated link between Cys</w:t>
      </w:r>
      <w:r w:rsidRPr="00DF18AA">
        <w:rPr>
          <w:vertAlign w:val="superscript"/>
        </w:rPr>
        <w:t>22</w:t>
      </w:r>
      <w:r w:rsidRPr="00DF18AA">
        <w:t xml:space="preserve"> and Lys</w:t>
      </w:r>
      <w:r w:rsidRPr="00DF18AA">
        <w:rPr>
          <w:vertAlign w:val="superscript"/>
        </w:rPr>
        <w:t>61</w:t>
      </w:r>
      <w:r w:rsidRPr="00DF18AA">
        <w:t xml:space="preserve"> (molecule B) and a SONOS-bridge, which is a three-way covalent bond between Cys</w:t>
      </w:r>
      <w:r w:rsidRPr="00DF18AA">
        <w:rPr>
          <w:vertAlign w:val="superscript"/>
        </w:rPr>
        <w:t>22</w:t>
      </w:r>
      <w:r w:rsidRPr="00DF18AA">
        <w:t>, Cys</w:t>
      </w:r>
      <w:r w:rsidRPr="00DF18AA">
        <w:rPr>
          <w:vertAlign w:val="superscript"/>
        </w:rPr>
        <w:t>44</w:t>
      </w:r>
      <w:r w:rsidRPr="00DF18AA">
        <w:t xml:space="preserve"> and Lys</w:t>
      </w:r>
      <w:r w:rsidRPr="00DF18AA">
        <w:rPr>
          <w:vertAlign w:val="superscript"/>
        </w:rPr>
        <w:t>61</w:t>
      </w:r>
      <w:r w:rsidRPr="00DF18AA">
        <w:t xml:space="preserve"> (molecule A). These covalent links in </w:t>
      </w:r>
      <w:proofErr w:type="spellStart"/>
      <w:r w:rsidRPr="00DF18AA">
        <w:t>M</w:t>
      </w:r>
      <w:r w:rsidRPr="00DF18AA">
        <w:rPr>
          <w:vertAlign w:val="superscript"/>
        </w:rPr>
        <w:t>pro</w:t>
      </w:r>
      <w:proofErr w:type="spellEnd"/>
      <w:r w:rsidRPr="00DF18AA">
        <w:t xml:space="preserve"> were previously observed</w:t>
      </w:r>
      <w:r w:rsidRPr="00DF18AA">
        <w:fldChar w:fldCharType="begin"/>
      </w:r>
      <w:r w:rsidR="0062283D">
        <w:instrText xml:space="preserve"> ADDIN ZOTERO_ITEM CSL_CITATION {"citationID":"aUWrlKKs","properties":{"formattedCitation":"\\super 62\\nosupersub{}","plainCitation":"62","noteIndex":0},"citationItems":[{"id":194,"uris":["http://zotero.org/groups/4570191/items/CRYQD9R5"],"itemData":{"id":194,"type":"article-journal","abstract":"We recently reported the discovery of a lysine–cysteine redox switch in proteins with a covalent nitrogen–oxygen–sulfur (NOS) bridge. Here, a systematic survey of the whole protein structure database discloses that NOS bridges are ubiquitous redox switches in proteins of all domains of life and are found in diverse structural motifs and chemical variants. In several instances, lysines are observed in simultaneous linkage with two cysteines, forming a sulfur–oxygen–nitrogen–oxygen–sulfur (SONOS) bridge with a trivalent nitrogen, which constitutes an unusual native branching cross-link. In many proteins, the NOS switch contains a functionally essential lysine with direct roles in enzyme catalysis or binding of substrates, DNA or effectors, linking lysine chemistry and redox biology as a regulatory principle. NOS/SONOS switches are frequently found in proteins from human and plant pathogens, including severe acute respiratory syndrome coronavirus 2 (SARS-CoV-2), and also in many human proteins with established roles in gene expression, redox signaling and homeostasis in physiological and pathophysiological conditions.","container-title":"Nature Chemical Biology","DOI":"10.1038/s41589-021-00966-5","ISSN":"1552-4469","journalAbbreviation":"Nat Chem Biol","language":"en","license":"2022 The Author(s)","note":"publisher: Nature Publishing Group","page":"1-8","source":"www.nature.com","title":"Widespread occurrence of covalent lysine–cysteine redox switches in proteins","author":[{"family":"Rabe von Pappenheim","given":"Fabian"},{"family":"Wensien","given":"Marie"},{"family":"Ye","given":"Jin"},{"family":"Uranga","given":"Jon"},{"family":"Irisarri","given":"Iker"},{"family":"Vries","given":"Jan","non-dropping-particle":"de"},{"family":"Funk","given":"Lisa-Marie"},{"family":"Mata","given":"Ricardo A."},{"family":"Tittmann","given":"Kai"}],"issued":{"date-parts":[["2022",2,14]]}}}],"schema":"https://github.com/citation-style-language/schema/raw/master/csl-citation.json"} </w:instrText>
      </w:r>
      <w:r w:rsidRPr="00DF18AA">
        <w:fldChar w:fldCharType="separate"/>
      </w:r>
      <w:r w:rsidR="0062283D" w:rsidRPr="0062283D">
        <w:rPr>
          <w:szCs w:val="24"/>
          <w:vertAlign w:val="superscript"/>
        </w:rPr>
        <w:t>62</w:t>
      </w:r>
      <w:r w:rsidRPr="00DF18AA">
        <w:fldChar w:fldCharType="end"/>
      </w:r>
      <w:r w:rsidRPr="00DF18AA">
        <w:t xml:space="preserve">. </w:t>
      </w:r>
    </w:p>
    <w:p w14:paraId="0F80DC0C" w14:textId="77777777" w:rsidR="005335F0" w:rsidRPr="00DF18AA" w:rsidRDefault="005335F0" w:rsidP="005335F0">
      <w:pPr>
        <w:pStyle w:val="SMText"/>
        <w:spacing w:line="480" w:lineRule="auto"/>
      </w:pPr>
    </w:p>
    <w:p w14:paraId="5D866C82" w14:textId="3EBAF410" w:rsidR="005335F0" w:rsidRDefault="005335F0" w:rsidP="005335F0">
      <w:pPr>
        <w:pStyle w:val="SMText"/>
        <w:spacing w:line="480" w:lineRule="auto"/>
        <w:rPr>
          <w:szCs w:val="24"/>
        </w:rPr>
      </w:pPr>
      <w:proofErr w:type="spellStart"/>
      <w:r w:rsidRPr="00DF18AA">
        <w:rPr>
          <w:b/>
        </w:rPr>
        <w:lastRenderedPageBreak/>
        <w:t>Cat</w:t>
      </w:r>
      <w:r w:rsidR="000305C1">
        <w:rPr>
          <w:b/>
        </w:rPr>
        <w:t>K</w:t>
      </w:r>
      <w:proofErr w:type="spellEnd"/>
      <w:r w:rsidR="000305C1">
        <w:rPr>
          <w:b/>
        </w:rPr>
        <w:t>/</w:t>
      </w:r>
      <w:r w:rsidRPr="00DF18AA">
        <w:rPr>
          <w:b/>
        </w:rPr>
        <w:t>V</w:t>
      </w:r>
      <w:r w:rsidR="000305C1">
        <w:rPr>
          <w:b/>
        </w:rPr>
        <w:t xml:space="preserve"> </w:t>
      </w:r>
      <w:r w:rsidRPr="00DF18AA">
        <w:rPr>
          <w:b/>
        </w:rPr>
        <w:t xml:space="preserve">Calpeptin complex. </w:t>
      </w:r>
      <w:r w:rsidRPr="00DF18AA">
        <w:t>The binding mode of Calpeptin</w:t>
      </w:r>
      <w:r w:rsidR="00602317">
        <w:t xml:space="preserve"> </w:t>
      </w:r>
      <w:r w:rsidRPr="00DF18AA">
        <w:t xml:space="preserve">to </w:t>
      </w:r>
      <w:proofErr w:type="spellStart"/>
      <w:r w:rsidR="000305C1">
        <w:t>CatK</w:t>
      </w:r>
      <w:proofErr w:type="spellEnd"/>
      <w:r w:rsidR="000305C1">
        <w:t xml:space="preserve"> (</w:t>
      </w:r>
      <w:r w:rsidR="000305C1" w:rsidRPr="00DF18AA">
        <w:t xml:space="preserve">PDB: </w:t>
      </w:r>
      <w:r w:rsidR="000305C1">
        <w:t xml:space="preserve">8C3D) and </w:t>
      </w:r>
      <w:proofErr w:type="spellStart"/>
      <w:r w:rsidRPr="00DF18AA">
        <w:t>CatV</w:t>
      </w:r>
      <w:proofErr w:type="spellEnd"/>
      <w:r w:rsidRPr="00DF18AA">
        <w:t xml:space="preserve"> (PDB: 7QGW) is </w:t>
      </w:r>
      <w:proofErr w:type="gramStart"/>
      <w:r w:rsidRPr="00DF18AA">
        <w:t>similar to</w:t>
      </w:r>
      <w:proofErr w:type="gramEnd"/>
      <w:r w:rsidRPr="00DF18AA">
        <w:t xml:space="preserve"> that of </w:t>
      </w:r>
      <w:proofErr w:type="spellStart"/>
      <w:r w:rsidRPr="00DF18AA">
        <w:t>CatL</w:t>
      </w:r>
      <w:proofErr w:type="spellEnd"/>
      <w:r w:rsidRPr="00DF18AA">
        <w:t xml:space="preserve">, which can be explained by the high conservation of the active site cleft (Table S2). Small differences occur in the S3-pocket in the vicinity of the terminal </w:t>
      </w:r>
      <w:proofErr w:type="spellStart"/>
      <w:r w:rsidRPr="00DF18AA">
        <w:t>Cbz</w:t>
      </w:r>
      <w:proofErr w:type="spellEnd"/>
      <w:r w:rsidRPr="00DF18AA">
        <w:t xml:space="preserve">-group of </w:t>
      </w:r>
      <w:r w:rsidRPr="006F4BE3">
        <w:rPr>
          <w:szCs w:val="24"/>
        </w:rPr>
        <w:t xml:space="preserve">Calpeptin. </w:t>
      </w:r>
      <w:r w:rsidR="00553400" w:rsidRPr="00553400">
        <w:rPr>
          <w:szCs w:val="24"/>
        </w:rPr>
        <w:t xml:space="preserve">While in </w:t>
      </w:r>
      <w:proofErr w:type="spellStart"/>
      <w:r w:rsidR="00553400" w:rsidRPr="00553400">
        <w:rPr>
          <w:szCs w:val="24"/>
        </w:rPr>
        <w:t>CatL</w:t>
      </w:r>
      <w:proofErr w:type="spellEnd"/>
      <w:r w:rsidR="00553400" w:rsidRPr="00553400">
        <w:rPr>
          <w:szCs w:val="24"/>
        </w:rPr>
        <w:t xml:space="preserve"> Leu</w:t>
      </w:r>
      <w:r w:rsidR="00553400" w:rsidRPr="00917959">
        <w:rPr>
          <w:szCs w:val="24"/>
          <w:vertAlign w:val="superscript"/>
        </w:rPr>
        <w:t>69</w:t>
      </w:r>
      <w:r w:rsidR="00553400" w:rsidRPr="00553400">
        <w:rPr>
          <w:szCs w:val="24"/>
        </w:rPr>
        <w:t xml:space="preserve"> and Tyr</w:t>
      </w:r>
      <w:r w:rsidR="00553400" w:rsidRPr="00917959">
        <w:rPr>
          <w:szCs w:val="24"/>
          <w:vertAlign w:val="superscript"/>
        </w:rPr>
        <w:t>72</w:t>
      </w:r>
      <w:r w:rsidR="00553400" w:rsidRPr="00553400">
        <w:rPr>
          <w:szCs w:val="24"/>
        </w:rPr>
        <w:t xml:space="preserve"> form a hydrophobic pocket in which the phenyl ring is located, this hydrophobic pocket is less voluminous in </w:t>
      </w:r>
      <w:proofErr w:type="spellStart"/>
      <w:r w:rsidR="00553400" w:rsidRPr="00553400">
        <w:rPr>
          <w:szCs w:val="24"/>
        </w:rPr>
        <w:t>CatK</w:t>
      </w:r>
      <w:proofErr w:type="spellEnd"/>
      <w:r w:rsidR="00553400" w:rsidRPr="00553400">
        <w:rPr>
          <w:szCs w:val="24"/>
        </w:rPr>
        <w:t xml:space="preserve"> because it is constrained by Tyr</w:t>
      </w:r>
      <w:r w:rsidR="00553400" w:rsidRPr="00917959">
        <w:rPr>
          <w:szCs w:val="24"/>
          <w:vertAlign w:val="superscript"/>
        </w:rPr>
        <w:t>67</w:t>
      </w:r>
      <w:r w:rsidR="00553400" w:rsidRPr="00553400">
        <w:rPr>
          <w:szCs w:val="24"/>
        </w:rPr>
        <w:t xml:space="preserve"> (in </w:t>
      </w:r>
      <w:proofErr w:type="spellStart"/>
      <w:r w:rsidR="00553400" w:rsidRPr="00553400">
        <w:rPr>
          <w:szCs w:val="24"/>
        </w:rPr>
        <w:t>CatL</w:t>
      </w:r>
      <w:proofErr w:type="spellEnd"/>
      <w:r w:rsidR="00553400" w:rsidRPr="00553400">
        <w:rPr>
          <w:szCs w:val="24"/>
        </w:rPr>
        <w:t xml:space="preserve"> Leu</w:t>
      </w:r>
      <w:r w:rsidR="00553400" w:rsidRPr="00917959">
        <w:rPr>
          <w:szCs w:val="24"/>
          <w:vertAlign w:val="superscript"/>
        </w:rPr>
        <w:t>69</w:t>
      </w:r>
      <w:r w:rsidR="00553400" w:rsidRPr="00553400">
        <w:rPr>
          <w:szCs w:val="24"/>
        </w:rPr>
        <w:t xml:space="preserve">), which is oriented toward the </w:t>
      </w:r>
      <w:proofErr w:type="spellStart"/>
      <w:r w:rsidR="00553400" w:rsidRPr="00553400">
        <w:rPr>
          <w:szCs w:val="24"/>
        </w:rPr>
        <w:t>Cbz</w:t>
      </w:r>
      <w:proofErr w:type="spellEnd"/>
      <w:r w:rsidR="00553400" w:rsidRPr="00553400">
        <w:rPr>
          <w:szCs w:val="24"/>
        </w:rPr>
        <w:t>-group, resulting in a restriction of the pocket that forces the phenyl ring towards</w:t>
      </w:r>
      <w:r w:rsidR="00553400" w:rsidRPr="00553400" w:rsidDel="00553400">
        <w:rPr>
          <w:szCs w:val="24"/>
        </w:rPr>
        <w:t xml:space="preserve"> </w:t>
      </w:r>
      <w:r w:rsidR="00553400">
        <w:rPr>
          <w:szCs w:val="24"/>
        </w:rPr>
        <w:t>Asp</w:t>
      </w:r>
      <w:r w:rsidR="00553400" w:rsidRPr="00917959">
        <w:rPr>
          <w:szCs w:val="24"/>
          <w:vertAlign w:val="superscript"/>
        </w:rPr>
        <w:t>61</w:t>
      </w:r>
      <w:r w:rsidR="00553400">
        <w:rPr>
          <w:szCs w:val="24"/>
        </w:rPr>
        <w:t xml:space="preserve"> </w:t>
      </w:r>
      <w:r w:rsidR="000305C1" w:rsidRPr="006F4BE3">
        <w:rPr>
          <w:szCs w:val="24"/>
        </w:rPr>
        <w:t xml:space="preserve">(in </w:t>
      </w:r>
      <w:proofErr w:type="spellStart"/>
      <w:r w:rsidR="000305C1" w:rsidRPr="006F4BE3">
        <w:rPr>
          <w:szCs w:val="24"/>
        </w:rPr>
        <w:t>CatL</w:t>
      </w:r>
      <w:proofErr w:type="spellEnd"/>
      <w:r w:rsidR="000305C1" w:rsidRPr="006F4BE3">
        <w:rPr>
          <w:szCs w:val="24"/>
        </w:rPr>
        <w:t xml:space="preserve"> Glu</w:t>
      </w:r>
      <w:r w:rsidR="000305C1" w:rsidRPr="006F4BE3">
        <w:rPr>
          <w:szCs w:val="24"/>
          <w:vertAlign w:val="superscript"/>
        </w:rPr>
        <w:t>63</w:t>
      </w:r>
      <w:r w:rsidR="000305C1" w:rsidRPr="006F4BE3">
        <w:rPr>
          <w:szCs w:val="24"/>
        </w:rPr>
        <w:t>).</w:t>
      </w:r>
      <w:r w:rsidR="003C1037">
        <w:rPr>
          <w:szCs w:val="24"/>
        </w:rPr>
        <w:t xml:space="preserve"> </w:t>
      </w:r>
      <w:proofErr w:type="spellStart"/>
      <w:r w:rsidRPr="006F4BE3">
        <w:rPr>
          <w:szCs w:val="24"/>
        </w:rPr>
        <w:t>CatV</w:t>
      </w:r>
      <w:proofErr w:type="spellEnd"/>
      <w:r w:rsidRPr="006F4BE3">
        <w:rPr>
          <w:szCs w:val="24"/>
        </w:rPr>
        <w:t xml:space="preserve"> Phe</w:t>
      </w:r>
      <w:r w:rsidRPr="006F4BE3">
        <w:rPr>
          <w:szCs w:val="24"/>
          <w:vertAlign w:val="superscript"/>
        </w:rPr>
        <w:t>69</w:t>
      </w:r>
      <w:r w:rsidRPr="006F4BE3">
        <w:rPr>
          <w:szCs w:val="24"/>
        </w:rPr>
        <w:t xml:space="preserve"> and Arg</w:t>
      </w:r>
      <w:r w:rsidRPr="006F4BE3">
        <w:rPr>
          <w:szCs w:val="24"/>
          <w:vertAlign w:val="superscript"/>
        </w:rPr>
        <w:t>72</w:t>
      </w:r>
      <w:r w:rsidRPr="006F4BE3">
        <w:rPr>
          <w:szCs w:val="24"/>
        </w:rPr>
        <w:t xml:space="preserve"> </w:t>
      </w:r>
      <w:r w:rsidR="00553400">
        <w:rPr>
          <w:szCs w:val="24"/>
        </w:rPr>
        <w:t xml:space="preserve">(in </w:t>
      </w:r>
      <w:proofErr w:type="spellStart"/>
      <w:r w:rsidR="00553400">
        <w:rPr>
          <w:szCs w:val="24"/>
        </w:rPr>
        <w:t>CatL</w:t>
      </w:r>
      <w:proofErr w:type="spellEnd"/>
      <w:r w:rsidR="00553400">
        <w:rPr>
          <w:szCs w:val="24"/>
        </w:rPr>
        <w:t xml:space="preserve"> </w:t>
      </w:r>
      <w:r w:rsidR="00553400" w:rsidRPr="00553400">
        <w:rPr>
          <w:szCs w:val="24"/>
        </w:rPr>
        <w:t>Leu</w:t>
      </w:r>
      <w:r w:rsidR="00553400" w:rsidRPr="009B7388">
        <w:rPr>
          <w:szCs w:val="24"/>
          <w:vertAlign w:val="superscript"/>
        </w:rPr>
        <w:t>69</w:t>
      </w:r>
      <w:r w:rsidR="00553400" w:rsidRPr="00553400">
        <w:rPr>
          <w:szCs w:val="24"/>
        </w:rPr>
        <w:t xml:space="preserve"> and Tyr</w:t>
      </w:r>
      <w:r w:rsidR="00553400" w:rsidRPr="009B7388">
        <w:rPr>
          <w:szCs w:val="24"/>
          <w:vertAlign w:val="superscript"/>
        </w:rPr>
        <w:t>72</w:t>
      </w:r>
      <w:r w:rsidR="00553400">
        <w:rPr>
          <w:szCs w:val="24"/>
        </w:rPr>
        <w:t xml:space="preserve">) </w:t>
      </w:r>
      <w:r w:rsidRPr="006F4BE3">
        <w:rPr>
          <w:szCs w:val="24"/>
        </w:rPr>
        <w:t xml:space="preserve">are directed towards this pocket, leading to a restriction of the </w:t>
      </w:r>
      <w:proofErr w:type="gramStart"/>
      <w:r w:rsidRPr="006F4BE3">
        <w:rPr>
          <w:szCs w:val="24"/>
        </w:rPr>
        <w:t>pocket</w:t>
      </w:r>
      <w:proofErr w:type="gramEnd"/>
      <w:r w:rsidRPr="006F4BE3">
        <w:rPr>
          <w:szCs w:val="24"/>
        </w:rPr>
        <w:t xml:space="preserve"> and forcing the phenyl ring into a slightly different orientation towards Gln</w:t>
      </w:r>
      <w:r w:rsidRPr="006F4BE3">
        <w:rPr>
          <w:szCs w:val="24"/>
          <w:vertAlign w:val="superscript"/>
        </w:rPr>
        <w:t>63</w:t>
      </w:r>
      <w:r w:rsidRPr="006F4BE3">
        <w:rPr>
          <w:szCs w:val="24"/>
        </w:rPr>
        <w:t xml:space="preserve"> (in </w:t>
      </w:r>
      <w:proofErr w:type="spellStart"/>
      <w:r w:rsidRPr="006F4BE3">
        <w:rPr>
          <w:szCs w:val="24"/>
        </w:rPr>
        <w:t>CatL</w:t>
      </w:r>
      <w:proofErr w:type="spellEnd"/>
      <w:r w:rsidRPr="006F4BE3">
        <w:rPr>
          <w:szCs w:val="24"/>
        </w:rPr>
        <w:t xml:space="preserve"> Glu</w:t>
      </w:r>
      <w:r w:rsidRPr="006F4BE3">
        <w:rPr>
          <w:szCs w:val="24"/>
          <w:vertAlign w:val="superscript"/>
        </w:rPr>
        <w:t>63</w:t>
      </w:r>
      <w:r w:rsidRPr="006F4BE3">
        <w:rPr>
          <w:szCs w:val="24"/>
        </w:rPr>
        <w:t>).</w:t>
      </w:r>
    </w:p>
    <w:p w14:paraId="69D03752" w14:textId="77777777" w:rsidR="00D336ED" w:rsidRPr="006F4BE3" w:rsidRDefault="00D336ED" w:rsidP="005335F0">
      <w:pPr>
        <w:pStyle w:val="SMText"/>
        <w:spacing w:line="480" w:lineRule="auto"/>
        <w:rPr>
          <w:b/>
          <w:szCs w:val="24"/>
        </w:rPr>
      </w:pPr>
    </w:p>
    <w:p w14:paraId="4167EEBA" w14:textId="1B11FA80" w:rsidR="006F4BE3" w:rsidRPr="006F4BE3" w:rsidRDefault="006F4BE3" w:rsidP="006F4BE3">
      <w:pPr>
        <w:spacing w:line="480" w:lineRule="auto"/>
        <w:jc w:val="both"/>
        <w:rPr>
          <w:sz w:val="24"/>
          <w:szCs w:val="24"/>
        </w:rPr>
      </w:pPr>
      <w:r w:rsidRPr="006F4BE3">
        <w:rPr>
          <w:rFonts w:eastAsia="Arial"/>
          <w:b/>
          <w:sz w:val="24"/>
          <w:szCs w:val="24"/>
        </w:rPr>
        <w:t xml:space="preserve">Calpeptin </w:t>
      </w:r>
      <w:r>
        <w:rPr>
          <w:rFonts w:eastAsia="Arial"/>
          <w:b/>
          <w:sz w:val="24"/>
          <w:szCs w:val="24"/>
        </w:rPr>
        <w:t xml:space="preserve">cell experiments. </w:t>
      </w:r>
      <w:r w:rsidRPr="006F4BE3">
        <w:rPr>
          <w:rFonts w:eastAsia="Arial"/>
          <w:bCs/>
          <w:sz w:val="24"/>
          <w:szCs w:val="24"/>
        </w:rPr>
        <w:t>To</w:t>
      </w:r>
      <w:r w:rsidRPr="006F4BE3">
        <w:rPr>
          <w:sz w:val="24"/>
          <w:szCs w:val="24"/>
        </w:rPr>
        <w:t xml:space="preserve"> test whether the viral particles are entrapped in endosomes after S-Calpeptin treatment, the distribution of S-protein containing vesicle size in infected LC-HK2 cells was analyzed by fluorescence microscopy. This analysis did not reveal any significant differences between S-Calpeptin treated cells and the control group (Figure S</w:t>
      </w:r>
      <w:r w:rsidR="00F5695D">
        <w:rPr>
          <w:sz w:val="24"/>
          <w:szCs w:val="24"/>
        </w:rPr>
        <w:t>4</w:t>
      </w:r>
      <w:r w:rsidRPr="006F4BE3">
        <w:rPr>
          <w:sz w:val="24"/>
          <w:szCs w:val="24"/>
        </w:rPr>
        <w:t xml:space="preserve">). </w:t>
      </w:r>
    </w:p>
    <w:p w14:paraId="2E4D4DE5" w14:textId="77777777" w:rsidR="006F4BE3" w:rsidRPr="006F4BE3" w:rsidRDefault="006F4BE3" w:rsidP="005335F0">
      <w:pPr>
        <w:spacing w:line="480" w:lineRule="auto"/>
        <w:jc w:val="both"/>
        <w:rPr>
          <w:sz w:val="24"/>
          <w:szCs w:val="24"/>
        </w:rPr>
      </w:pPr>
    </w:p>
    <w:p w14:paraId="351D589B" w14:textId="22687742" w:rsidR="005335F0" w:rsidRPr="00DF18AA" w:rsidRDefault="005335F0" w:rsidP="006F4BE3">
      <w:pPr>
        <w:pStyle w:val="SMText"/>
        <w:spacing w:line="480" w:lineRule="auto"/>
        <w:ind w:firstLine="0"/>
        <w:rPr>
          <w:rFonts w:eastAsia="Arial"/>
          <w:b/>
        </w:rPr>
      </w:pPr>
      <w:r w:rsidRPr="006F4BE3">
        <w:rPr>
          <w:rFonts w:eastAsia="Arial"/>
          <w:b/>
          <w:szCs w:val="24"/>
        </w:rPr>
        <w:t xml:space="preserve">Calpeptin toxicity experiments in hamsters. </w:t>
      </w:r>
      <w:r w:rsidRPr="006F4BE3">
        <w:rPr>
          <w:rFonts w:eastAsia="Arial"/>
          <w:szCs w:val="24"/>
        </w:rPr>
        <w:t>At the time of this study, we did not find any study that used Calpeptin in hamsters. Therefore, prior to the antiviral experiment, we performed a small study to investigate if different doses of Calpeptin could lead to acute toxicity in hamsters. Animals were subjected to daily subcutaneous doses of 1 mg/kg (n=3), 2 mg/kg (n=3), 3 mg/kg (n=3) of S-Calpeptin or 1:100 DMSO (vehicle control</w:t>
      </w:r>
      <w:r w:rsidRPr="00DF18AA">
        <w:rPr>
          <w:rFonts w:eastAsia="Arial"/>
        </w:rPr>
        <w:t>; n=3) for seven consecutive days, starting at day zero. The route of administration and doses were chosen based on literature reports of the use of Calpeptin in mouse studies</w:t>
      </w:r>
      <w:r w:rsidRPr="00DF18AA">
        <w:rPr>
          <w:rFonts w:eastAsia="Arial"/>
        </w:rPr>
        <w:fldChar w:fldCharType="begin"/>
      </w:r>
      <w:r w:rsidR="0062283D">
        <w:rPr>
          <w:rFonts w:eastAsia="Arial"/>
        </w:rPr>
        <w:instrText xml:space="preserve"> ADDIN ZOTERO_ITEM CSL_CITATION {"citationID":"iva9amzo","properties":{"formattedCitation":"\\super 63\\uc0\\u8211{}69\\nosupersub{}","plainCitation":"63–69","noteIndex":0},"citationItems":[{"id":204,"uris":["http://zotero.org/groups/4570191/items/IAQ32I93"],"itemData":{"id":204,"type":"article-journal","abstract":"Background:\n\nThe actin-binding protein FLNA (filamin A) regulates signal transduction important for cell locomotion, but the role of macrophage-specific FLNA during atherogenesis has not been explored.\n\nMethods:\n\nWe analyzed FLNA expression in human carotid atherosclerotic plaques by immunofluorescence. We also produced mice with Flna-deficient macrophages by breeding conditional Flna-knockout mice (Flnao/fl) with mice expressing Cre from the macrophage-specific lysosome M promoter (LC). Atherosclerosis in vivo was studied by transplanting bone marrow from male Flnao/fl/LC mice to atherogenic low-density lipoprotein receptor–deficient (Ldlr–/–) mice; and by infecting Flnao/fl and Flnao/fl/LC mice with AdPCSK9 (adenoviral vector overexpressing proprotein convertase subtilisin/kexin type 9). Furthermore, C57BL/6 mice were infected with AdPCSK9 and then treated with the calpain inhibitor calpeptin to inhibit FLNA cleavage.\n\nResults:\n\nWe found that macrophage FLNA expression was higher in advanced than in intermediate human atherosclerotic plaques. Flnao/fl/LC macrophages proliferated and migrated less than controls; expressed lower levels of phosphorylated AKT and ERK1/2; exhibited reduced foam cell formation and lipid uptake; and excreted more lipids. The deficiency of Flna in macrophages markedly reduced the size of aortic atherosclerotic plaques in both Ldlr–/–BMT:Flnao/fl/LC and AdPCSK9-infected Flnao/fl/LC mice. Intima/media ratios and numbers of CD68-positive macrophages in atherosclerotic plaques were lower in Flna-deficient mice than in control mice. Moreover, we found that STAT3 interacts with a calpain-cleaved carboxyl-terminal fragment of FLNA. Inhibiting calpain-mediated FLNA cleavage with calpeptin in macrophages reduced nuclear levels of phosphorylated STAT3, interleukin 6 secretion, foam cell formation, and lipid uptake. Finally, calpeptin treatment reduced the size of atherosclerotic plaques in C57BL/6 mice infected with AdPCSK9.\n\nConclusions:\n\nGenetic inactivation of Flna and chemical inhibition of calpain-dependent cleavage of FLNA impaired macrophage signaling and function, and reduced atherosclerosis in mice, suggesting that drugs targeting FLNA may be useful in the treatment of atherosclerosis.","container-title":"Circulation","DOI":"10.1161/CIRCULATIONAHA.119.039697","issue":"1","note":"publisher: American Heart Association","page":"67-79","source":"ahajournals.org (Atypon)","title":"Targeting Filamin A Reduces Macrophage Activity and Atherosclerosis","volume":"140","author":[{"family":"Bandaru","given":"Sashidar"},{"family":"Ala","given":"Chandu"},{"family":"Salimi","given":"Reza"},{"family":"Akula","given":"Murali K."},{"family":"Ekstrand","given":"Matias"},{"family":"Devarakonda","given":"Sravani"},{"family":"Karlsson","given":"Joakim"},{"family":"Van den Eynden","given":"Jimmy"},{"family":"Bergström","given":"Göran"},{"family":"Larsson","given":"Erik"},{"family":"Levin","given":"Max"},{"family":"Borén","given":"Jan"},{"family":"Bergo","given":"Martin O."},{"family":"Akyürek","given":"Levent M."}],"issued":{"date-parts":[["2019",7,2]]}}},{"id":206,"uris":["http://zotero.org/groups/4570191/items/KAXJCCG4"],"itemData":{"id":206,"type":"article-journal","abstract":"Pleural fibrosis is associated with various inflammatory processes such as tuberculous pleurisy and bacterial empyema. There is currently no ideal therapeutic to attenuate pleural fibrosis. Some pro-fibrogenic mediators induce fibrosis through inflammatory processes, suggesting that blockage of these mediators might prevent pleural fibrosis. The MeT-5A human pleural mesothelial cell line (PMC) was used in this study as an in vitro model of fibrosis; and intra-pleural injection of bleomycin with carbon particles was used as an in vivo mouse model of pleural fibrosis. Calpain knockout mice, calpain inhibitor (calpeptin), and angiotensin (Ang) II type 1 receptor (AT1R) antagonist (losartan) were evaluated in prevention of experimental pleural fibrosis. We found that bleomycin and carbon particles induced calpain activation in cultured PMCs. This in vitro response was associated with increased collagen-I synthesis, and was blocked by calpain inhibitor or AT1R antagonist. Calpain genetic or treatment with calpeptin or losartan prevented pleural fibrosis in a mouse model induced by bleomycin and carbon particles. Our findings indicate that Ang II signaling and calpain activation induce collagen-I synthesis and contribute to fibrotic alterations in pleural fibrosis. Inhibition of Ang II and calpain might therefore be a novel strategy in treatment of pleural fibrosis.","container-title":"Pulmonary Pharmacology &amp; Therapeutics","DOI":"10.1016/j.pupt.2017.10.012","ISSN":"1094-5539","journalAbbreviation":"Pulmonary Pharmacology &amp; Therapeutics","language":"en","page":"46-52","source":"ScienceDirect","title":"Inhibition of angiotensin II and calpain attenuates pleural fibrosis","volume":"48","author":[{"family":"Song","given":"Lin-Jie"},{"family":"Xiang","given":"Fei"},{"family":"Ye","given":"Hong"},{"family":"Huang","given":"Hai"},{"family":"Yang","given":"Jie"},{"family":"Yu","given":"Fan"},{"family":"Xiong","given":"Liang"},{"family":"Xu","given":"Juan-Juan"},{"family":"Greer","given":"Peter A."},{"family":"Shi","given":"Huan-Zhong"},{"family":"Xin","given":"Jian-Bao"},{"family":"Su","given":"Yunchao"},{"family":"Ma","given":"Wan-Li"}],"issued":{"date-parts":[["2018",2,1]]}}},{"id":208,"uris":["http://zotero.org/groups/4570191/items/UYTBACTB"],"itemData":{"id":208,"type":"article-journal","abstract":"Pulmonary fibrosis is characterized by progressive worsening of pulmonary function leading to a high incidence of death. Currently, however, there has been little progress in therapeutic strategies for pulmonary fibrosis. There have been several reports on cytokines being associated with lung fibrosis, including interleukin (IL)-6 and transforming growth factor (TGF)-β1. We reported recently that two substances (ATRA and thalidomide) have preventive effects on pulmonary fibrosis by inhibiting IL-6-dependent proliferation and TGF-β1-dependent transdifferentiation of lung fibroblasts. Rheumatoid arthritis is a chronic autoimmune disorder, and its pathogenesis is also characterized by an association with several cytokines. It has been reported that calpain, a calcium-dependent intracellular cysteine protease, plays an important role in the progression of rheumatoid arthritis. In this study, we examined the preventive effect of Calpeptin, a calpain inhibitor, on bleomycin-induced pulmonary fibrosis. We performed histological examinations and quantitative measurements of IL-6, TGF-β1, collagen type Iα1 and angiopoietin-1 in bleomycin-treated mouse lung tissues with or without the administration of Calpeptin. Calpeptin histologically ameliorated bleomycin-induced pulmonary fibrosis in mice. Calpeptin decreased the expression of IL-6, TGF-β1, angiopoietin-1 and collagen type Iα1 mRNA in mouse lung tissues. In vitro studies disclosed that Calpeptin reduced (i) production of IL-6, TGF-β1, angiopoietin-1 and collagen synthesis from lung fibroblasts; and (ii) both IL-6-dependent proliferation and angiopoietin-1-dependent migration of the cells, which could be the mechanism underlying the preventive effect of Calpeptin on pulmonary fibrosis. These data suggest the clinical use of Calpeptin for the prevention of pulmonary fibrosis.","container-title":"Clinical and Experimental Immunology","DOI":"10.1111/j.1365-2249.2010.04257.x","ISSN":"0009-9104","issue":"3","journalAbbreviation":"Clinical and Experimental Immunology","page":"560-567","source":"Silverchair","title":"The calpain inhibitor calpeptin prevents bleomycin-induced pulmonary fibrosis in mice","volume":"162","author":[{"family":"Tabata","given":"C"},{"family":"Tabata","given":"R"},{"family":"Nakano","given":"T"}],"issued":{"date-parts":[["2010",12,1]]}}},{"id":77,"uris":["http://zotero.org/groups/4570191/items/EE4ZSDIK"],"itemData":{"id":77,"type":"article-journal","abstract":"Desmoplasia contributes to the aggressive behavior of pancreatic cancer. However, recent clinical trials testing several antifibrotic agents on pancreatic cancer have not shown clear efficacy. Therefore, further investigation of desmoplasia-targeting antifibrotic agents by another mechanism is needed. Calpeptin, an inhibitor of calpains, suppressed fibroblast function and inhibited fibrosis. In this study, we investigated the anticancer effects of calpeptin on pancreatic cancer. We investigated whether calpeptin inhibited tumor progression using a mouse xenograft model. We used quantitative RT-PCR to evaluate the expression of calpain-1 and calpain-2 mRNA in pancreatic cancer cells (PCCs) and pancreatic stellate cells (PSCs). We also undertook functional assays, including proliferation, migration, and invasion, to evaluate the inhibitory effects of calpeptin on PCCs and PSCs. Quantitative RT-PCR indicated that PCCs and PSCs expressed calpain-2 mRNA. Calpeptin reduced tumor volume (P = 0.0473) and tumor weight (P = 0.0471) and inhibited the tumor desmoplastic reaction (P &lt; 0.001) in xenograft tumors in nude mice. Calpeptin also inhibited the biologic functions of PCCs and PSCs including proliferation (P = 0.017), migration (P = 0.027), and invasion (P = 0.035) in vitro. Furthermore, calpeptin reduced the migration of PCCs and PSCs by disrupting the cancer-stromal interaction (P = 0.0002). Our findings indicate that calpeptin is a promising antitumor agent for pancreatic cancer, due not only to its suppressive effect on PCCs and PSCs but also its disruption of the cancer-stromal interaction.","container-title":"Cancer Science","DOI":"10.1111/cas.13024","ISSN":"1349-7006","issue":"10","journalAbbreviation":"Cancer Sci","language":"eng","note":"PMID: 27487486\nPMCID: PMC5084662","page":"1443-1452","source":"PubMed","title":"Calpain inhibitor calpeptin suppresses pancreatic cancer by disrupting cancer-stromal interactions in a mouse xenograft model","volume":"107","author":[{"family":"Yoshida","given":"Masaki"},{"family":"Miyasaka","given":"Yoshihiro"},{"family":"Ohuchida","given":"Kenoki"},{"family":"Okumura","given":"Takashi"},{"family":"Zheng","given":"Biao"},{"family":"Torata","given":"Nobuhiro"},{"family":"Fujita","given":"Hayato"},{"family":"Nabae","given":"Toshinaga"},{"family":"Manabe","given":"Tatsuya"},{"family":"Shimamoto","given":"Masaya"},{"family":"Ohtsuka","given":"Takao"},{"family":"Mizumoto","given":"Kazuhiro"},{"family":"Nakamura","given":"Masafumi"}],"issued":{"date-parts":[["2016",10]]}}},{"id":211,"uris":["http://zotero.org/groups/4570191/items/7G9LWWX7"],"itemData":{"id":211,"type":"article-journal","abstract":"Cardiac pathology, such as myocardial infarction (MI), activates intracellular proteases that often trigger programmed cell death and contribute to maladaptive changes in myocardial structure and function. To test whether inhibition of calpain, a Ca2+-dependent cysteine protease, would prevent these changes, we used a mouse MI model. Calpeptin, an aldehydic inhibitor of calpain, was intravenously administered at 0.5 mg/kg body wt before MI induction and then at the same dose subcutaneously once per day. Both calpeptin-treated (n = 6) and untreated (n = 6) MI mice were used to study changes in myocardial structure and function after 4 days of MI, where end-diastolic volume (EDV) and left ventricular ejection fraction (EF) were measured by echocardiography. Calpain activation and programmed cell death were measured by immunohistochemistry, Western blotting, and TdT-mediated dUTP nick-end labeling (TUNEL). In MI mice, calpeptin treatment resulted in a significant improvement in EF [EF decreased from 67 ± 2% pre-MI to 30 ± 4% with MI only vs. 41 ± 2% with MI + calpeptin] and attenuated the increase in EDV [EDV increased from 42 ± 2 μl pre-MI to 73 ± 4 μl with MI only vs. 55 ± 4 μl with MI + calpeptin]. Furthermore, calpeptin treatment resulted in marked reduction in calpain- and caspase-3-associated changes and TUNEL staining. These studies indicate that calpain contributes to MI-induced alterations in myocardial structure and function and that it could be a potential therapeutic target in treating MI patients.","container-title":"American Journal of Physiology-Heart and Circulatory Physiology","DOI":"10.1152/ajpheart.00338.2009","ISSN":"0363-6135","issue":"5","note":"publisher: American Physiological Society","page":"H1744-H1751","source":"journals.physiology.org (Atypon)","title":"Calpain inhibition preserves myocardial structure and function following myocardial infarction","volume":"297","author":[{"family":"Mani","given":"Santhosh K."},{"family":"Balasubramanian","given":"Sundaravadivel"},{"family":"Zavadzkas","given":"Juozas A."},{"family":"Jeffords","given":"Laura B."},{"family":"Rivers","given":"William T."},{"family":"Zile","given":"Michael R."},{"family":"Mukherjee","given":"Rupak"},{"family":"Spinale","given":"Francis G."},{"family":"Kuppuswamy","given":"Dhandapani"}],"issued":{"date-parts":[["2009",11]]}}},{"id":215,"uris":["http://zotero.org/groups/4570191/items/QNWEAC9F"],"itemData":{"id":215,"type":"article-journal","abstract":"Parkinson’s disease (PD) is the most common neurodegenerative movement disorder, resulting in dopaminergic (DA) neuronal loss in the substantia nigra pars compacta (SNpc) and damage to the extranigral spinal cord neurons. Current therapies do not prevent the disease progression. Hence, developing efficacious therapeutic strategies for treatment of PD is of utmost importance. The goal of this study is to delineate the involvement of calpain-mediated inflammation and neurodegeneration in SN and spinal cord in MPTP-induced parkinsonian mice (C57BL/6 N), thereby elucidating potential therapeutic target(s). Increased calpain expression was found localized to tyrosine hydroxylase (TH+) neurons in SN with significantly increased TUNEL-positive neurons in SN and spinal cord neurons in MPTP mice. Inflammatory markers Cox-2, caspase-1, and NOS-2 were significantly upregulated in MPTP mouse spinal cord as compared to control. These parameters correlated with the activation of astrocytes, microglia, infiltration of CD4+/CD8+ T cells, and macrophages. We found that subpopulations of CD4+ cells (Th1 and Tregs) were differentially expanded in MPTP mice, which could be regulated by inhibition of calpain with the potent inhibitor calpeptin. Pretreatment with calpeptin (25 μg/kg, i.p.) attenuated glial activation, T cell infiltration, nigral dopaminergic degeneration in SN, and neuronal death in spinal cord. Importantly, calpeptin ameliorated MPTP-induced altered gait parameters (e.g., reduced stride length and increased stride frequency) as demonstrated by analyses of spatiotemporal gait indices using ventral plane videography. These findings suggest that calpain plays a pivotal role in MPTP-induced nigral and extranigral neurodegenerative processes and may be a valid therapeutic target in PD.","container-title":"Molecular Neurobiology","DOI":"10.1007/s12035-015-9255-6","ISSN":"1559-1182","issue":"2","journalAbbreviation":"Mol Neurobiol","language":"en","page":"1054-1066","source":"Springer Link","title":"Inhibition of Calpain Activation Protects MPTP-Induced Nigral and Spinal Cord Neurodegeneration, Reduces Inflammation, and Improves Gait Dynamics in Mice","volume":"52","author":[{"family":"Samantaray","given":"Supriti"},{"family":"Knaryan","given":"Varduhi H."},{"family":"Shields","given":"Donald C."},{"family":"Cox","given":"April A."},{"family":"Haque","given":"Azizul"},{"family":"Banik","given":"Naren L."}],"issued":{"date-parts":[["2015",10,1]]}}},{"id":81,"uris":["http://zotero.org/groups/4570191/items/DWFG24KM"],"itemData":{"id":81,"type":"article-journal","abstract":"Exposure to cigarette smoke including secondhand smoking is the most important risk factor in the development of chronic obstructive pulmonary disease where incidence has substantially increased in recent decades. The mechanisms responsible for cigarette smoke-induced pulmonary inflammation remain unclear, and thus lack of effective treatment. The present study investigated the effect of calpeptin on attenuating cigarette smoke induced pulmonary inflammation and its potential mechanism and function. When BALB/c mice were exposed to cigarette smoke and received calpeptin intraperitoneally injection after 90 days, calpeptin histologically attenuated the accumulation of neutrophils (P &lt; 0.001), eosinophils (P &lt; 0.001), macrophages (P &lt; 0.01), fibrinous exudation and proliferation within the interstitial and alveolar spaces. BEAS-2B cells were added with cigarette smoke extract in vitro and treated with calpeptin for 24 h in the treatment group. The markedly upregulation of μ-calpain (P &lt; 0.01), m-calpain (P &lt; 0.001) and IκBα (P &lt; 0.01) in cigarette smoke-induced lungs were simultaneously decreased by calpeptin treatment (P &lt; 0.05). The increased expression of μ-calpain, m-calpain and IκBα (P &lt; 0.05) in cigarette smoke extract-stimulated BEAS-2B cells were also decreased by calpeptin treatment (P &lt; 0.05). These data indicated that calpeptin attenuated cigarette smoke-induced pulmonary inflammation by suppressing the pathway of μ-calpain, m-calpain and IκBα in vivo and in vitro. Calpeptin might have a potential for prevention of the development of inflammatory pulmonary diseases and warrant further pharmaceutical investigation.","container-title":"Pathology, Research and Practice","DOI":"10.1016/j.prp.2018.06.019","ISSN":"1618-0631","issue":"8","journalAbbreviation":"Pathol Res Pract","language":"eng","note":"PMID: 30078403","page":"1199-1209","source":"PubMed","title":"Calpeptin attenuates cigarette smoke-induced pulmonary inflammation via suppressing calpain/IκBα signaling in mice and BEAS-2B cells","volume":"214","author":[{"family":"Zuo","given":"Jingjing"},{"family":"Hu","given":"Zhangwei"},{"family":"Liu","given":"Tao"},{"family":"Chen","given":"Chen"},{"family":"Tao","given":"Zezhang"},{"family":"Chen","given":"Shiming"},{"family":"Li","given":"Fen"}],"issued":{"date-parts":[["2018",8]]}}}],"schema":"https://github.com/citation-style-language/schema/raw/master/csl-citation.json"} </w:instrText>
      </w:r>
      <w:r w:rsidRPr="00DF18AA">
        <w:rPr>
          <w:rFonts w:eastAsia="Arial"/>
        </w:rPr>
        <w:fldChar w:fldCharType="separate"/>
      </w:r>
      <w:r w:rsidR="0062283D" w:rsidRPr="0062283D">
        <w:rPr>
          <w:szCs w:val="24"/>
          <w:vertAlign w:val="superscript"/>
        </w:rPr>
        <w:t>63–69</w:t>
      </w:r>
      <w:r w:rsidRPr="00DF18AA">
        <w:rPr>
          <w:rFonts w:eastAsia="Arial"/>
        </w:rPr>
        <w:fldChar w:fldCharType="end"/>
      </w:r>
      <w:r w:rsidRPr="00DF18AA">
        <w:rPr>
          <w:rFonts w:eastAsia="Arial"/>
        </w:rPr>
        <w:t xml:space="preserve">. Clinical signs and weight were followed until day 6, when the animals were euthanized, necropsied, and organs were collected for histopathology analysis. Treated animals did not display acute toxicity-related clinical signs or weight loss during the </w:t>
      </w:r>
      <w:r w:rsidRPr="00DF18AA">
        <w:rPr>
          <w:rFonts w:eastAsia="Arial"/>
        </w:rPr>
        <w:lastRenderedPageBreak/>
        <w:t>experiment (Figure S</w:t>
      </w:r>
      <w:r w:rsidR="00F5695D">
        <w:rPr>
          <w:rFonts w:eastAsia="Arial"/>
        </w:rPr>
        <w:t>7</w:t>
      </w:r>
      <w:r w:rsidRPr="00DF18AA">
        <w:rPr>
          <w:rFonts w:eastAsia="Arial"/>
        </w:rPr>
        <w:t>A and B) nor any noteworthy histopathological lesion in brain, liver, pancreas, gastro-intestinal tract, kidney, lungs, spleen, or trachea. However, a complete blood cell count performed on day 6 showed marked leukopenia caused by lymphopenia and neutropenia in animals treated with 2 mg/kg and 3 mg/kg of S-Calpeptin compared to those that received only 1 mg/kg of S-Calpeptin or 1:100 DMSO (Figure S</w:t>
      </w:r>
      <w:r w:rsidR="00F5695D">
        <w:rPr>
          <w:rFonts w:eastAsia="Arial"/>
        </w:rPr>
        <w:t>7</w:t>
      </w:r>
      <w:r w:rsidRPr="00DF18AA">
        <w:rPr>
          <w:rFonts w:eastAsia="Arial"/>
        </w:rPr>
        <w:t>C-F). For this reason, we opted to test the dose of 1 mg/kg of S-Calpeptin in the anti-viral animal experiment (Figure S</w:t>
      </w:r>
      <w:r w:rsidR="00F5695D">
        <w:rPr>
          <w:rFonts w:eastAsia="Arial"/>
        </w:rPr>
        <w:t>7</w:t>
      </w:r>
      <w:r w:rsidRPr="00DF18AA">
        <w:rPr>
          <w:rFonts w:eastAsia="Arial"/>
        </w:rPr>
        <w:t>A and B).</w:t>
      </w:r>
    </w:p>
    <w:p w14:paraId="41DD04BB" w14:textId="77777777" w:rsidR="005335F0" w:rsidRPr="00DF18AA" w:rsidRDefault="005335F0" w:rsidP="005335F0">
      <w:pPr>
        <w:pStyle w:val="SMText"/>
        <w:spacing w:line="480" w:lineRule="auto"/>
        <w:rPr>
          <w:rFonts w:eastAsia="Arial"/>
        </w:rPr>
      </w:pPr>
    </w:p>
    <w:p w14:paraId="570B4C47" w14:textId="5D7CAE26" w:rsidR="005335F0" w:rsidRPr="00DF18AA" w:rsidRDefault="005335F0" w:rsidP="005335F0">
      <w:pPr>
        <w:pStyle w:val="SMText"/>
        <w:spacing w:line="480" w:lineRule="auto"/>
        <w:rPr>
          <w:rFonts w:eastAsia="Arial"/>
          <w:b/>
        </w:rPr>
      </w:pPr>
      <w:r w:rsidRPr="00DF18AA">
        <w:rPr>
          <w:rFonts w:eastAsia="Arial"/>
          <w:b/>
        </w:rPr>
        <w:t xml:space="preserve">Histopathological lesions in hamsters infected with SARS-CoV-2. </w:t>
      </w:r>
      <w:r w:rsidRPr="00DF18AA">
        <w:rPr>
          <w:color w:val="000000" w:themeColor="text1"/>
        </w:rPr>
        <w:t>Corroborating previous studies</w:t>
      </w:r>
      <w:r w:rsidRPr="00DF18AA">
        <w:rPr>
          <w:color w:val="000000" w:themeColor="text1"/>
        </w:rPr>
        <w:fldChar w:fldCharType="begin"/>
      </w:r>
      <w:r w:rsidR="0062283D">
        <w:rPr>
          <w:color w:val="000000" w:themeColor="text1"/>
        </w:rPr>
        <w:instrText xml:space="preserve"> ADDIN ZOTERO_ITEM CSL_CITATION {"citationID":"eqQBvpnv","properties":{"formattedCitation":"\\super 31,56,57,70\\nosupersub{}","plainCitation":"31,56,57,70","noteIndex":0},"citationItems":[{"id":159,"uris":["http://zotero.org/groups/4570191/items/Z245FX9U"],"itemData":{"id":159,"type":"article-journal","abstract":"At the end of 2019, a novel coronavirus (severe acute respiratory syndrome coronavirus 2; SARS-CoV-2) was detected in Wuhan, China, that spread rapidly around the world, with severe consequences for human health and the global economy. Here, we assessed the replicative ability and pathogenesis of SARS-CoV-2 isolates in Syrian hamsters. SARS-CoV-2 isolates replicated efficiently in the lungs of hamsters, causing severe pathological lung lesions following intranasal infection. In addition, microcomputed tomographic imaging revealed severe lung injury that shared characteristics with SARS-CoV-2-infected human lung, including severe, bilateral, peripherally distributed, multilobular ground glass opacity, and regions of lung consolidation. SARS-CoV-2-infected hamsters mounted neutralizing antibody responses and were protected against subsequent rechallenge with SARS-CoV-2. Moreover, passive transfer of convalescent serum to naïve hamsters efficiently suppressed the replication of the virus in the lungs even when the serum was administrated 2 d postinfection of the serum-treated hamsters. Collectively, these findings demonstrate that this Syrian hamster model will be useful for understanding SARS-CoV-2 pathogenesis and testing vaccines and antiviral drugs.","container-title":"Proceedings of the National Academy of Sciences of the United States of America","DOI":"10.1073/pnas.2009799117","ISSN":"1091-6490","issue":"28","journalAbbreviation":"Proc Natl Acad Sci U S A","language":"eng","note":"PMID: 32571934\nPMCID: PMC7368255","page":"16587-16595","source":"PubMed","title":"Syrian hamsters as a small animal model for SARS-CoV-2 infection and countermeasure development","volume":"117","author":[{"family":"Imai","given":"Masaki"},{"family":"Iwatsuki-Horimoto","given":"Kiyoko"},{"family":"Hatta","given":"Masato"},{"family":"Loeber","given":"Samantha"},{"family":"Halfmann","given":"Peter J."},{"family":"Nakajima","given":"Noriko"},{"family":"Watanabe","given":"Tokiko"},{"family":"Ujie","given":"Michiko"},{"family":"Takahashi","given":"Kenta"},{"family":"Ito","given":"Mutsumi"},{"family":"Yamada","given":"Shinya"},{"family":"Fan","given":"Shufang"},{"family":"Chiba","given":"Shiho"},{"family":"Kuroda","given":"Makoto"},{"family":"Guan","given":"Lizheng"},{"family":"Takada","given":"Kosuke"},{"family":"Armbrust","given":"Tammy"},{"family":"Balogh","given":"Aaron"},{"family":"Furusawa","given":"Yuri"},{"family":"Okuda","given":"Moe"},{"family":"Ueki","given":"Hiroshi"},{"family":"Yasuhara","given":"Atsuhiro"},{"family":"Sakai-Tagawa","given":"Yuko"},{"family":"Lopes","given":"Tiago J. S."},{"family":"Kiso","given":"Maki"},{"family":"Yamayoshi","given":"Seiya"},{"family":"Kinoshita","given":"Noriko"},{"family":"Ohmagari","given":"Norio"},{"family":"Hattori","given":"Shin-Ichiro"},{"family":"Takeda","given":"Makoto"},{"family":"Mitsuya","given":"Hiroaki"},{"family":"Krammer","given":"Florian"},{"family":"Suzuki","given":"Tadaki"},{"family":"Kawaoka","given":"Yoshihiro"}],"issued":{"date-parts":[["2020",7,14]]}}},{"id":158,"uris":["http://zotero.org/groups/4570191/items/BGHKDLS8"],"itemData":{"id":158,"type":"article-journal","abstract":"BACKGROUND: A physiological small-animal model that resembles COVID-19 with low mortality is lacking.\nMETHODS: Molecular docking on the binding between angiotensin-converting enzyme 2 (ACE2) of common laboratory mammals and the receptor-binding domain of the surface spike protein of SARS-CoV-2 suggested that the golden Syrian hamster is an option. Virus challenge, contact transmission, and passive immunoprophylaxis studies were performed. Serial organ tissues and blood were harvested for histopathology, viral load and titer, chemokine/cytokine level, and neutralizing antibody titer.\nRESULTS: The Syrian hamster could be consistently infected by SARS-CoV-2. Maximal clinical signs of rapid breathing, weight loss, histopathological changes from the initial exudative phase of diffuse alveolar damage with extensive apoptosis to the later proliferative phase of tissue repair, airway and intestinal involvement with viral nucleocapsid protein expression, high lung viral load, and spleen and lymphoid atrophy associated with marked chemokine/cytokine activation were observed within the first week of virus challenge. The mean lung virus titer was between 105 and 107 TCID50/g. Challenged index hamsters consistently infected naive contact hamsters housed within the same cages, resulting in similar pathology but not weight loss. All infected hamsters recovered and developed mean serum neutralizing antibody titers ≥1:427 14 days postchallenge. Immunoprophylaxis with early convalescent serum achieved significant decrease in lung viral load but not in lung pathology. No consistent nonsynonymous adaptive mutation of the spike was found in viruses isolated from the infected hamsters.\nCONCLUSIONS: Besides satisfying Koch's postulates, this readily available hamster model is an important tool for studying transmission, pathogenesis, treatment, and vaccination against SARS-CoV-2.","container-title":"Clinical Infectious Diseases: An Official Publication of the Infectious Diseases Society of America","DOI":"10.1093/cid/ciaa325","ISSN":"1537-6591","issue":"9","journalAbbreviation":"Clin Infect Dis","language":"eng","note":"PMID: 32215622\nPMCID: PMC7184405","page":"2428-2446","source":"PubMed","title":"Simulation of the Clinical and Pathological Manifestations of Coronavirus Disease 2019 (COVID-19) in a Golden Syrian Hamster Model: Implications for Disease Pathogenesis and Transmissibility","title-short":"Simulation of the Clinical and Pathological Manifestations of Coronavirus Disease 2019 (COVID-19) in a Golden Syrian Hamster Model","volume":"71","author":[{"family":"Chan","given":"Jasper Fuk-Woo"},{"family":"Zhang","given":"Anna Jinxia"},{"family":"Yuan","given":"Shuofeng"},{"family":"Poon","given":"Vincent Kwok-Man"},{"family":"Chan","given":"Chris Chung-Sing"},{"family":"Lee","given":"Andrew Chak-Yiu"},{"family":"Chan","given":"Wan-Mui"},{"family":"Fan","given":"Zhimeng"},{"family":"Tsoi","given":"Hoi-Wah"},{"family":"Wen","given":"Lei"},{"family":"Liang","given":"Ronghui"},{"family":"Cao","given":"Jianli"},{"family":"Chen","given":"Yanxia"},{"family":"Tang","given":"Kaiming"},{"family":"Luo","given":"Cuiting"},{"family":"Cai","given":"Jian-Piao"},{"family":"Kok","given":"Kin-Hang"},{"family":"Chu","given":"Hin"},{"family":"Chan","given":"Kwok-Hung"},{"family":"Sridhar","given":"Siddharth"},{"family":"Chen","given":"Zhiwei"},{"family":"Chen","given":"Honglin"},{"family":"To","given":"Kelvin Kai-Wang"},{"family":"Yuen","given":"Kwok-Yung"}],"issued":{"date-parts":[["2020",12,3]]}}},{"id":220,"uris":["http://zotero.org/groups/4570191/items/G5LUKDGF"],"itemData":{"id":220,"type":"article-journal","container-title":"American Journal of Respiratory Cell and Molecular Biology","DOI":"10.1165/rcmb.2020-0280LE","ISSN":"1044-1549","issue":"6","journalAbbreviation":"Am J Respir Cell Mol Biol","note":"publisher: American Thoracic Society - AJRCMB","page":"856-859","source":"atsjournals.org (Atypon)","title":"Standardization of Reporting Criteria for Lung Pathology in SARS-CoV-2–infected Hamsters: What Matters?","title-short":"Standardization of Reporting Criteria for Lung Pathology in SARS-CoV-2–infected Hamsters","volume":"63","author":[{"family":"Gruber","given":"Achim D."},{"family":"Osterrieder","given":"Nikolaus"},{"family":"Bertzbach","given":"Luca D."},{"family":"Vladimirova","given":"Daria"},{"family":"Greuel","given":"Selina"},{"family":"Ihlow","given":"Jana"},{"family":"Horst","given":"David"},{"family":"Trimpert","given":"Jakob"},{"family":"Dietert","given":"Kristina"}],"issued":{"date-parts":[["2020",12]]}}},{"id":93,"uris":["http://zotero.org/groups/4570191/items/4HCQQSWK"],"itemData":{"id":93,"type":"article-journal","abstract":"Severe acute respiratory syndrome coronavirus 2 (SARS-CoV-2), a novel coronavirus with high nucleotide identity to SARS-CoV and to SARS-related coronaviruses that have been detected in horseshoe bats, has spread across the world and had a global effect on healthcare systems and economies1,2. A suitable small animal model is needed to support the development of vaccines and therapies. Here we report the pathogenesis and transmissibility of SARS-CoV-2 in golden (Syrian) hamsters (Mesocricetus auratus). Immunohistochemistry assay demonstrated the presence of viral antigens in nasal mucosa, bronchial epithelial cells and areas of lung consolidation on days 2 and 5 after inoculation with SARS-CoV-2, followed by rapid viral clearance and pneumocyte hyperplasia at 7 days after inoculation. We also found viral antigens in epithelial cells of the duodenum, and detected viral RNA in faeces. Notably, SARS-CoV-2 was transmitted efficiently from inoculated hamsters to naive hamsters by direct contact and via aerosols. Transmission via fomites in soiled cages was not as efficient. Although viral RNA was continuously detected in the nasal washes of inoculated hamsters for 14 days, the communicable period was short and correlated with the detection of infectious virus but not viral RNA. Inoculated and naturally infected hamsters showed apparent weight loss on days 6–7 post-inoculation or post-contact; all hamsters returned to their original weight within 14 days and developed neutralizing antibodies. Our results suggest that features associated with SARS-CoV-2 infection in golden hamsters resemble those found in humans with mild SARS-CoV-2 infections.","container-title":"Nature","DOI":"10.1038/s41586-020-2342-5","ISSN":"1476-4687","issue":"7818","language":"en","license":"2020 The Author(s), under exclusive licence to Springer Nature Limited","note":"number: 7818\npublisher: Nature Publishing Group","page":"834-838","source":"www.nature.com","title":"Pathogenesis and transmission of SARS-CoV-2 in golden hamsters","volume":"583","author":[{"family":"Sia","given":"Sin Fun"},{"family":"Yan","given":"Li-Meng"},{"family":"Chin","given":"Alex W. H."},{"family":"Fung","given":"Kevin"},{"family":"Choy","given":"Ka-Tim"},{"family":"Wong","given":"Alvina Y. L."},{"family":"Kaewpreedee","given":"Prathanporn"},{"family":"Perera","given":"Ranawaka A. P. M."},{"family":"Poon","given":"Leo L. M."},{"family":"Nicholls","given":"John M."},{"family":"Peiris","given":"Malik"},{"family":"Yen","given":"Hui-Ling"}],"issued":{"date-parts":[["2020",7]]}}}],"schema":"https://github.com/citation-style-language/schema/raw/master/csl-citation.json"} </w:instrText>
      </w:r>
      <w:r w:rsidRPr="00DF18AA">
        <w:rPr>
          <w:color w:val="000000" w:themeColor="text1"/>
        </w:rPr>
        <w:fldChar w:fldCharType="separate"/>
      </w:r>
      <w:r w:rsidR="0062283D" w:rsidRPr="0062283D">
        <w:rPr>
          <w:szCs w:val="24"/>
          <w:vertAlign w:val="superscript"/>
        </w:rPr>
        <w:t>31,56,57,70</w:t>
      </w:r>
      <w:r w:rsidRPr="00DF18AA">
        <w:rPr>
          <w:color w:val="000000" w:themeColor="text1"/>
        </w:rPr>
        <w:fldChar w:fldCharType="end"/>
      </w:r>
      <w:r w:rsidRPr="00DF18AA">
        <w:rPr>
          <w:color w:val="000000" w:themeColor="text1"/>
        </w:rPr>
        <w:t xml:space="preserve">, typical histopathological lesions were seen in hamsters inoculated with SARS-CoV-2 (G1 and G2). Findings in the lungs included </w:t>
      </w:r>
      <w:proofErr w:type="spellStart"/>
      <w:r w:rsidRPr="00DF18AA">
        <w:rPr>
          <w:color w:val="000000" w:themeColor="text1"/>
        </w:rPr>
        <w:t>bronchointerstitial</w:t>
      </w:r>
      <w:proofErr w:type="spellEnd"/>
      <w:r w:rsidRPr="00DF18AA">
        <w:rPr>
          <w:color w:val="000000" w:themeColor="text1"/>
        </w:rPr>
        <w:t xml:space="preserve"> pneumonia, suppurative bronchitis, </w:t>
      </w:r>
      <w:proofErr w:type="spellStart"/>
      <w:r w:rsidRPr="00DF18AA">
        <w:rPr>
          <w:color w:val="000000" w:themeColor="text1"/>
        </w:rPr>
        <w:t>endothelialitis</w:t>
      </w:r>
      <w:proofErr w:type="spellEnd"/>
      <w:r w:rsidRPr="00DF18AA">
        <w:rPr>
          <w:color w:val="000000" w:themeColor="text1"/>
        </w:rPr>
        <w:t>, necrosis of epithelial cells, and hyperplasia of bronchial and alveolar type II epithelial cells (Figure S</w:t>
      </w:r>
      <w:r w:rsidR="0037618D">
        <w:rPr>
          <w:color w:val="000000" w:themeColor="text1"/>
        </w:rPr>
        <w:t>5</w:t>
      </w:r>
      <w:r w:rsidRPr="00DF18AA">
        <w:rPr>
          <w:color w:val="000000" w:themeColor="text1"/>
        </w:rPr>
        <w:t xml:space="preserve">). Occasional atypical syncytial cells were seen. Areas of interstitial pulmonary fibrosis and/or inflammation were occasionally detected on both infected groups. On day 7 </w:t>
      </w:r>
      <w:proofErr w:type="spellStart"/>
      <w:r w:rsidRPr="00DF18AA">
        <w:rPr>
          <w:color w:val="000000" w:themeColor="text1"/>
        </w:rPr>
        <w:t>p.i.</w:t>
      </w:r>
      <w:proofErr w:type="spellEnd"/>
      <w:r w:rsidRPr="00DF18AA">
        <w:rPr>
          <w:color w:val="000000" w:themeColor="text1"/>
        </w:rPr>
        <w:t xml:space="preserve">, there were higher tissue repair scores in infected animals (Figure </w:t>
      </w:r>
      <w:r w:rsidR="00C14271" w:rsidRPr="00DF18AA">
        <w:rPr>
          <w:color w:val="000000" w:themeColor="text1"/>
        </w:rPr>
        <w:t>S</w:t>
      </w:r>
      <w:r w:rsidR="00F5695D">
        <w:rPr>
          <w:color w:val="000000" w:themeColor="text1"/>
        </w:rPr>
        <w:t>5</w:t>
      </w:r>
      <w:r w:rsidR="00C14271" w:rsidRPr="00DF18AA">
        <w:rPr>
          <w:color w:val="000000" w:themeColor="text1"/>
        </w:rPr>
        <w:t>F</w:t>
      </w:r>
      <w:r w:rsidRPr="00DF18AA">
        <w:rPr>
          <w:color w:val="000000" w:themeColor="text1"/>
        </w:rPr>
        <w:t xml:space="preserve">), coinciding with a lower viral load in respiratory tissues and beginning of the recovery phase (Figure </w:t>
      </w:r>
      <w:r w:rsidR="00F5695D">
        <w:rPr>
          <w:color w:val="000000" w:themeColor="text1"/>
        </w:rPr>
        <w:t>5</w:t>
      </w:r>
      <w:r w:rsidRPr="00DF18AA">
        <w:rPr>
          <w:color w:val="000000" w:themeColor="text1"/>
        </w:rPr>
        <w:t>). Lesions in the trachea of infected hamsters consisted of loss of cilia, degeneration and/or necrosis of epithelial cells and inflammatory infiltrate in the lumen and/or in the lamina propria. Histopathology analysis showed no statistically significant differences in lesion scores between SARS-CoV-2 infected animals that were treated with S-Calpeptin and to those that were not (Figure S</w:t>
      </w:r>
      <w:r w:rsidR="0037618D">
        <w:rPr>
          <w:color w:val="000000" w:themeColor="text1"/>
        </w:rPr>
        <w:t>6</w:t>
      </w:r>
      <w:r w:rsidRPr="00DF18AA">
        <w:rPr>
          <w:color w:val="000000" w:themeColor="text1"/>
        </w:rPr>
        <w:t>). Lung vascular lesions are a hallmark of COVID-19 in hamsters</w:t>
      </w:r>
      <w:r w:rsidRPr="00DF18AA">
        <w:rPr>
          <w:color w:val="000000" w:themeColor="text1"/>
        </w:rPr>
        <w:fldChar w:fldCharType="begin"/>
      </w:r>
      <w:r w:rsidR="0062283D">
        <w:rPr>
          <w:color w:val="000000" w:themeColor="text1"/>
        </w:rPr>
        <w:instrText xml:space="preserve"> ADDIN ZOTERO_ITEM CSL_CITATION {"citationID":"J2C2xvzz","properties":{"formattedCitation":"\\super 31\\nosupersub{}","plainCitation":"31","noteIndex":0},"citationItems":[{"id":220,"uris":["http://zotero.org/groups/4570191/items/G5LUKDGF"],"itemData":{"id":220,"type":"article-journal","container-title":"American Journal of Respiratory Cell and Molecular Biology","DOI":"10.1165/rcmb.2020-0280LE","ISSN":"1044-1549","issue":"6","journalAbbreviation":"Am J Respir Cell Mol Biol","note":"publisher: American Thoracic Society - AJRCMB","page":"856-859","source":"atsjournals.org (Atypon)","title":"Standardization of Reporting Criteria for Lung Pathology in SARS-CoV-2–infected Hamsters: What Matters?","title-short":"Standardization of Reporting Criteria for Lung Pathology in SARS-CoV-2–infected Hamsters","volume":"63","author":[{"family":"Gruber","given":"Achim D."},{"family":"Osterrieder","given":"Nikolaus"},{"family":"Bertzbach","given":"Luca D."},{"family":"Vladimirova","given":"Daria"},{"family":"Greuel","given":"Selina"},{"family":"Ihlow","given":"Jana"},{"family":"Horst","given":"David"},{"family":"Trimpert","given":"Jakob"},{"family":"Dietert","given":"Kristina"}],"issued":{"date-parts":[["2020",12]]}}}],"schema":"https://github.com/citation-style-language/schema/raw/master/csl-citation.json"} </w:instrText>
      </w:r>
      <w:r w:rsidRPr="00DF18AA">
        <w:rPr>
          <w:color w:val="000000" w:themeColor="text1"/>
        </w:rPr>
        <w:fldChar w:fldCharType="separate"/>
      </w:r>
      <w:r w:rsidR="0062283D" w:rsidRPr="0062283D">
        <w:rPr>
          <w:szCs w:val="24"/>
          <w:vertAlign w:val="superscript"/>
        </w:rPr>
        <w:t>31</w:t>
      </w:r>
      <w:r w:rsidRPr="00DF18AA">
        <w:rPr>
          <w:color w:val="000000" w:themeColor="text1"/>
        </w:rPr>
        <w:fldChar w:fldCharType="end"/>
      </w:r>
      <w:r w:rsidRPr="00DF18AA">
        <w:rPr>
          <w:color w:val="000000" w:themeColor="text1"/>
        </w:rPr>
        <w:t xml:space="preserve">. Although S-Calpeptin-treated animals showed lower scores for vascular damage compared to the untreated group on days 5 and 7 </w:t>
      </w:r>
      <w:proofErr w:type="spellStart"/>
      <w:r w:rsidRPr="00DF18AA">
        <w:rPr>
          <w:color w:val="000000" w:themeColor="text1"/>
        </w:rPr>
        <w:t>p.i.</w:t>
      </w:r>
      <w:proofErr w:type="spellEnd"/>
      <w:r w:rsidRPr="00DF18AA">
        <w:rPr>
          <w:color w:val="000000" w:themeColor="text1"/>
        </w:rPr>
        <w:t>, these results were also not statistically significant (Figure S</w:t>
      </w:r>
      <w:r w:rsidR="0037618D">
        <w:rPr>
          <w:color w:val="000000" w:themeColor="text1"/>
        </w:rPr>
        <w:t>6</w:t>
      </w:r>
      <w:r w:rsidRPr="00DF18AA">
        <w:rPr>
          <w:color w:val="000000" w:themeColor="text1"/>
        </w:rPr>
        <w:t>). As expected, the lungs and trachea of hamsters from control groups (G3 and G4) were unremarkable.</w:t>
      </w:r>
    </w:p>
    <w:p w14:paraId="677A3188" w14:textId="43248B92" w:rsidR="005335F0" w:rsidRDefault="005335F0" w:rsidP="005335F0">
      <w:pPr>
        <w:spacing w:line="480" w:lineRule="auto"/>
      </w:pPr>
      <w:r w:rsidRPr="00DF18AA">
        <w:br w:type="page" w:clear="all"/>
      </w:r>
    </w:p>
    <w:p w14:paraId="1DA25A99" w14:textId="36EC2E1E" w:rsidR="00455A9F" w:rsidRDefault="00956F45" w:rsidP="00EC6DA2">
      <w:pPr>
        <w:pStyle w:val="SMHeading"/>
        <w:spacing w:line="480" w:lineRule="auto"/>
      </w:pPr>
      <w:r>
        <w:rPr>
          <w:noProof/>
        </w:rPr>
        <w:lastRenderedPageBreak/>
        <w:drawing>
          <wp:inline distT="0" distB="0" distL="0" distR="0" wp14:anchorId="3C613CCD" wp14:editId="6C9518C2">
            <wp:extent cx="5987415" cy="226822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87415" cy="2268220"/>
                    </a:xfrm>
                    <a:prstGeom prst="rect">
                      <a:avLst/>
                    </a:prstGeom>
                    <a:noFill/>
                    <a:ln>
                      <a:noFill/>
                    </a:ln>
                  </pic:spPr>
                </pic:pic>
              </a:graphicData>
            </a:graphic>
          </wp:inline>
        </w:drawing>
      </w:r>
    </w:p>
    <w:p w14:paraId="118481F8" w14:textId="5ABCF225" w:rsidR="00EC6DA2" w:rsidRPr="00DF18AA" w:rsidRDefault="00EC6DA2" w:rsidP="00EC6DA2">
      <w:pPr>
        <w:pStyle w:val="SMHeading"/>
        <w:spacing w:line="480" w:lineRule="auto"/>
      </w:pPr>
      <w:r w:rsidRPr="00DF18AA">
        <w:t>Fig. S1.</w:t>
      </w:r>
    </w:p>
    <w:p w14:paraId="6C0B3874" w14:textId="245E1A38" w:rsidR="00EC6DA2" w:rsidRDefault="00EC6DA2" w:rsidP="00903327">
      <w:pPr>
        <w:pStyle w:val="SMcaption"/>
        <w:spacing w:line="480" w:lineRule="auto"/>
      </w:pPr>
      <w:r>
        <w:rPr>
          <w:b/>
          <w:szCs w:val="24"/>
        </w:rPr>
        <w:t xml:space="preserve">Activation of </w:t>
      </w:r>
      <w:r w:rsidR="00602317">
        <w:rPr>
          <w:b/>
          <w:szCs w:val="24"/>
        </w:rPr>
        <w:t xml:space="preserve">the prodrugs </w:t>
      </w:r>
      <w:r>
        <w:rPr>
          <w:b/>
          <w:szCs w:val="24"/>
        </w:rPr>
        <w:t>S-Calpeptin</w:t>
      </w:r>
      <w:r w:rsidR="00333425">
        <w:rPr>
          <w:b/>
          <w:szCs w:val="24"/>
        </w:rPr>
        <w:t xml:space="preserve"> and </w:t>
      </w:r>
      <w:r w:rsidR="00602317">
        <w:rPr>
          <w:b/>
          <w:szCs w:val="24"/>
        </w:rPr>
        <w:t>GC-376</w:t>
      </w:r>
      <w:r w:rsidRPr="00DF18AA">
        <w:rPr>
          <w:b/>
          <w:szCs w:val="24"/>
        </w:rPr>
        <w:t>.</w:t>
      </w:r>
      <w:r>
        <w:rPr>
          <w:b/>
          <w:szCs w:val="24"/>
        </w:rPr>
        <w:t xml:space="preserve"> </w:t>
      </w:r>
      <w:r w:rsidR="00602317">
        <w:rPr>
          <w:b/>
          <w:szCs w:val="24"/>
        </w:rPr>
        <w:t xml:space="preserve">(A) </w:t>
      </w:r>
      <w:r>
        <w:t xml:space="preserve">S-Calpeptin </w:t>
      </w:r>
      <w:r w:rsidR="00602317">
        <w:t xml:space="preserve">and (B) GC-376 </w:t>
      </w:r>
      <w:r w:rsidR="00D336ED">
        <w:t xml:space="preserve">contain </w:t>
      </w:r>
      <w:r>
        <w:t>a</w:t>
      </w:r>
      <w:r w:rsidRPr="00EC6DA2">
        <w:t xml:space="preserve"> sulfonated </w:t>
      </w:r>
      <w:r>
        <w:t>aldehyde, which under physiological conditions</w:t>
      </w:r>
      <w:r w:rsidRPr="00EC6DA2">
        <w:t xml:space="preserve"> slowly convert</w:t>
      </w:r>
      <w:r w:rsidR="00602317">
        <w:t>s</w:t>
      </w:r>
      <w:r w:rsidRPr="00EC6DA2">
        <w:t xml:space="preserve"> into </w:t>
      </w:r>
      <w:proofErr w:type="spellStart"/>
      <w:r w:rsidRPr="00EC6DA2">
        <w:t>hydrogensulfite</w:t>
      </w:r>
      <w:proofErr w:type="spellEnd"/>
      <w:r w:rsidRPr="00EC6DA2">
        <w:t xml:space="preserve"> and the aldehyde, thereby unmasking the warhead</w:t>
      </w:r>
      <w:r>
        <w:t xml:space="preserve">. The aldehyde warhead </w:t>
      </w:r>
      <w:r w:rsidR="00602317">
        <w:t>binds covalently</w:t>
      </w:r>
      <w:r>
        <w:t xml:space="preserve"> to catalytic cysteines of cathepsins and </w:t>
      </w:r>
      <w:proofErr w:type="spellStart"/>
      <w:r>
        <w:t>M</w:t>
      </w:r>
      <w:r w:rsidRPr="00EC6DA2">
        <w:rPr>
          <w:vertAlign w:val="superscript"/>
        </w:rPr>
        <w:t>pro</w:t>
      </w:r>
      <w:proofErr w:type="spellEnd"/>
      <w:r>
        <w:t>.</w:t>
      </w:r>
      <w:r>
        <w:br w:type="page"/>
      </w:r>
    </w:p>
    <w:p w14:paraId="55CB2444" w14:textId="4920913D" w:rsidR="005335F0" w:rsidRDefault="009045F5" w:rsidP="005335F0">
      <w:pPr>
        <w:pStyle w:val="SMcaption"/>
        <w:spacing w:line="480" w:lineRule="auto"/>
      </w:pPr>
      <w:r>
        <w:rPr>
          <w:noProof/>
        </w:rPr>
        <w:lastRenderedPageBreak/>
        <w:drawing>
          <wp:inline distT="0" distB="0" distL="0" distR="0" wp14:anchorId="49A2CCD4" wp14:editId="0A85C639">
            <wp:extent cx="5970270" cy="7693025"/>
            <wp:effectExtent l="0" t="0" r="0"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70270" cy="7693025"/>
                    </a:xfrm>
                    <a:prstGeom prst="rect">
                      <a:avLst/>
                    </a:prstGeom>
                    <a:noFill/>
                    <a:ln>
                      <a:noFill/>
                    </a:ln>
                  </pic:spPr>
                </pic:pic>
              </a:graphicData>
            </a:graphic>
          </wp:inline>
        </w:drawing>
      </w:r>
    </w:p>
    <w:p w14:paraId="3107E922" w14:textId="77777777" w:rsidR="00455A9F" w:rsidRPr="00DF18AA" w:rsidRDefault="00455A9F" w:rsidP="005335F0">
      <w:pPr>
        <w:pStyle w:val="SMcaption"/>
        <w:spacing w:line="480" w:lineRule="auto"/>
      </w:pPr>
    </w:p>
    <w:p w14:paraId="6D3B3A30" w14:textId="2A1281BA" w:rsidR="005335F0" w:rsidRPr="00DF18AA" w:rsidRDefault="005335F0" w:rsidP="005335F0">
      <w:pPr>
        <w:pStyle w:val="SMHeading"/>
        <w:spacing w:line="480" w:lineRule="auto"/>
      </w:pPr>
      <w:r w:rsidRPr="00DF18AA">
        <w:lastRenderedPageBreak/>
        <w:t>Fig. S</w:t>
      </w:r>
      <w:r w:rsidR="00CA6EFE">
        <w:t>2</w:t>
      </w:r>
      <w:r w:rsidRPr="00DF18AA">
        <w:t>.</w:t>
      </w:r>
    </w:p>
    <w:p w14:paraId="14343C73" w14:textId="768F28F6" w:rsidR="005335F0" w:rsidRPr="00DF18AA" w:rsidRDefault="005335F0" w:rsidP="005335F0">
      <w:pPr>
        <w:pStyle w:val="SMcaption"/>
        <w:spacing w:line="480" w:lineRule="auto"/>
        <w:rPr>
          <w:szCs w:val="24"/>
        </w:rPr>
      </w:pPr>
      <w:r w:rsidRPr="00DF18AA">
        <w:rPr>
          <w:b/>
          <w:szCs w:val="24"/>
        </w:rPr>
        <w:t xml:space="preserve">Comparison of inhibitor binding to the active sites of </w:t>
      </w:r>
      <w:proofErr w:type="spellStart"/>
      <w:r w:rsidRPr="00DF18AA">
        <w:rPr>
          <w:b/>
          <w:szCs w:val="24"/>
        </w:rPr>
        <w:t>CatL</w:t>
      </w:r>
      <w:proofErr w:type="spellEnd"/>
      <w:r w:rsidRPr="00DF18AA">
        <w:rPr>
          <w:b/>
          <w:szCs w:val="24"/>
        </w:rPr>
        <w:t xml:space="preserve"> and </w:t>
      </w:r>
      <w:proofErr w:type="spellStart"/>
      <w:r w:rsidRPr="00DF18AA">
        <w:rPr>
          <w:b/>
          <w:szCs w:val="24"/>
        </w:rPr>
        <w:t>M</w:t>
      </w:r>
      <w:r w:rsidRPr="00DF18AA">
        <w:rPr>
          <w:b/>
          <w:szCs w:val="24"/>
          <w:vertAlign w:val="superscript"/>
        </w:rPr>
        <w:t>pro</w:t>
      </w:r>
      <w:proofErr w:type="spellEnd"/>
      <w:r w:rsidRPr="00DF18AA">
        <w:rPr>
          <w:b/>
          <w:szCs w:val="24"/>
        </w:rPr>
        <w:t xml:space="preserve">. </w:t>
      </w:r>
      <w:r w:rsidRPr="00DF18AA">
        <w:rPr>
          <w:szCs w:val="24"/>
        </w:rPr>
        <w:t xml:space="preserve">Closeup view of the active site (green) of </w:t>
      </w:r>
      <w:proofErr w:type="spellStart"/>
      <w:r w:rsidRPr="00DF18AA">
        <w:rPr>
          <w:szCs w:val="24"/>
        </w:rPr>
        <w:t>CatL</w:t>
      </w:r>
      <w:proofErr w:type="spellEnd"/>
      <w:r w:rsidRPr="00DF18AA">
        <w:rPr>
          <w:szCs w:val="24"/>
        </w:rPr>
        <w:t xml:space="preserve"> (</w:t>
      </w:r>
      <w:r w:rsidRPr="00DF18AA">
        <w:rPr>
          <w:b/>
          <w:szCs w:val="24"/>
        </w:rPr>
        <w:t>A</w:t>
      </w:r>
      <w:r w:rsidRPr="00DF18AA">
        <w:rPr>
          <w:szCs w:val="24"/>
        </w:rPr>
        <w:t xml:space="preserve">, grey surface) and </w:t>
      </w:r>
      <w:proofErr w:type="spellStart"/>
      <w:r w:rsidRPr="00DF18AA">
        <w:rPr>
          <w:szCs w:val="24"/>
        </w:rPr>
        <w:t>M</w:t>
      </w:r>
      <w:r w:rsidRPr="00DF18AA">
        <w:rPr>
          <w:szCs w:val="24"/>
          <w:vertAlign w:val="superscript"/>
        </w:rPr>
        <w:t>pro</w:t>
      </w:r>
      <w:proofErr w:type="spellEnd"/>
      <w:r w:rsidRPr="00DF18AA">
        <w:rPr>
          <w:szCs w:val="24"/>
        </w:rPr>
        <w:t xml:space="preserve"> (</w:t>
      </w:r>
      <w:r w:rsidRPr="00DF18AA">
        <w:rPr>
          <w:b/>
          <w:szCs w:val="24"/>
        </w:rPr>
        <w:t>B</w:t>
      </w:r>
      <w:r w:rsidRPr="00DF18AA">
        <w:rPr>
          <w:szCs w:val="24"/>
        </w:rPr>
        <w:t xml:space="preserve">, blue surface). </w:t>
      </w:r>
      <w:proofErr w:type="spellStart"/>
      <w:r w:rsidRPr="00DF18AA">
        <w:rPr>
          <w:rFonts w:eastAsia="Arial"/>
          <w:szCs w:val="24"/>
        </w:rPr>
        <w:t>M</w:t>
      </w:r>
      <w:r w:rsidRPr="00DF18AA">
        <w:rPr>
          <w:rFonts w:eastAsia="Arial"/>
          <w:szCs w:val="24"/>
          <w:vertAlign w:val="superscript"/>
        </w:rPr>
        <w:t>pro</w:t>
      </w:r>
      <w:proofErr w:type="spellEnd"/>
      <w:r w:rsidRPr="00DF18AA">
        <w:rPr>
          <w:rFonts w:eastAsia="Arial"/>
          <w:szCs w:val="24"/>
        </w:rPr>
        <w:t xml:space="preserve"> residues Ser</w:t>
      </w:r>
      <w:r w:rsidRPr="00917959">
        <w:rPr>
          <w:rFonts w:eastAsia="Arial"/>
          <w:szCs w:val="24"/>
          <w:vertAlign w:val="superscript"/>
        </w:rPr>
        <w:t>46</w:t>
      </w:r>
      <w:r w:rsidRPr="00DF18AA">
        <w:rPr>
          <w:rFonts w:eastAsia="Arial"/>
          <w:szCs w:val="24"/>
        </w:rPr>
        <w:t xml:space="preserve"> and Asn</w:t>
      </w:r>
      <w:r w:rsidRPr="00917959">
        <w:rPr>
          <w:rFonts w:eastAsia="Arial"/>
          <w:szCs w:val="24"/>
          <w:vertAlign w:val="superscript"/>
        </w:rPr>
        <w:t>142</w:t>
      </w:r>
      <w:r w:rsidRPr="00DF18AA">
        <w:rPr>
          <w:rFonts w:eastAsia="Arial"/>
          <w:szCs w:val="24"/>
        </w:rPr>
        <w:t xml:space="preserve"> are shown as a transparent area </w:t>
      </w:r>
      <w:r w:rsidR="00D336ED">
        <w:rPr>
          <w:rFonts w:eastAsia="Arial"/>
          <w:szCs w:val="24"/>
        </w:rPr>
        <w:t>(white dashes, dark green area) to reveal the complete extend</w:t>
      </w:r>
      <w:r w:rsidRPr="00DF18AA">
        <w:rPr>
          <w:rFonts w:eastAsia="Arial"/>
          <w:szCs w:val="24"/>
        </w:rPr>
        <w:t xml:space="preserve"> of the binding site</w:t>
      </w:r>
      <w:r w:rsidR="00D336ED">
        <w:rPr>
          <w:rFonts w:eastAsia="Arial"/>
          <w:szCs w:val="24"/>
        </w:rPr>
        <w:t xml:space="preserve"> underneath</w:t>
      </w:r>
      <w:r w:rsidRPr="00DF18AA">
        <w:rPr>
          <w:rFonts w:eastAsia="Arial"/>
          <w:szCs w:val="24"/>
        </w:rPr>
        <w:t xml:space="preserve">. </w:t>
      </w:r>
      <w:r w:rsidRPr="00DF18AA">
        <w:rPr>
          <w:szCs w:val="24"/>
        </w:rPr>
        <w:t xml:space="preserve">The central catalytic cysteine is shown in stick representation. Calpeptin (orange sticks) bound to </w:t>
      </w:r>
      <w:proofErr w:type="spellStart"/>
      <w:r w:rsidRPr="00DF18AA">
        <w:rPr>
          <w:szCs w:val="24"/>
        </w:rPr>
        <w:t>CatL</w:t>
      </w:r>
      <w:proofErr w:type="spellEnd"/>
      <w:r w:rsidRPr="00DF18AA">
        <w:rPr>
          <w:szCs w:val="24"/>
        </w:rPr>
        <w:t xml:space="preserve"> (</w:t>
      </w:r>
      <w:r w:rsidRPr="00DF18AA">
        <w:rPr>
          <w:b/>
          <w:szCs w:val="24"/>
        </w:rPr>
        <w:t>C</w:t>
      </w:r>
      <w:r w:rsidRPr="00DF18AA">
        <w:rPr>
          <w:szCs w:val="24"/>
        </w:rPr>
        <w:t xml:space="preserve">) and </w:t>
      </w:r>
      <w:proofErr w:type="spellStart"/>
      <w:r w:rsidRPr="00DF18AA">
        <w:rPr>
          <w:szCs w:val="24"/>
        </w:rPr>
        <w:t>M</w:t>
      </w:r>
      <w:r w:rsidRPr="00DF18AA">
        <w:rPr>
          <w:szCs w:val="24"/>
          <w:vertAlign w:val="superscript"/>
        </w:rPr>
        <w:t>pro</w:t>
      </w:r>
      <w:proofErr w:type="spellEnd"/>
      <w:r w:rsidRPr="00DF18AA">
        <w:rPr>
          <w:szCs w:val="24"/>
        </w:rPr>
        <w:t xml:space="preserve"> (</w:t>
      </w:r>
      <w:r w:rsidRPr="00DF18AA">
        <w:rPr>
          <w:b/>
          <w:szCs w:val="24"/>
        </w:rPr>
        <w:t>D</w:t>
      </w:r>
      <w:r w:rsidRPr="00DF18AA">
        <w:rPr>
          <w:szCs w:val="24"/>
        </w:rPr>
        <w:t>). Important substrate binding pockets are colored and labelled S1</w:t>
      </w:r>
      <w:r w:rsidR="00956F45">
        <w:rPr>
          <w:szCs w:val="24"/>
        </w:rPr>
        <w:t xml:space="preserve"> to </w:t>
      </w:r>
      <w:r w:rsidRPr="00DF18AA">
        <w:rPr>
          <w:szCs w:val="24"/>
        </w:rPr>
        <w:t xml:space="preserve">S4. </w:t>
      </w:r>
      <w:r w:rsidR="0059475B">
        <w:rPr>
          <w:szCs w:val="24"/>
        </w:rPr>
        <w:t>Calpeptin</w:t>
      </w:r>
      <w:r w:rsidRPr="00DF18AA">
        <w:rPr>
          <w:szCs w:val="24"/>
        </w:rPr>
        <w:t xml:space="preserve"> </w:t>
      </w:r>
      <w:r w:rsidR="00455A9F">
        <w:rPr>
          <w:szCs w:val="24"/>
        </w:rPr>
        <w:t xml:space="preserve">derived </w:t>
      </w:r>
      <w:r w:rsidR="009045F5">
        <w:rPr>
          <w:szCs w:val="24"/>
        </w:rPr>
        <w:t>from S-</w:t>
      </w:r>
      <w:r w:rsidR="00455A9F">
        <w:rPr>
          <w:szCs w:val="24"/>
        </w:rPr>
        <w:t xml:space="preserve">Calpeptin </w:t>
      </w:r>
      <w:r w:rsidRPr="00DF18AA">
        <w:rPr>
          <w:szCs w:val="24"/>
        </w:rPr>
        <w:t>(</w:t>
      </w:r>
      <w:r w:rsidR="0059475B">
        <w:rPr>
          <w:szCs w:val="24"/>
        </w:rPr>
        <w:t>teal</w:t>
      </w:r>
      <w:r w:rsidRPr="00DF18AA">
        <w:rPr>
          <w:szCs w:val="24"/>
        </w:rPr>
        <w:t xml:space="preserve"> sticks) bound to </w:t>
      </w:r>
      <w:proofErr w:type="spellStart"/>
      <w:r w:rsidRPr="00DF18AA">
        <w:rPr>
          <w:szCs w:val="24"/>
        </w:rPr>
        <w:t>CatL</w:t>
      </w:r>
      <w:proofErr w:type="spellEnd"/>
      <w:r w:rsidRPr="00DF18AA">
        <w:rPr>
          <w:szCs w:val="24"/>
        </w:rPr>
        <w:t xml:space="preserve"> (</w:t>
      </w:r>
      <w:r w:rsidRPr="00DF18AA">
        <w:rPr>
          <w:b/>
          <w:szCs w:val="24"/>
        </w:rPr>
        <w:t>E</w:t>
      </w:r>
      <w:r w:rsidRPr="00DF18AA">
        <w:rPr>
          <w:szCs w:val="24"/>
        </w:rPr>
        <w:t xml:space="preserve">) and </w:t>
      </w:r>
      <w:proofErr w:type="spellStart"/>
      <w:r w:rsidRPr="00DF18AA">
        <w:rPr>
          <w:szCs w:val="24"/>
        </w:rPr>
        <w:t>M</w:t>
      </w:r>
      <w:r w:rsidRPr="00DF18AA">
        <w:rPr>
          <w:szCs w:val="24"/>
          <w:vertAlign w:val="superscript"/>
        </w:rPr>
        <w:t>pro</w:t>
      </w:r>
      <w:proofErr w:type="spellEnd"/>
      <w:r w:rsidRPr="00DF18AA">
        <w:rPr>
          <w:szCs w:val="24"/>
        </w:rPr>
        <w:t xml:space="preserve"> (</w:t>
      </w:r>
      <w:r w:rsidRPr="00DF18AA">
        <w:rPr>
          <w:b/>
          <w:szCs w:val="24"/>
        </w:rPr>
        <w:t>F</w:t>
      </w:r>
      <w:r w:rsidRPr="00DF18AA">
        <w:rPr>
          <w:szCs w:val="24"/>
        </w:rPr>
        <w:t xml:space="preserve">), and </w:t>
      </w:r>
      <w:r w:rsidR="0059475B">
        <w:rPr>
          <w:szCs w:val="24"/>
        </w:rPr>
        <w:t>GC-376</w:t>
      </w:r>
      <w:r w:rsidR="00455A9F">
        <w:rPr>
          <w:szCs w:val="24"/>
        </w:rPr>
        <w:t xml:space="preserve"> </w:t>
      </w:r>
      <w:r w:rsidR="009045F5">
        <w:rPr>
          <w:szCs w:val="24"/>
        </w:rPr>
        <w:t xml:space="preserve">aldehyde </w:t>
      </w:r>
      <w:r w:rsidR="00455A9F">
        <w:rPr>
          <w:szCs w:val="24"/>
        </w:rPr>
        <w:t>derived</w:t>
      </w:r>
      <w:r w:rsidR="009045F5">
        <w:rPr>
          <w:szCs w:val="24"/>
        </w:rPr>
        <w:t xml:space="preserve"> from</w:t>
      </w:r>
      <w:r w:rsidR="00455A9F">
        <w:rPr>
          <w:szCs w:val="24"/>
        </w:rPr>
        <w:t xml:space="preserve"> GC-376 </w:t>
      </w:r>
      <w:r w:rsidRPr="00DF18AA">
        <w:rPr>
          <w:szCs w:val="24"/>
        </w:rPr>
        <w:t>(</w:t>
      </w:r>
      <w:r w:rsidR="0059475B">
        <w:rPr>
          <w:szCs w:val="24"/>
        </w:rPr>
        <w:t>purple</w:t>
      </w:r>
      <w:r w:rsidRPr="00DF18AA">
        <w:rPr>
          <w:szCs w:val="24"/>
        </w:rPr>
        <w:t xml:space="preserve"> sticks) bound to </w:t>
      </w:r>
      <w:proofErr w:type="spellStart"/>
      <w:r w:rsidRPr="00DF18AA">
        <w:rPr>
          <w:szCs w:val="24"/>
        </w:rPr>
        <w:t>CatL</w:t>
      </w:r>
      <w:proofErr w:type="spellEnd"/>
      <w:r w:rsidRPr="00DF18AA">
        <w:rPr>
          <w:szCs w:val="24"/>
        </w:rPr>
        <w:t xml:space="preserve"> (</w:t>
      </w:r>
      <w:r w:rsidRPr="00DF18AA">
        <w:rPr>
          <w:b/>
          <w:szCs w:val="24"/>
        </w:rPr>
        <w:t>G</w:t>
      </w:r>
      <w:r w:rsidRPr="00DF18AA">
        <w:rPr>
          <w:szCs w:val="24"/>
        </w:rPr>
        <w:t xml:space="preserve">) and </w:t>
      </w:r>
      <w:proofErr w:type="spellStart"/>
      <w:r w:rsidRPr="00DF18AA">
        <w:rPr>
          <w:szCs w:val="24"/>
        </w:rPr>
        <w:t>M</w:t>
      </w:r>
      <w:r w:rsidRPr="00DF18AA">
        <w:rPr>
          <w:szCs w:val="24"/>
          <w:vertAlign w:val="superscript"/>
        </w:rPr>
        <w:t>pro</w:t>
      </w:r>
      <w:proofErr w:type="spellEnd"/>
      <w:r w:rsidRPr="00DF18AA">
        <w:rPr>
          <w:szCs w:val="24"/>
        </w:rPr>
        <w:t xml:space="preserve"> (</w:t>
      </w:r>
      <w:r w:rsidRPr="00DF18AA">
        <w:rPr>
          <w:b/>
          <w:szCs w:val="24"/>
        </w:rPr>
        <w:t>H</w:t>
      </w:r>
      <w:r w:rsidRPr="00DF18AA">
        <w:rPr>
          <w:szCs w:val="24"/>
        </w:rPr>
        <w:t>) in similar representation.</w:t>
      </w:r>
    </w:p>
    <w:p w14:paraId="32FFC8BE" w14:textId="5381AB0E" w:rsidR="00DF18AA" w:rsidRDefault="00DF18AA">
      <w:pPr>
        <w:spacing w:after="160" w:line="259" w:lineRule="auto"/>
        <w:rPr>
          <w:sz w:val="24"/>
          <w:szCs w:val="24"/>
        </w:rPr>
      </w:pPr>
      <w:r w:rsidRPr="00DF18AA">
        <w:rPr>
          <w:sz w:val="24"/>
          <w:szCs w:val="24"/>
        </w:rPr>
        <w:br w:type="page"/>
      </w:r>
    </w:p>
    <w:p w14:paraId="56CDF00D" w14:textId="1B511BB1" w:rsidR="00903327" w:rsidRDefault="00A22F1A" w:rsidP="00903327">
      <w:pPr>
        <w:pStyle w:val="SMHeading"/>
        <w:spacing w:line="480" w:lineRule="auto"/>
        <w:rPr>
          <w:noProof/>
        </w:rPr>
      </w:pPr>
      <w:r>
        <w:rPr>
          <w:noProof/>
        </w:rPr>
        <w:lastRenderedPageBreak/>
        <w:drawing>
          <wp:inline distT="0" distB="0" distL="0" distR="0" wp14:anchorId="1D1CDB68" wp14:editId="34A439FB">
            <wp:extent cx="5994400" cy="4055745"/>
            <wp:effectExtent l="0" t="0" r="635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94400" cy="4055745"/>
                    </a:xfrm>
                    <a:prstGeom prst="rect">
                      <a:avLst/>
                    </a:prstGeom>
                    <a:noFill/>
                    <a:ln>
                      <a:noFill/>
                    </a:ln>
                  </pic:spPr>
                </pic:pic>
              </a:graphicData>
            </a:graphic>
          </wp:inline>
        </w:drawing>
      </w:r>
    </w:p>
    <w:p w14:paraId="308C1C91" w14:textId="088B4C60" w:rsidR="00903327" w:rsidRPr="00DE4197" w:rsidRDefault="00903327" w:rsidP="00DE4197">
      <w:pPr>
        <w:pStyle w:val="SMHeading"/>
        <w:spacing w:line="480" w:lineRule="auto"/>
        <w:rPr>
          <w:sz w:val="32"/>
          <w:szCs w:val="32"/>
        </w:rPr>
      </w:pPr>
      <w:r w:rsidRPr="00903327">
        <w:t xml:space="preserve"> </w:t>
      </w:r>
      <w:r w:rsidRPr="00DF18AA">
        <w:t>Fig. S</w:t>
      </w:r>
      <w:r>
        <w:t>3</w:t>
      </w:r>
      <w:r w:rsidRPr="00DF18AA">
        <w:t>.</w:t>
      </w:r>
      <w:r w:rsidR="00DE4197">
        <w:t xml:space="preserve"> </w:t>
      </w:r>
      <w:r w:rsidR="00A36B2B" w:rsidRPr="00DE4197">
        <w:rPr>
          <w:szCs w:val="32"/>
        </w:rPr>
        <w:t xml:space="preserve">Inhibition of human cathepsin and SARS-CoV-2 </w:t>
      </w:r>
      <w:proofErr w:type="spellStart"/>
      <w:r w:rsidR="00A36B2B" w:rsidRPr="00DE4197">
        <w:rPr>
          <w:szCs w:val="32"/>
        </w:rPr>
        <w:t>M</w:t>
      </w:r>
      <w:r w:rsidR="00A36B2B" w:rsidRPr="00DE4197">
        <w:rPr>
          <w:szCs w:val="32"/>
          <w:vertAlign w:val="superscript"/>
        </w:rPr>
        <w:t>pro</w:t>
      </w:r>
      <w:proofErr w:type="spellEnd"/>
      <w:r w:rsidR="00A36B2B" w:rsidRPr="00DE4197">
        <w:rPr>
          <w:szCs w:val="32"/>
          <w:vertAlign w:val="superscript"/>
        </w:rPr>
        <w:t xml:space="preserve"> </w:t>
      </w:r>
      <w:r w:rsidR="00A36B2B" w:rsidRPr="00DE4197">
        <w:rPr>
          <w:szCs w:val="32"/>
        </w:rPr>
        <w:t>by Calpeptin and Calpeptin-like compounds (</w:t>
      </w:r>
      <w:r w:rsidR="00A36B2B" w:rsidRPr="008E1380">
        <w:rPr>
          <w:i/>
          <w:iCs/>
          <w:szCs w:val="32"/>
        </w:rPr>
        <w:t>Ki</w:t>
      </w:r>
      <w:r w:rsidR="00A36B2B" w:rsidRPr="00DE4197">
        <w:rPr>
          <w:szCs w:val="32"/>
        </w:rPr>
        <w:t xml:space="preserve"> determination)</w:t>
      </w:r>
      <w:r w:rsidRPr="00DE4197">
        <w:rPr>
          <w:szCs w:val="32"/>
        </w:rPr>
        <w:t xml:space="preserve">. </w:t>
      </w:r>
      <w:r w:rsidR="00A36B2B" w:rsidRPr="00DE4197">
        <w:rPr>
          <w:b w:val="0"/>
          <w:bCs w:val="0"/>
          <w:szCs w:val="32"/>
        </w:rPr>
        <w:t xml:space="preserve">A-C) Morrison inhibition plots of residual cathepsin activity against different inhibitor concentrations (standard errors are shown dotted lines). D-H) Mixed-model inhibition plots of either cathepsin or </w:t>
      </w:r>
      <w:proofErr w:type="spellStart"/>
      <w:r w:rsidR="00A36B2B" w:rsidRPr="00DE4197">
        <w:rPr>
          <w:b w:val="0"/>
          <w:bCs w:val="0"/>
          <w:szCs w:val="32"/>
        </w:rPr>
        <w:t>M</w:t>
      </w:r>
      <w:r w:rsidR="00A36B2B" w:rsidRPr="00DE4197">
        <w:rPr>
          <w:b w:val="0"/>
          <w:bCs w:val="0"/>
          <w:szCs w:val="32"/>
          <w:vertAlign w:val="superscript"/>
        </w:rPr>
        <w:t>pro</w:t>
      </w:r>
      <w:proofErr w:type="spellEnd"/>
      <w:r w:rsidR="00A36B2B" w:rsidRPr="00DE4197">
        <w:rPr>
          <w:b w:val="0"/>
          <w:bCs w:val="0"/>
          <w:szCs w:val="32"/>
        </w:rPr>
        <w:t xml:space="preserve"> reaction velocities (RFU/seconds) measured at several substrate concentrations for different inhibitor concentrations (standard errors are shown as bars).</w:t>
      </w:r>
    </w:p>
    <w:p w14:paraId="5F052D1E" w14:textId="77777777" w:rsidR="004336C2" w:rsidRPr="00DE4197" w:rsidRDefault="004336C2" w:rsidP="00DE4197">
      <w:pPr>
        <w:pStyle w:val="SOMContent"/>
        <w:spacing w:before="0" w:line="360" w:lineRule="auto"/>
        <w:rPr>
          <w:sz w:val="32"/>
          <w:szCs w:val="32"/>
        </w:rPr>
      </w:pPr>
    </w:p>
    <w:p w14:paraId="3D5CBDFC" w14:textId="5274BA07" w:rsidR="005335F0" w:rsidRPr="00DF18AA" w:rsidRDefault="005335F0" w:rsidP="005335F0">
      <w:pPr>
        <w:pBdr>
          <w:top w:val="none" w:sz="4" w:space="0" w:color="000000"/>
          <w:left w:val="none" w:sz="4" w:space="0" w:color="000000"/>
          <w:bottom w:val="none" w:sz="4" w:space="0" w:color="000000"/>
          <w:right w:val="none" w:sz="4" w:space="0" w:color="000000"/>
        </w:pBdr>
        <w:spacing w:line="480" w:lineRule="auto"/>
        <w:jc w:val="both"/>
        <w:rPr>
          <w:sz w:val="24"/>
          <w:szCs w:val="24"/>
        </w:rPr>
      </w:pPr>
    </w:p>
    <w:p w14:paraId="63E7AC7D" w14:textId="77777777" w:rsidR="004336C2" w:rsidRDefault="004336C2" w:rsidP="004336C2">
      <w:pPr>
        <w:spacing w:line="480" w:lineRule="auto"/>
        <w:rPr>
          <w:noProof/>
        </w:rPr>
      </w:pPr>
      <w:r>
        <w:rPr>
          <w:noProof/>
        </w:rPr>
        <w:lastRenderedPageBreak/>
        <w:drawing>
          <wp:inline distT="0" distB="0" distL="0" distR="0" wp14:anchorId="77E26FA3" wp14:editId="44E1C7C3">
            <wp:extent cx="5984875" cy="6400800"/>
            <wp:effectExtent l="0" t="0" r="0" b="0"/>
            <wp:docPr id="25" name="Picture 2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Graphical user interfac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84875" cy="6400800"/>
                    </a:xfrm>
                    <a:prstGeom prst="rect">
                      <a:avLst/>
                    </a:prstGeom>
                    <a:noFill/>
                    <a:ln>
                      <a:noFill/>
                    </a:ln>
                  </pic:spPr>
                </pic:pic>
              </a:graphicData>
            </a:graphic>
          </wp:inline>
        </w:drawing>
      </w:r>
    </w:p>
    <w:p w14:paraId="5455D1C3" w14:textId="4E13993E" w:rsidR="004336C2" w:rsidRDefault="004336C2" w:rsidP="004336C2">
      <w:pPr>
        <w:pBdr>
          <w:top w:val="none" w:sz="4" w:space="0" w:color="000000"/>
          <w:left w:val="none" w:sz="4" w:space="0" w:color="000000"/>
          <w:bottom w:val="none" w:sz="4" w:space="0" w:color="000000"/>
          <w:right w:val="none" w:sz="4" w:space="0" w:color="000000"/>
        </w:pBdr>
        <w:spacing w:line="360" w:lineRule="auto"/>
        <w:jc w:val="both"/>
        <w:rPr>
          <w:rFonts w:eastAsia="Times New Roman"/>
          <w:color w:val="000000"/>
          <w:sz w:val="24"/>
        </w:rPr>
      </w:pPr>
      <w:r w:rsidRPr="00DE4197">
        <w:rPr>
          <w:rFonts w:eastAsia="Times New Roman"/>
          <w:b/>
          <w:bCs/>
          <w:color w:val="000000"/>
          <w:sz w:val="24"/>
          <w:szCs w:val="24"/>
        </w:rPr>
        <w:t>Fig S</w:t>
      </w:r>
      <w:r w:rsidR="00793416" w:rsidRPr="00DE4197">
        <w:rPr>
          <w:rFonts w:eastAsia="Times New Roman"/>
          <w:b/>
          <w:bCs/>
          <w:color w:val="000000"/>
          <w:sz w:val="24"/>
          <w:szCs w:val="24"/>
        </w:rPr>
        <w:t>4</w:t>
      </w:r>
      <w:r w:rsidRPr="00DE4197">
        <w:rPr>
          <w:rFonts w:eastAsia="Times New Roman"/>
          <w:b/>
          <w:bCs/>
          <w:color w:val="000000"/>
          <w:sz w:val="24"/>
          <w:szCs w:val="24"/>
        </w:rPr>
        <w:t>: Viral S-protein immunofluorescence microscopy</w:t>
      </w:r>
      <w:r w:rsidRPr="00DE4197">
        <w:rPr>
          <w:rFonts w:eastAsia="Times New Roman"/>
          <w:color w:val="000000"/>
          <w:sz w:val="24"/>
          <w:szCs w:val="24"/>
        </w:rPr>
        <w:t xml:space="preserve">. </w:t>
      </w:r>
      <w:r w:rsidR="00A655AA" w:rsidRPr="00DE4197">
        <w:rPr>
          <w:rFonts w:eastAsia="Times New Roman"/>
          <w:color w:val="000000"/>
          <w:sz w:val="24"/>
          <w:szCs w:val="24"/>
        </w:rPr>
        <w:t>Representative image from 3D fluorescence microscopy of LC-HK2 cells infected with SARS-CoV-2 at a multiplicity of infection (M.O.I) of 0.05 (</w:t>
      </w:r>
      <w:r w:rsidR="00A655AA" w:rsidRPr="00DE4197">
        <w:rPr>
          <w:rFonts w:eastAsia="Times New Roman"/>
          <w:b/>
          <w:color w:val="000000"/>
          <w:sz w:val="24"/>
          <w:szCs w:val="24"/>
        </w:rPr>
        <w:t>A</w:t>
      </w:r>
      <w:r w:rsidR="00A655AA" w:rsidRPr="00DE4197">
        <w:rPr>
          <w:rFonts w:eastAsia="Times New Roman"/>
          <w:color w:val="000000"/>
          <w:sz w:val="24"/>
          <w:szCs w:val="24"/>
        </w:rPr>
        <w:t>)</w:t>
      </w:r>
      <w:r w:rsidR="00A655AA">
        <w:rPr>
          <w:rFonts w:eastAsia="Times New Roman"/>
          <w:color w:val="000000"/>
          <w:sz w:val="24"/>
          <w:szCs w:val="24"/>
        </w:rPr>
        <w:t xml:space="preserve"> </w:t>
      </w:r>
      <w:r w:rsidR="00A655AA" w:rsidRPr="00DE4197">
        <w:rPr>
          <w:rFonts w:eastAsia="Times New Roman"/>
          <w:color w:val="000000"/>
          <w:sz w:val="24"/>
          <w:szCs w:val="24"/>
        </w:rPr>
        <w:t>or treated with S-Calpeptin (</w:t>
      </w:r>
      <w:r w:rsidR="00A655AA" w:rsidRPr="00DE4197">
        <w:rPr>
          <w:rFonts w:eastAsia="Times New Roman"/>
          <w:b/>
          <w:color w:val="000000"/>
          <w:sz w:val="24"/>
          <w:szCs w:val="24"/>
        </w:rPr>
        <w:t>B</w:t>
      </w:r>
      <w:r w:rsidR="00A655AA" w:rsidRPr="00DE4197">
        <w:rPr>
          <w:rFonts w:eastAsia="Times New Roman"/>
          <w:color w:val="000000"/>
          <w:sz w:val="24"/>
          <w:szCs w:val="24"/>
        </w:rPr>
        <w:t xml:space="preserve">). Co-staining of S-protein (green), </w:t>
      </w:r>
      <w:proofErr w:type="spellStart"/>
      <w:r w:rsidR="00A655AA" w:rsidRPr="00DE4197">
        <w:rPr>
          <w:rFonts w:eastAsia="Times New Roman"/>
          <w:color w:val="000000"/>
          <w:sz w:val="24"/>
          <w:szCs w:val="24"/>
        </w:rPr>
        <w:t>CatL</w:t>
      </w:r>
      <w:proofErr w:type="spellEnd"/>
      <w:r w:rsidR="00A655AA" w:rsidRPr="00DE4197">
        <w:rPr>
          <w:rFonts w:eastAsia="Times New Roman"/>
          <w:color w:val="000000"/>
          <w:sz w:val="24"/>
          <w:szCs w:val="24"/>
        </w:rPr>
        <w:t xml:space="preserve"> (red) and DNA by Hoechst (blue). (</w:t>
      </w:r>
      <w:r w:rsidR="00A655AA" w:rsidRPr="00DE4197">
        <w:rPr>
          <w:rFonts w:eastAsia="Times New Roman"/>
          <w:b/>
          <w:color w:val="000000"/>
          <w:sz w:val="24"/>
          <w:szCs w:val="24"/>
        </w:rPr>
        <w:t>C</w:t>
      </w:r>
      <w:r w:rsidR="00A655AA" w:rsidRPr="00DE4197">
        <w:rPr>
          <w:rFonts w:eastAsia="Times New Roman"/>
          <w:color w:val="000000"/>
          <w:sz w:val="24"/>
          <w:szCs w:val="24"/>
        </w:rPr>
        <w:t>) Vesicle size analysis of various incubation timepoints after SARS-CoV-2 infections in the absence (-) or presence (+) of S-Calpeptin. Images were processed using ZEN (Blue) 2.6 software (ZEISS). Data are shown in diamond box plots (quartiles around median as diamond box, outer quartiles as whiskers).</w:t>
      </w:r>
    </w:p>
    <w:p w14:paraId="09C0194C" w14:textId="2CA9D801" w:rsidR="004336C2" w:rsidRDefault="004336C2">
      <w:pPr>
        <w:spacing w:after="160" w:line="259" w:lineRule="auto"/>
        <w:rPr>
          <w:rFonts w:eastAsia="Times New Roman"/>
          <w:color w:val="000000"/>
          <w:sz w:val="24"/>
        </w:rPr>
      </w:pPr>
      <w:r>
        <w:rPr>
          <w:rFonts w:eastAsia="Times New Roman"/>
          <w:color w:val="000000"/>
          <w:sz w:val="24"/>
        </w:rPr>
        <w:br w:type="page"/>
      </w:r>
    </w:p>
    <w:p w14:paraId="4A354F36" w14:textId="77777777" w:rsidR="00753200" w:rsidRDefault="00753200" w:rsidP="00753200">
      <w:pPr>
        <w:pBdr>
          <w:top w:val="none" w:sz="4" w:space="0" w:color="000000"/>
          <w:left w:val="none" w:sz="4" w:space="0" w:color="000000"/>
          <w:bottom w:val="none" w:sz="4" w:space="0" w:color="000000"/>
          <w:right w:val="none" w:sz="4" w:space="0" w:color="000000"/>
        </w:pBdr>
        <w:spacing w:line="360" w:lineRule="auto"/>
        <w:jc w:val="both"/>
        <w:rPr>
          <w:rFonts w:eastAsia="Times New Roman"/>
          <w:color w:val="000000"/>
          <w:sz w:val="24"/>
        </w:rPr>
      </w:pPr>
    </w:p>
    <w:p w14:paraId="2E308464" w14:textId="77777777" w:rsidR="005335F0" w:rsidRPr="00DF18AA" w:rsidRDefault="005335F0" w:rsidP="005335F0">
      <w:pPr>
        <w:pStyle w:val="SMcaption"/>
        <w:spacing w:line="480" w:lineRule="auto"/>
      </w:pPr>
      <w:r w:rsidRPr="00DF18AA">
        <w:rPr>
          <w:noProof/>
        </w:rPr>
        <w:drawing>
          <wp:inline distT="0" distB="0" distL="0" distR="0" wp14:anchorId="767651B8" wp14:editId="3429F1F6">
            <wp:extent cx="5998845" cy="1147445"/>
            <wp:effectExtent l="0" t="0" r="1905" b="0"/>
            <wp:docPr id="16" name="Picture 16"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10;&#10;Description automatically generated with medium confidence"/>
                    <pic:cNvPicPr>
                      <a:picLocks noChangeAspect="1"/>
                    </pic:cNvPicPr>
                  </pic:nvPicPr>
                  <pic:blipFill>
                    <a:blip r:embed="rId12"/>
                    <a:stretch/>
                  </pic:blipFill>
                  <pic:spPr bwMode="auto">
                    <a:xfrm>
                      <a:off x="0" y="0"/>
                      <a:ext cx="5998845" cy="1147445"/>
                    </a:xfrm>
                    <a:prstGeom prst="rect">
                      <a:avLst/>
                    </a:prstGeom>
                  </pic:spPr>
                </pic:pic>
              </a:graphicData>
            </a:graphic>
          </wp:inline>
        </w:drawing>
      </w:r>
    </w:p>
    <w:p w14:paraId="1653A934" w14:textId="7FCBF87E" w:rsidR="005335F0" w:rsidRPr="00DF18AA" w:rsidRDefault="005335F0" w:rsidP="005335F0">
      <w:pPr>
        <w:pStyle w:val="SMHeading"/>
        <w:spacing w:line="480" w:lineRule="auto"/>
      </w:pPr>
      <w:r w:rsidRPr="00DF18AA">
        <w:t>Fig. S</w:t>
      </w:r>
      <w:r w:rsidR="00AF172D">
        <w:t>5</w:t>
      </w:r>
      <w:r w:rsidR="00793416">
        <w:t>.</w:t>
      </w:r>
    </w:p>
    <w:p w14:paraId="228EDE33" w14:textId="38E1C9DA" w:rsidR="005335F0" w:rsidRPr="00DF18AA" w:rsidRDefault="005335F0" w:rsidP="005335F0">
      <w:pPr>
        <w:pStyle w:val="SMcaption"/>
        <w:spacing w:line="480" w:lineRule="auto"/>
      </w:pPr>
      <w:r w:rsidRPr="00DF18AA">
        <w:rPr>
          <w:b/>
        </w:rPr>
        <w:t xml:space="preserve">Study design and weight of Golden Syrian hamsters infected with SARS-CoV-2 and treated with </w:t>
      </w:r>
      <w:r w:rsidR="00AA2DFE">
        <w:rPr>
          <w:b/>
        </w:rPr>
        <w:t>S-</w:t>
      </w:r>
      <w:r w:rsidRPr="00DF18AA">
        <w:rPr>
          <w:b/>
        </w:rPr>
        <w:t>Calpeptin.</w:t>
      </w:r>
      <w:r w:rsidRPr="00DF18AA">
        <w:t xml:space="preserve"> (</w:t>
      </w:r>
      <w:r w:rsidRPr="00DF18AA">
        <w:rPr>
          <w:b/>
        </w:rPr>
        <w:t>A</w:t>
      </w:r>
      <w:r w:rsidRPr="00DF18AA">
        <w:t>) Study design. The experiment lasted for seven days, animals were infected with SARS-CoV-2 or non-infected (Dulbecco’s Modified Eagle Medium with 2.5% fetal bovine serum) intranasally on day zero and treated daily for seven days with 1 mg/kg of S-Calpeptin or vehicle (DMSO) subcutaneously. Subgroups of SARS-CoV-2 infected animals (n=5, treated or not) were euthanized on days 3, 5 and 7 post-infection (</w:t>
      </w:r>
      <w:proofErr w:type="spellStart"/>
      <w:r w:rsidRPr="00DF18AA">
        <w:t>p.i.</w:t>
      </w:r>
      <w:proofErr w:type="spellEnd"/>
      <w:r w:rsidRPr="00DF18AA">
        <w:t xml:space="preserve">). Non-infected animals (treated or not) were euthanized on day 7 </w:t>
      </w:r>
      <w:proofErr w:type="spellStart"/>
      <w:r w:rsidRPr="00DF18AA">
        <w:t>p.i.</w:t>
      </w:r>
      <w:proofErr w:type="spellEnd"/>
      <w:r w:rsidRPr="00DF18AA">
        <w:t xml:space="preserve"> (</w:t>
      </w:r>
      <w:r w:rsidRPr="00DF18AA">
        <w:rPr>
          <w:b/>
        </w:rPr>
        <w:t>B</w:t>
      </w:r>
      <w:r w:rsidRPr="00DF18AA">
        <w:t>) Overview over subgroups of all animals. G1: SARS-CoV-2-infected, treated with S-Calpeptin; G2: SARS-CoV-2-infected, injected with DMSO; G3: Non-infected, treated with S-Calpeptin; G4: Non-infected, injected with DMSO. (</w:t>
      </w:r>
      <w:r w:rsidRPr="00DF18AA">
        <w:rPr>
          <w:b/>
        </w:rPr>
        <w:t>C</w:t>
      </w:r>
      <w:r w:rsidRPr="00DF18AA">
        <w:t>) Mean percentual weight change from day of infection of all four experimental groups. Error bars represent standard deviation. Weight loss was significantly different between G1/G2 and G3/G4 (p≤0.05).</w:t>
      </w:r>
    </w:p>
    <w:p w14:paraId="5DEF07BE" w14:textId="77777777" w:rsidR="005335F0" w:rsidRPr="00DF18AA" w:rsidRDefault="005335F0" w:rsidP="005335F0">
      <w:pPr>
        <w:pStyle w:val="SMcaption"/>
        <w:spacing w:line="480" w:lineRule="auto"/>
      </w:pPr>
    </w:p>
    <w:p w14:paraId="3608ED39" w14:textId="77777777" w:rsidR="005335F0" w:rsidRPr="00DF18AA" w:rsidRDefault="005335F0" w:rsidP="005335F0">
      <w:pPr>
        <w:spacing w:line="480" w:lineRule="auto"/>
        <w:rPr>
          <w:rFonts w:eastAsia="Times New Roman"/>
          <w:sz w:val="24"/>
        </w:rPr>
      </w:pPr>
      <w:r w:rsidRPr="00DF18AA">
        <w:br w:type="page" w:clear="all"/>
      </w:r>
    </w:p>
    <w:p w14:paraId="0F817E73" w14:textId="77777777" w:rsidR="005335F0" w:rsidRPr="00DF18AA" w:rsidRDefault="005335F0" w:rsidP="005335F0">
      <w:pPr>
        <w:pStyle w:val="SMcaption"/>
        <w:spacing w:line="480" w:lineRule="auto"/>
      </w:pPr>
      <w:r w:rsidRPr="00DF18AA">
        <w:rPr>
          <w:noProof/>
        </w:rPr>
        <w:lastRenderedPageBreak/>
        <w:drawing>
          <wp:inline distT="0" distB="0" distL="0" distR="0" wp14:anchorId="4834366B" wp14:editId="16188EB9">
            <wp:extent cx="5943600" cy="4518660"/>
            <wp:effectExtent l="0" t="0" r="0" b="0"/>
            <wp:docPr id="17" name="Picture 6"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Background pattern&#10;&#10;Description automatically generated"/>
                    <pic:cNvPicPr>
                      <a:picLocks noChangeAspect="1"/>
                    </pic:cNvPicPr>
                  </pic:nvPicPr>
                  <pic:blipFill>
                    <a:blip r:embed="rId13"/>
                    <a:stretch/>
                  </pic:blipFill>
                  <pic:spPr bwMode="auto">
                    <a:xfrm>
                      <a:off x="0" y="0"/>
                      <a:ext cx="5943600" cy="4518660"/>
                    </a:xfrm>
                    <a:prstGeom prst="rect">
                      <a:avLst/>
                    </a:prstGeom>
                  </pic:spPr>
                </pic:pic>
              </a:graphicData>
            </a:graphic>
          </wp:inline>
        </w:drawing>
      </w:r>
    </w:p>
    <w:p w14:paraId="75DCB3FA" w14:textId="544198A1" w:rsidR="005335F0" w:rsidRPr="00DF18AA" w:rsidRDefault="005335F0" w:rsidP="005335F0">
      <w:pPr>
        <w:pStyle w:val="SMHeading"/>
        <w:spacing w:line="480" w:lineRule="auto"/>
      </w:pPr>
      <w:r w:rsidRPr="00DF18AA">
        <w:t>Fig. S</w:t>
      </w:r>
      <w:r w:rsidR="00AF172D">
        <w:t>6</w:t>
      </w:r>
      <w:r w:rsidRPr="00DF18AA">
        <w:t>.</w:t>
      </w:r>
    </w:p>
    <w:p w14:paraId="2EF1727C" w14:textId="18A8217E" w:rsidR="005335F0" w:rsidRPr="00DF18AA" w:rsidRDefault="005335F0" w:rsidP="005335F0">
      <w:pPr>
        <w:pStyle w:val="SMcaption"/>
        <w:spacing w:line="480" w:lineRule="auto"/>
      </w:pPr>
      <w:r w:rsidRPr="00DF18AA">
        <w:rPr>
          <w:b/>
        </w:rPr>
        <w:t xml:space="preserve">Representative histopathology findings in the lungs of Golden Syrian hamsters, </w:t>
      </w:r>
      <w:proofErr w:type="gramStart"/>
      <w:r w:rsidRPr="00DF18AA">
        <w:rPr>
          <w:b/>
        </w:rPr>
        <w:t>hematoxylin</w:t>
      </w:r>
      <w:proofErr w:type="gramEnd"/>
      <w:r w:rsidRPr="00DF18AA">
        <w:rPr>
          <w:b/>
        </w:rPr>
        <w:t xml:space="preserve"> and eosin stain.</w:t>
      </w:r>
      <w:r w:rsidRPr="00DF18AA">
        <w:t xml:space="preserve"> (</w:t>
      </w:r>
      <w:r w:rsidRPr="00DF18AA">
        <w:rPr>
          <w:b/>
        </w:rPr>
        <w:t>A</w:t>
      </w:r>
      <w:r w:rsidRPr="00DF18AA">
        <w:t>) Uninfected control with normal alveolar septa. (</w:t>
      </w:r>
      <w:r w:rsidRPr="00DF18AA">
        <w:rPr>
          <w:b/>
        </w:rPr>
        <w:t>B</w:t>
      </w:r>
      <w:r w:rsidRPr="00DF18AA">
        <w:t>) Bronchus from an uninfected control. (</w:t>
      </w:r>
      <w:r w:rsidRPr="00DF18AA">
        <w:rPr>
          <w:b/>
        </w:rPr>
        <w:t>C</w:t>
      </w:r>
      <w:r w:rsidRPr="00DF18AA">
        <w:t>) Normal endothelial cells in an uninfected control. (</w:t>
      </w:r>
      <w:r w:rsidRPr="00DF18AA">
        <w:rPr>
          <w:b/>
        </w:rPr>
        <w:t>D</w:t>
      </w:r>
      <w:r w:rsidRPr="00DF18AA">
        <w:t>) Suppurative bronchitis in a SARS-CoV-2-infected hamster treated with 1:100 DMSO, day 3 post-infection (</w:t>
      </w:r>
      <w:proofErr w:type="spellStart"/>
      <w:r w:rsidRPr="00DF18AA">
        <w:t>p.i.</w:t>
      </w:r>
      <w:proofErr w:type="spellEnd"/>
      <w:r w:rsidRPr="00DF18AA">
        <w:t>). (</w:t>
      </w:r>
      <w:r w:rsidRPr="00DF18AA">
        <w:rPr>
          <w:b/>
        </w:rPr>
        <w:t>E</w:t>
      </w:r>
      <w:r w:rsidRPr="00DF18AA">
        <w:t xml:space="preserve">) Necrosis of the bronchial epithelium and suppurative inflammation in a SARS-CoV-2-infected hamster treated with 1:100 DMSO, day 3 </w:t>
      </w:r>
      <w:proofErr w:type="spellStart"/>
      <w:r w:rsidRPr="00DF18AA">
        <w:t>p.i.</w:t>
      </w:r>
      <w:proofErr w:type="spellEnd"/>
      <w:r w:rsidRPr="00DF18AA">
        <w:t xml:space="preserve"> (</w:t>
      </w:r>
      <w:r w:rsidRPr="00DF18AA">
        <w:rPr>
          <w:b/>
        </w:rPr>
        <w:t>F</w:t>
      </w:r>
      <w:r w:rsidRPr="00DF18AA">
        <w:t xml:space="preserve">) </w:t>
      </w:r>
      <w:proofErr w:type="spellStart"/>
      <w:r w:rsidRPr="00DF18AA">
        <w:t>Endothelialitis</w:t>
      </w:r>
      <w:proofErr w:type="spellEnd"/>
      <w:r w:rsidRPr="00DF18AA">
        <w:t xml:space="preserve"> with hypertrophied endothelial cells and subendothelial inflammatory infiltrate in a medium sized blood vessel of a SARS-CoV-2-infected hamster treated with 1</w:t>
      </w:r>
      <w:r w:rsidR="003752CA">
        <w:t xml:space="preserve"> </w:t>
      </w:r>
      <w:r w:rsidRPr="00DF18AA">
        <w:t xml:space="preserve">mg/kg of Calpeptin, day 5 </w:t>
      </w:r>
      <w:proofErr w:type="spellStart"/>
      <w:r w:rsidRPr="00DF18AA">
        <w:t>p.i.</w:t>
      </w:r>
      <w:proofErr w:type="spellEnd"/>
      <w:r w:rsidRPr="00DF18AA">
        <w:t xml:space="preserve"> (</w:t>
      </w:r>
      <w:r w:rsidRPr="00DF18AA">
        <w:rPr>
          <w:b/>
        </w:rPr>
        <w:t>G</w:t>
      </w:r>
      <w:r w:rsidRPr="00DF18AA">
        <w:t xml:space="preserve">) Severe and diffuse </w:t>
      </w:r>
      <w:proofErr w:type="spellStart"/>
      <w:r w:rsidRPr="00DF18AA">
        <w:t>bronchointerstitial</w:t>
      </w:r>
      <w:proofErr w:type="spellEnd"/>
      <w:r w:rsidRPr="00DF18AA">
        <w:t xml:space="preserve"> pneumonia effacing the pulmonary parenchyma of a SARS-CoV-2-infected hamster treated with 1</w:t>
      </w:r>
      <w:r w:rsidR="003752CA">
        <w:t xml:space="preserve"> </w:t>
      </w:r>
      <w:r w:rsidRPr="00DF18AA">
        <w:t xml:space="preserve">mg/kg of Calpeptin, day 5 </w:t>
      </w:r>
      <w:proofErr w:type="spellStart"/>
      <w:r w:rsidRPr="00DF18AA">
        <w:t>p.i.</w:t>
      </w:r>
      <w:proofErr w:type="spellEnd"/>
      <w:r w:rsidRPr="00DF18AA">
        <w:t xml:space="preserve"> (</w:t>
      </w:r>
      <w:r w:rsidRPr="00DF18AA">
        <w:rPr>
          <w:b/>
        </w:rPr>
        <w:t>H</w:t>
      </w:r>
      <w:r w:rsidRPr="00DF18AA">
        <w:t xml:space="preserve">) The bronchial epithelium is </w:t>
      </w:r>
      <w:r w:rsidRPr="00DF18AA">
        <w:lastRenderedPageBreak/>
        <w:t>hyperplastic (arrows). (</w:t>
      </w:r>
      <w:r w:rsidRPr="00DF18AA">
        <w:rPr>
          <w:b/>
        </w:rPr>
        <w:t>I</w:t>
      </w:r>
      <w:r w:rsidRPr="00DF18AA">
        <w:t>) Alveolar type II epithelial cells are hyperplastic and line the alveoli with occasional atypical syncytial cells (arrow).</w:t>
      </w:r>
    </w:p>
    <w:p w14:paraId="7FC1D1D7" w14:textId="77777777" w:rsidR="005335F0" w:rsidRPr="00DF18AA" w:rsidRDefault="005335F0" w:rsidP="005335F0">
      <w:pPr>
        <w:spacing w:line="480" w:lineRule="auto"/>
        <w:rPr>
          <w:rFonts w:eastAsia="Times New Roman"/>
          <w:sz w:val="24"/>
        </w:rPr>
      </w:pPr>
      <w:r w:rsidRPr="00DF18AA">
        <w:br w:type="page" w:clear="all"/>
      </w:r>
    </w:p>
    <w:p w14:paraId="499C1A4B" w14:textId="77777777" w:rsidR="005335F0" w:rsidRPr="00DF18AA" w:rsidRDefault="005335F0" w:rsidP="005335F0">
      <w:pPr>
        <w:pStyle w:val="SMcaption"/>
        <w:spacing w:line="480" w:lineRule="auto"/>
      </w:pPr>
    </w:p>
    <w:p w14:paraId="04A98C63" w14:textId="77777777" w:rsidR="005335F0" w:rsidRPr="00DF18AA" w:rsidRDefault="005335F0" w:rsidP="005335F0">
      <w:pPr>
        <w:pStyle w:val="SMcaption"/>
        <w:spacing w:line="480" w:lineRule="auto"/>
      </w:pPr>
      <w:r w:rsidRPr="00DF18AA">
        <w:rPr>
          <w:noProof/>
        </w:rPr>
        <w:drawing>
          <wp:inline distT="0" distB="0" distL="0" distR="0" wp14:anchorId="47281F9B" wp14:editId="69515353">
            <wp:extent cx="3898400" cy="3238507"/>
            <wp:effectExtent l="0" t="0" r="6985" b="0"/>
            <wp:docPr id="18" name="Picture 17" descr="A picture containing text,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text, light&#10;&#10;Description automatically generated"/>
                    <pic:cNvPicPr>
                      <a:picLocks noChangeAspect="1"/>
                    </pic:cNvPicPr>
                  </pic:nvPicPr>
                  <pic:blipFill>
                    <a:blip r:embed="rId14"/>
                    <a:stretch/>
                  </pic:blipFill>
                  <pic:spPr bwMode="auto">
                    <a:xfrm>
                      <a:off x="0" y="0"/>
                      <a:ext cx="3898400" cy="3238507"/>
                    </a:xfrm>
                    <a:prstGeom prst="rect">
                      <a:avLst/>
                    </a:prstGeom>
                  </pic:spPr>
                </pic:pic>
              </a:graphicData>
            </a:graphic>
          </wp:inline>
        </w:drawing>
      </w:r>
    </w:p>
    <w:p w14:paraId="777B5CF8" w14:textId="14809582" w:rsidR="005335F0" w:rsidRPr="00DF18AA" w:rsidRDefault="005335F0" w:rsidP="005335F0">
      <w:pPr>
        <w:pStyle w:val="SMHeading"/>
        <w:spacing w:line="480" w:lineRule="auto"/>
      </w:pPr>
      <w:r w:rsidRPr="00DF18AA">
        <w:t>Fig. S</w:t>
      </w:r>
      <w:r w:rsidR="00AF172D">
        <w:t>7</w:t>
      </w:r>
      <w:r w:rsidRPr="00DF18AA">
        <w:t>.</w:t>
      </w:r>
    </w:p>
    <w:p w14:paraId="52AAA056" w14:textId="77777777" w:rsidR="005335F0" w:rsidRPr="00DF18AA" w:rsidRDefault="005335F0" w:rsidP="005335F0">
      <w:pPr>
        <w:pStyle w:val="SMcaption"/>
        <w:spacing w:line="480" w:lineRule="auto"/>
      </w:pPr>
      <w:r w:rsidRPr="00DF18AA">
        <w:rPr>
          <w:b/>
        </w:rPr>
        <w:t>Histopathological analysis of tissue from SARS-CoV-2 infected and treated hamsters.</w:t>
      </w:r>
      <w:r w:rsidRPr="00DF18AA">
        <w:t xml:space="preserve"> Analysis for (</w:t>
      </w:r>
      <w:r w:rsidRPr="00DF18AA">
        <w:rPr>
          <w:b/>
        </w:rPr>
        <w:t>A</w:t>
      </w:r>
      <w:r w:rsidRPr="00DF18AA">
        <w:t>) trachea, (</w:t>
      </w:r>
      <w:r w:rsidRPr="00DF18AA">
        <w:rPr>
          <w:b/>
        </w:rPr>
        <w:t>B</w:t>
      </w:r>
      <w:r w:rsidRPr="00DF18AA">
        <w:t>) bronchi damage, (</w:t>
      </w:r>
      <w:r w:rsidRPr="00DF18AA">
        <w:rPr>
          <w:b/>
        </w:rPr>
        <w:t>C</w:t>
      </w:r>
      <w:r w:rsidRPr="00DF18AA">
        <w:t>) lung parenchyma damage, (</w:t>
      </w:r>
      <w:r w:rsidRPr="00DF18AA">
        <w:rPr>
          <w:b/>
        </w:rPr>
        <w:t>D</w:t>
      </w:r>
      <w:r w:rsidRPr="00DF18AA">
        <w:t>) submucosal damage, (</w:t>
      </w:r>
      <w:r w:rsidRPr="00DF18AA">
        <w:rPr>
          <w:b/>
        </w:rPr>
        <w:t>E</w:t>
      </w:r>
      <w:r w:rsidRPr="00DF18AA">
        <w:t>) vascular damage, and (</w:t>
      </w:r>
      <w:r w:rsidRPr="00DF18AA">
        <w:rPr>
          <w:b/>
        </w:rPr>
        <w:t>F</w:t>
      </w:r>
      <w:r w:rsidRPr="00DF18AA">
        <w:t>) tissue repair. For (B-F) score is sum of analysis of 5 lung lobes per animal.</w:t>
      </w:r>
      <w:r w:rsidRPr="00DF18AA">
        <w:rPr>
          <w:rFonts w:eastAsia="Liberation Sans"/>
          <w:color w:val="000000" w:themeColor="text1"/>
        </w:rPr>
        <w:t xml:space="preserve"> Values are expressed in median, </w:t>
      </w:r>
      <w:proofErr w:type="spellStart"/>
      <w:r w:rsidRPr="00DF18AA">
        <w:rPr>
          <w:rFonts w:eastAsia="Liberation Sans"/>
          <w:color w:val="000000" w:themeColor="text1"/>
        </w:rPr>
        <w:t>interquartiles</w:t>
      </w:r>
      <w:proofErr w:type="spellEnd"/>
      <w:r w:rsidRPr="00DF18AA">
        <w:rPr>
          <w:rFonts w:eastAsia="Liberation Sans"/>
          <w:color w:val="000000" w:themeColor="text1"/>
        </w:rPr>
        <w:t xml:space="preserve"> and range.</w:t>
      </w:r>
    </w:p>
    <w:p w14:paraId="76D5E206" w14:textId="77777777" w:rsidR="005335F0" w:rsidRPr="00DF18AA" w:rsidRDefault="005335F0" w:rsidP="005335F0">
      <w:pPr>
        <w:pStyle w:val="SMcaption"/>
        <w:spacing w:line="480" w:lineRule="auto"/>
      </w:pPr>
    </w:p>
    <w:p w14:paraId="064CF7C5" w14:textId="77777777" w:rsidR="005335F0" w:rsidRPr="00DF18AA" w:rsidRDefault="005335F0" w:rsidP="005335F0">
      <w:pPr>
        <w:spacing w:line="480" w:lineRule="auto"/>
        <w:rPr>
          <w:rFonts w:eastAsia="Times New Roman"/>
          <w:sz w:val="24"/>
        </w:rPr>
      </w:pPr>
      <w:r w:rsidRPr="00DF18AA">
        <w:br w:type="page" w:clear="all"/>
      </w:r>
    </w:p>
    <w:p w14:paraId="51C9F025" w14:textId="77777777" w:rsidR="005335F0" w:rsidRPr="00DF18AA" w:rsidRDefault="005335F0" w:rsidP="005335F0">
      <w:pPr>
        <w:pStyle w:val="SMcaption"/>
        <w:spacing w:line="480" w:lineRule="auto"/>
      </w:pPr>
      <w:r w:rsidRPr="00DF18AA">
        <w:rPr>
          <w:noProof/>
        </w:rPr>
        <w:lastRenderedPageBreak/>
        <w:drawing>
          <wp:inline distT="0" distB="0" distL="0" distR="0" wp14:anchorId="6FF68512" wp14:editId="5F5BEF49">
            <wp:extent cx="5399543" cy="3599695"/>
            <wp:effectExtent l="0" t="0" r="0" b="1270"/>
            <wp:docPr id="19" name="Picture 18"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chart&#10;&#10;Description automatically generated"/>
                    <pic:cNvPicPr>
                      <a:picLocks noChangeAspect="1"/>
                    </pic:cNvPicPr>
                  </pic:nvPicPr>
                  <pic:blipFill>
                    <a:blip r:embed="rId15"/>
                    <a:stretch/>
                  </pic:blipFill>
                  <pic:spPr bwMode="auto">
                    <a:xfrm>
                      <a:off x="0" y="0"/>
                      <a:ext cx="5399543" cy="3599695"/>
                    </a:xfrm>
                    <a:prstGeom prst="rect">
                      <a:avLst/>
                    </a:prstGeom>
                  </pic:spPr>
                </pic:pic>
              </a:graphicData>
            </a:graphic>
          </wp:inline>
        </w:drawing>
      </w:r>
    </w:p>
    <w:p w14:paraId="4B0EA264" w14:textId="2DD8D39B" w:rsidR="005335F0" w:rsidRPr="00DF18AA" w:rsidRDefault="005335F0" w:rsidP="005335F0">
      <w:pPr>
        <w:pStyle w:val="SMHeading"/>
        <w:spacing w:line="480" w:lineRule="auto"/>
      </w:pPr>
      <w:r w:rsidRPr="00DF18AA">
        <w:t>Fig. S</w:t>
      </w:r>
      <w:r w:rsidR="00AF172D">
        <w:t>8</w:t>
      </w:r>
      <w:r w:rsidRPr="00DF18AA">
        <w:t>.</w:t>
      </w:r>
    </w:p>
    <w:p w14:paraId="0B78C633" w14:textId="77777777" w:rsidR="005335F0" w:rsidRPr="00DF18AA" w:rsidRDefault="005335F0" w:rsidP="005335F0">
      <w:pPr>
        <w:pStyle w:val="SMcaption"/>
        <w:spacing w:line="480" w:lineRule="auto"/>
      </w:pPr>
      <w:r w:rsidRPr="00DF18AA">
        <w:rPr>
          <w:b/>
        </w:rPr>
        <w:t>Synthesis of S-Calpeptin from Calpeptin.</w:t>
      </w:r>
      <w:r w:rsidRPr="00DF18AA">
        <w:t xml:space="preserve"> (</w:t>
      </w:r>
      <w:r w:rsidRPr="00DF18AA">
        <w:rPr>
          <w:b/>
        </w:rPr>
        <w:t>A</w:t>
      </w:r>
      <w:r w:rsidRPr="00DF18AA">
        <w:t xml:space="preserve">) Reaction scheme to create S-Calpeptin, the bisulfite </w:t>
      </w:r>
      <w:proofErr w:type="gramStart"/>
      <w:r w:rsidRPr="00DF18AA">
        <w:t>adduct</w:t>
      </w:r>
      <w:proofErr w:type="gramEnd"/>
      <w:r w:rsidRPr="00DF18AA">
        <w:t xml:space="preserve"> of Calpeptin. (</w:t>
      </w:r>
      <w:r w:rsidRPr="00DF18AA">
        <w:rPr>
          <w:b/>
        </w:rPr>
        <w:t>B</w:t>
      </w:r>
      <w:r w:rsidRPr="00DF18AA">
        <w:t>) UV spectrum of product. (</w:t>
      </w:r>
      <w:r w:rsidRPr="00DF18AA">
        <w:rPr>
          <w:b/>
        </w:rPr>
        <w:t>C</w:t>
      </w:r>
      <w:r w:rsidRPr="00DF18AA">
        <w:t>) ES- and (</w:t>
      </w:r>
      <w:r w:rsidRPr="00DF18AA">
        <w:rPr>
          <w:b/>
        </w:rPr>
        <w:t>D</w:t>
      </w:r>
      <w:r w:rsidRPr="00DF18AA">
        <w:t>) ES+ spectrum of product. Calculated m/z for C</w:t>
      </w:r>
      <w:r w:rsidRPr="008E1380">
        <w:rPr>
          <w:vertAlign w:val="subscript"/>
        </w:rPr>
        <w:t>20</w:t>
      </w:r>
      <w:r w:rsidRPr="00DF18AA">
        <w:t>H</w:t>
      </w:r>
      <w:r w:rsidRPr="008E1380">
        <w:rPr>
          <w:vertAlign w:val="subscript"/>
        </w:rPr>
        <w:t>31</w:t>
      </w:r>
      <w:r w:rsidRPr="00DF18AA">
        <w:t>N</w:t>
      </w:r>
      <w:r w:rsidRPr="008E1380">
        <w:rPr>
          <w:vertAlign w:val="subscript"/>
        </w:rPr>
        <w:t>4</w:t>
      </w:r>
      <w:r w:rsidRPr="00DF18AA">
        <w:t>O</w:t>
      </w:r>
      <w:r w:rsidRPr="008E1380">
        <w:rPr>
          <w:vertAlign w:val="subscript"/>
        </w:rPr>
        <w:t>7</w:t>
      </w:r>
      <w:r w:rsidRPr="00DF18AA">
        <w:t>S [M-Na]</w:t>
      </w:r>
      <w:r w:rsidRPr="008E1380">
        <w:rPr>
          <w:vertAlign w:val="superscript"/>
        </w:rPr>
        <w:t>-</w:t>
      </w:r>
      <w:r w:rsidRPr="00DF18AA">
        <w:t xml:space="preserve"> is 443.1857 Da, found: 443.1887 Da.</w:t>
      </w:r>
    </w:p>
    <w:p w14:paraId="33584D46" w14:textId="77777777" w:rsidR="005335F0" w:rsidRPr="00DF18AA" w:rsidRDefault="005335F0" w:rsidP="005335F0">
      <w:pPr>
        <w:pStyle w:val="SMcaption"/>
        <w:spacing w:line="480" w:lineRule="auto"/>
      </w:pPr>
    </w:p>
    <w:p w14:paraId="5D99397D" w14:textId="77777777" w:rsidR="005335F0" w:rsidRPr="00DF18AA" w:rsidRDefault="005335F0" w:rsidP="005335F0">
      <w:pPr>
        <w:spacing w:line="480" w:lineRule="auto"/>
        <w:rPr>
          <w:rFonts w:eastAsia="Times New Roman"/>
          <w:sz w:val="24"/>
        </w:rPr>
      </w:pPr>
      <w:r w:rsidRPr="00DF18AA">
        <w:br w:type="page" w:clear="all"/>
      </w:r>
    </w:p>
    <w:p w14:paraId="5A3F600D" w14:textId="77777777" w:rsidR="005335F0" w:rsidRPr="00DF18AA" w:rsidRDefault="005335F0" w:rsidP="005335F0">
      <w:pPr>
        <w:pStyle w:val="SMcaption"/>
        <w:spacing w:line="480" w:lineRule="auto"/>
      </w:pPr>
      <w:r w:rsidRPr="00DF18AA">
        <w:rPr>
          <w:noProof/>
        </w:rPr>
        <w:lastRenderedPageBreak/>
        <w:drawing>
          <wp:inline distT="0" distB="0" distL="0" distR="0" wp14:anchorId="64F7A526" wp14:editId="0B8796A6">
            <wp:extent cx="5399543" cy="7455423"/>
            <wp:effectExtent l="0" t="0" r="0" b="0"/>
            <wp:docPr id="20" name="Picture 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10;&#10;Description automatically generated"/>
                    <pic:cNvPicPr>
                      <a:picLocks noChangeAspect="1"/>
                    </pic:cNvPicPr>
                  </pic:nvPicPr>
                  <pic:blipFill>
                    <a:blip r:embed="rId16"/>
                    <a:stretch/>
                  </pic:blipFill>
                  <pic:spPr bwMode="auto">
                    <a:xfrm>
                      <a:off x="0" y="0"/>
                      <a:ext cx="5399543" cy="7455423"/>
                    </a:xfrm>
                    <a:prstGeom prst="rect">
                      <a:avLst/>
                    </a:prstGeom>
                  </pic:spPr>
                </pic:pic>
              </a:graphicData>
            </a:graphic>
          </wp:inline>
        </w:drawing>
      </w:r>
    </w:p>
    <w:p w14:paraId="4C54C54A" w14:textId="4857E0BC" w:rsidR="005335F0" w:rsidRPr="00DF18AA" w:rsidRDefault="005335F0" w:rsidP="005335F0">
      <w:pPr>
        <w:pStyle w:val="SMHeading"/>
        <w:spacing w:line="480" w:lineRule="auto"/>
      </w:pPr>
      <w:r w:rsidRPr="00DF18AA">
        <w:lastRenderedPageBreak/>
        <w:t>Fig. S</w:t>
      </w:r>
      <w:r w:rsidR="00AF172D">
        <w:t>9</w:t>
      </w:r>
      <w:r w:rsidRPr="00DF18AA">
        <w:t>.</w:t>
      </w:r>
    </w:p>
    <w:p w14:paraId="6B21774E" w14:textId="77777777" w:rsidR="005335F0" w:rsidRPr="00DF18AA" w:rsidRDefault="005335F0" w:rsidP="005335F0">
      <w:pPr>
        <w:pStyle w:val="SMcaption"/>
        <w:spacing w:line="480" w:lineRule="auto"/>
      </w:pPr>
      <w:r w:rsidRPr="00DF18AA">
        <w:rPr>
          <w:b/>
        </w:rPr>
        <w:t>NMR analysis of S-Calpeptin.</w:t>
      </w:r>
      <w:r w:rsidRPr="00DF18AA">
        <w:t xml:space="preserve"> (</w:t>
      </w:r>
      <w:r w:rsidRPr="00DF18AA">
        <w:rPr>
          <w:b/>
        </w:rPr>
        <w:t>A</w:t>
      </w:r>
      <w:r w:rsidRPr="00DF18AA">
        <w:t xml:space="preserve">) </w:t>
      </w:r>
      <w:r w:rsidRPr="008E1380">
        <w:rPr>
          <w:vertAlign w:val="superscript"/>
        </w:rPr>
        <w:t>1</w:t>
      </w:r>
      <w:r w:rsidRPr="00DF18AA">
        <w:t>H NMR of bisulfite adduct S-Calpeptin recorded at 400 MHz in DMSO-d</w:t>
      </w:r>
      <w:r w:rsidRPr="008E1380">
        <w:rPr>
          <w:vertAlign w:val="subscript"/>
        </w:rPr>
        <w:t>6</w:t>
      </w:r>
      <w:r w:rsidRPr="00DF18AA">
        <w:t>. (</w:t>
      </w:r>
      <w:r w:rsidRPr="00DF18AA">
        <w:rPr>
          <w:b/>
        </w:rPr>
        <w:t>B</w:t>
      </w:r>
      <w:r w:rsidRPr="00DF18AA">
        <w:t xml:space="preserve">) </w:t>
      </w:r>
      <w:r w:rsidRPr="008E1380">
        <w:rPr>
          <w:vertAlign w:val="superscript"/>
        </w:rPr>
        <w:t>13</w:t>
      </w:r>
      <w:r w:rsidRPr="00DF18AA">
        <w:t>C NMR of bisulfite adduct S-Calpeptin recorded at 100 MHz in DMSO-d</w:t>
      </w:r>
      <w:r w:rsidRPr="008E1380">
        <w:rPr>
          <w:vertAlign w:val="subscript"/>
        </w:rPr>
        <w:t>6</w:t>
      </w:r>
      <w:r w:rsidRPr="00DF18AA">
        <w:t>.</w:t>
      </w:r>
    </w:p>
    <w:p w14:paraId="7DEAD9DA" w14:textId="77777777" w:rsidR="005335F0" w:rsidRPr="00DF18AA" w:rsidRDefault="005335F0" w:rsidP="005335F0">
      <w:pPr>
        <w:spacing w:line="480" w:lineRule="auto"/>
        <w:rPr>
          <w:rFonts w:eastAsia="Times New Roman"/>
          <w:sz w:val="24"/>
        </w:rPr>
      </w:pPr>
      <w:r w:rsidRPr="00DF18AA">
        <w:br w:type="page" w:clear="all"/>
      </w:r>
    </w:p>
    <w:p w14:paraId="35B47D67" w14:textId="77777777" w:rsidR="005335F0" w:rsidRPr="00DF18AA" w:rsidRDefault="005335F0" w:rsidP="005335F0">
      <w:pPr>
        <w:pStyle w:val="SMcaption"/>
        <w:spacing w:line="480" w:lineRule="auto"/>
      </w:pPr>
      <w:r w:rsidRPr="00DF18AA">
        <w:rPr>
          <w:noProof/>
        </w:rPr>
        <w:lastRenderedPageBreak/>
        <w:drawing>
          <wp:inline distT="0" distB="0" distL="0" distR="0" wp14:anchorId="6BAB0ABC" wp14:editId="1BC7C37D">
            <wp:extent cx="5998845" cy="3962400"/>
            <wp:effectExtent l="0" t="0" r="1905" b="0"/>
            <wp:docPr id="21" name="Picture 19"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screenshot of a computer&#10;&#10;Description automatically generated with low confidence"/>
                    <pic:cNvPicPr>
                      <a:picLocks noChangeAspect="1"/>
                    </pic:cNvPicPr>
                  </pic:nvPicPr>
                  <pic:blipFill>
                    <a:blip r:embed="rId17"/>
                    <a:stretch/>
                  </pic:blipFill>
                  <pic:spPr bwMode="auto">
                    <a:xfrm>
                      <a:off x="0" y="0"/>
                      <a:ext cx="5998845" cy="3962400"/>
                    </a:xfrm>
                    <a:prstGeom prst="rect">
                      <a:avLst/>
                    </a:prstGeom>
                  </pic:spPr>
                </pic:pic>
              </a:graphicData>
            </a:graphic>
          </wp:inline>
        </w:drawing>
      </w:r>
    </w:p>
    <w:p w14:paraId="683B9FF9" w14:textId="2D31667E" w:rsidR="005335F0" w:rsidRPr="00DF18AA" w:rsidRDefault="005335F0" w:rsidP="005335F0">
      <w:pPr>
        <w:pStyle w:val="SMHeading"/>
        <w:spacing w:line="480" w:lineRule="auto"/>
      </w:pPr>
      <w:r w:rsidRPr="00DF18AA">
        <w:t>Fig. S1</w:t>
      </w:r>
      <w:r w:rsidR="00AF172D">
        <w:t>0</w:t>
      </w:r>
      <w:r w:rsidRPr="00DF18AA">
        <w:t>.</w:t>
      </w:r>
    </w:p>
    <w:p w14:paraId="5274FF34" w14:textId="77777777" w:rsidR="005335F0" w:rsidRPr="00DF18AA" w:rsidRDefault="005335F0" w:rsidP="005335F0">
      <w:pPr>
        <w:pStyle w:val="SMcaption"/>
        <w:spacing w:line="480" w:lineRule="auto"/>
      </w:pPr>
      <w:r w:rsidRPr="00DF18AA">
        <w:rPr>
          <w:b/>
        </w:rPr>
        <w:t>S-Calpeptin toxicity experiment.</w:t>
      </w:r>
      <w:r w:rsidRPr="00DF18AA">
        <w:t xml:space="preserve"> (</w:t>
      </w:r>
      <w:r w:rsidRPr="00DF18AA">
        <w:rPr>
          <w:b/>
        </w:rPr>
        <w:t>A</w:t>
      </w:r>
      <w:r w:rsidRPr="00DF18AA">
        <w:t>) Study design for assessing toxicity of increasing S-Calpeptin doses. Each group included 3 Golden Syrian hamsters. Hamsters received a daily subcutaneous dose of S-Calpeptin (1 mg/kg, 2 mg/kg, or 3 mg/kg of body weight) suspended in 1:100 DMSO or a solution of 1:100 DMSO for seven consecutive days, starting at day zero. (</w:t>
      </w:r>
      <w:r w:rsidRPr="00DF18AA">
        <w:rPr>
          <w:b/>
        </w:rPr>
        <w:t>B</w:t>
      </w:r>
      <w:r w:rsidRPr="00DF18AA">
        <w:t>) Mean percentual weight change from day of infection of all four experimental groups. Blood was analyzed on last day of experiment for cell count of leukocytes (</w:t>
      </w:r>
      <w:r w:rsidRPr="00DF18AA">
        <w:rPr>
          <w:b/>
        </w:rPr>
        <w:t>C</w:t>
      </w:r>
      <w:r w:rsidRPr="00DF18AA">
        <w:t>), neutrophils (</w:t>
      </w:r>
      <w:r w:rsidRPr="00DF18AA">
        <w:rPr>
          <w:b/>
        </w:rPr>
        <w:t>D</w:t>
      </w:r>
      <w:r w:rsidRPr="00DF18AA">
        <w:t>), lymphocytes (</w:t>
      </w:r>
      <w:r w:rsidRPr="00DF18AA">
        <w:rPr>
          <w:b/>
        </w:rPr>
        <w:t>E</w:t>
      </w:r>
      <w:r w:rsidRPr="00DF18AA">
        <w:t>), and monocytes (</w:t>
      </w:r>
      <w:r w:rsidRPr="00DF18AA">
        <w:rPr>
          <w:b/>
        </w:rPr>
        <w:t>F</w:t>
      </w:r>
      <w:r w:rsidRPr="00DF18AA">
        <w:t>). Median and range for all four groups is indicated.</w:t>
      </w:r>
    </w:p>
    <w:p w14:paraId="6D6F4F5F" w14:textId="77777777" w:rsidR="005335F0" w:rsidRPr="00DF18AA" w:rsidRDefault="005335F0" w:rsidP="005335F0">
      <w:pPr>
        <w:pStyle w:val="SMcaption"/>
        <w:spacing w:line="480" w:lineRule="auto"/>
      </w:pPr>
    </w:p>
    <w:p w14:paraId="6244D56A" w14:textId="77777777" w:rsidR="005335F0" w:rsidRPr="00DF18AA" w:rsidRDefault="005335F0" w:rsidP="005335F0">
      <w:pPr>
        <w:spacing w:line="480" w:lineRule="auto"/>
        <w:rPr>
          <w:rFonts w:eastAsia="Times New Roman"/>
          <w:sz w:val="24"/>
        </w:rPr>
      </w:pPr>
      <w:r w:rsidRPr="00DF18AA">
        <w:br w:type="page" w:clear="all"/>
      </w:r>
    </w:p>
    <w:p w14:paraId="05BC1E8D" w14:textId="77777777" w:rsidR="005335F0" w:rsidRPr="00DF18AA" w:rsidRDefault="005335F0" w:rsidP="005335F0">
      <w:pPr>
        <w:pStyle w:val="SMHeading"/>
        <w:spacing w:line="480" w:lineRule="auto"/>
      </w:pPr>
      <w:r w:rsidRPr="00DF18AA">
        <w:lastRenderedPageBreak/>
        <w:t>Table S1.</w:t>
      </w:r>
    </w:p>
    <w:p w14:paraId="1CECAEF0" w14:textId="77777777" w:rsidR="005335F0" w:rsidRPr="00DF18AA" w:rsidRDefault="005335F0" w:rsidP="005335F0">
      <w:pPr>
        <w:pStyle w:val="SMcaption"/>
        <w:spacing w:line="480" w:lineRule="auto"/>
      </w:pPr>
      <w:r w:rsidRPr="00DF18AA">
        <w:rPr>
          <w:b/>
        </w:rPr>
        <w:t>Structure of enzyme/inhibitor-complexes.</w:t>
      </w:r>
      <w:r w:rsidRPr="00DF18AA">
        <w:t xml:space="preserve"> X-ray data collection and refinement statistics for enzyme/inhibitor-complexes.</w:t>
      </w:r>
    </w:p>
    <w:p w14:paraId="3EFFEB01" w14:textId="77777777" w:rsidR="005335F0" w:rsidRPr="00DF18AA" w:rsidRDefault="005335F0" w:rsidP="005335F0">
      <w:pPr>
        <w:pStyle w:val="SMcaption"/>
        <w:spacing w:line="480" w:lineRule="auto"/>
      </w:pPr>
    </w:p>
    <w:p w14:paraId="7AE75994" w14:textId="77777777" w:rsidR="005335F0" w:rsidRPr="00DF18AA" w:rsidRDefault="005335F0" w:rsidP="005335F0">
      <w:pPr>
        <w:pStyle w:val="SMcaption"/>
        <w:spacing w:line="480" w:lineRule="auto"/>
      </w:pPr>
      <w:r w:rsidRPr="00DF18AA">
        <w:t>Table provided as separate file.</w:t>
      </w:r>
    </w:p>
    <w:p w14:paraId="18648944" w14:textId="77777777" w:rsidR="005335F0" w:rsidRPr="00DF18AA" w:rsidRDefault="005335F0" w:rsidP="005335F0">
      <w:pPr>
        <w:pStyle w:val="SMcaption"/>
        <w:spacing w:line="480" w:lineRule="auto"/>
      </w:pPr>
    </w:p>
    <w:p w14:paraId="63F2AAFA" w14:textId="77777777" w:rsidR="005335F0" w:rsidRPr="00DF18AA" w:rsidRDefault="005335F0" w:rsidP="005335F0">
      <w:pPr>
        <w:spacing w:line="480" w:lineRule="auto"/>
        <w:rPr>
          <w:rFonts w:eastAsia="Times New Roman"/>
          <w:sz w:val="24"/>
        </w:rPr>
      </w:pPr>
      <w:r w:rsidRPr="00DF18AA">
        <w:br w:type="page" w:clear="all"/>
      </w:r>
    </w:p>
    <w:p w14:paraId="6F961847" w14:textId="77777777" w:rsidR="005335F0" w:rsidRPr="00DF18AA" w:rsidRDefault="005335F0" w:rsidP="005335F0">
      <w:pPr>
        <w:pStyle w:val="SMHeading"/>
        <w:spacing w:line="480" w:lineRule="auto"/>
      </w:pPr>
      <w:r w:rsidRPr="00DF18AA">
        <w:lastRenderedPageBreak/>
        <w:t>Table S2.</w:t>
      </w:r>
    </w:p>
    <w:p w14:paraId="6C2E455D" w14:textId="77777777" w:rsidR="005335F0" w:rsidRPr="00DF18AA" w:rsidRDefault="005335F0" w:rsidP="005335F0">
      <w:pPr>
        <w:pStyle w:val="SMcaption"/>
        <w:spacing w:line="480" w:lineRule="auto"/>
      </w:pPr>
      <w:r w:rsidRPr="00DF18AA">
        <w:rPr>
          <w:b/>
        </w:rPr>
        <w:t>Structure cards.</w:t>
      </w:r>
      <w:r w:rsidRPr="00DF18AA">
        <w:t xml:space="preserve"> Detailed information about inhibitors derived from X-ray structures. </w:t>
      </w:r>
    </w:p>
    <w:p w14:paraId="4627FE71" w14:textId="77777777" w:rsidR="005335F0" w:rsidRPr="00DF18AA" w:rsidRDefault="005335F0" w:rsidP="005335F0">
      <w:pPr>
        <w:pStyle w:val="SMcaption"/>
        <w:spacing w:line="480" w:lineRule="auto"/>
      </w:pPr>
    </w:p>
    <w:p w14:paraId="0759000F" w14:textId="77777777" w:rsidR="005335F0" w:rsidRPr="00DF18AA" w:rsidRDefault="005335F0" w:rsidP="005335F0">
      <w:pPr>
        <w:pStyle w:val="SMcaption"/>
        <w:spacing w:line="480" w:lineRule="auto"/>
      </w:pPr>
      <w:r w:rsidRPr="00DF18AA">
        <w:t>Table provided as separate file.</w:t>
      </w:r>
    </w:p>
    <w:p w14:paraId="7C63EC1A" w14:textId="77777777" w:rsidR="005335F0" w:rsidRPr="00DF18AA" w:rsidRDefault="005335F0" w:rsidP="005335F0">
      <w:pPr>
        <w:pStyle w:val="SMcaption"/>
        <w:spacing w:line="480" w:lineRule="auto"/>
      </w:pPr>
    </w:p>
    <w:p w14:paraId="2065AB8A" w14:textId="77777777" w:rsidR="005335F0" w:rsidRPr="00DF18AA" w:rsidRDefault="005335F0" w:rsidP="005335F0">
      <w:pPr>
        <w:spacing w:line="480" w:lineRule="auto"/>
        <w:rPr>
          <w:rFonts w:eastAsia="Times New Roman"/>
          <w:sz w:val="24"/>
        </w:rPr>
      </w:pPr>
      <w:r w:rsidRPr="00DF18AA">
        <w:br w:type="page" w:clear="all"/>
      </w:r>
    </w:p>
    <w:p w14:paraId="77729DFA" w14:textId="77777777" w:rsidR="005335F0" w:rsidRPr="00DF18AA" w:rsidRDefault="005335F0" w:rsidP="005335F0">
      <w:pPr>
        <w:pStyle w:val="SMHeading"/>
        <w:spacing w:line="480" w:lineRule="auto"/>
      </w:pPr>
      <w:r w:rsidRPr="00DF18AA">
        <w:lastRenderedPageBreak/>
        <w:t>Table S3.</w:t>
      </w:r>
    </w:p>
    <w:p w14:paraId="03237FA7" w14:textId="77777777" w:rsidR="005335F0" w:rsidRPr="00DF18AA" w:rsidRDefault="005335F0" w:rsidP="005335F0">
      <w:pPr>
        <w:pStyle w:val="SMcaption"/>
        <w:spacing w:line="480" w:lineRule="auto"/>
      </w:pPr>
      <w:r w:rsidRPr="00DF18AA">
        <w:rPr>
          <w:b/>
        </w:rPr>
        <w:t>Score system for histopathological analysis.</w:t>
      </w:r>
      <w:r w:rsidRPr="00DF18AA">
        <w:t xml:space="preserve"> Parameters and scores for semiquantitative histopathological evaluation of lungs from hamsters experimentally infected with SARS-CoV-2. </w:t>
      </w:r>
    </w:p>
    <w:p w14:paraId="03E4D8A7" w14:textId="77777777" w:rsidR="005335F0" w:rsidRPr="00DF18AA" w:rsidRDefault="005335F0" w:rsidP="005335F0">
      <w:pPr>
        <w:pStyle w:val="SMcaption"/>
        <w:spacing w:line="480" w:lineRule="auto"/>
      </w:pPr>
    </w:p>
    <w:tbl>
      <w:tblPr>
        <w:tblW w:w="0" w:type="auto"/>
        <w:tblLook w:val="04A0" w:firstRow="1" w:lastRow="0" w:firstColumn="1" w:lastColumn="0" w:noHBand="0" w:noVBand="1"/>
      </w:tblPr>
      <w:tblGrid>
        <w:gridCol w:w="1819"/>
        <w:gridCol w:w="3576"/>
        <w:gridCol w:w="3955"/>
      </w:tblGrid>
      <w:tr w:rsidR="005335F0" w:rsidRPr="00DF18AA" w14:paraId="7578C597" w14:textId="77777777" w:rsidTr="00966032">
        <w:tc>
          <w:tcPr>
            <w:tcW w:w="1819" w:type="dxa"/>
            <w:tcBorders>
              <w:top w:val="single" w:sz="4" w:space="0" w:color="000000"/>
              <w:left w:val="none" w:sz="4" w:space="0" w:color="000000"/>
              <w:bottom w:val="single" w:sz="4" w:space="0" w:color="000000"/>
              <w:right w:val="none" w:sz="4" w:space="0" w:color="000000"/>
            </w:tcBorders>
          </w:tcPr>
          <w:p w14:paraId="7D582DDF" w14:textId="77777777" w:rsidR="005335F0" w:rsidRPr="00DF18AA" w:rsidRDefault="005335F0" w:rsidP="005335F0">
            <w:pPr>
              <w:pStyle w:val="SX-Tablehead"/>
              <w:spacing w:line="480" w:lineRule="auto"/>
              <w:rPr>
                <w:b/>
              </w:rPr>
            </w:pPr>
            <w:r w:rsidRPr="00DF18AA">
              <w:rPr>
                <w:b/>
              </w:rPr>
              <w:t>Parameter</w:t>
            </w:r>
          </w:p>
        </w:tc>
        <w:tc>
          <w:tcPr>
            <w:tcW w:w="7531" w:type="dxa"/>
            <w:gridSpan w:val="2"/>
            <w:tcBorders>
              <w:top w:val="single" w:sz="4" w:space="0" w:color="000000"/>
              <w:left w:val="none" w:sz="4" w:space="0" w:color="000000"/>
              <w:bottom w:val="none" w:sz="4" w:space="0" w:color="000000"/>
              <w:right w:val="none" w:sz="4" w:space="0" w:color="000000"/>
            </w:tcBorders>
          </w:tcPr>
          <w:p w14:paraId="3AE4C57B" w14:textId="77777777" w:rsidR="005335F0" w:rsidRPr="00DF18AA" w:rsidRDefault="005335F0" w:rsidP="005335F0">
            <w:pPr>
              <w:pStyle w:val="SX-Tablehead"/>
              <w:spacing w:line="480" w:lineRule="auto"/>
              <w:jc w:val="center"/>
              <w:rPr>
                <w:b/>
              </w:rPr>
            </w:pPr>
            <w:r w:rsidRPr="00DF18AA">
              <w:rPr>
                <w:b/>
              </w:rPr>
              <w:t>Scores</w:t>
            </w:r>
          </w:p>
        </w:tc>
      </w:tr>
      <w:tr w:rsidR="005335F0" w:rsidRPr="00DF18AA" w14:paraId="482306F1" w14:textId="77777777" w:rsidTr="00966032">
        <w:tc>
          <w:tcPr>
            <w:tcW w:w="1819" w:type="dxa"/>
            <w:tcBorders>
              <w:top w:val="single" w:sz="4" w:space="0" w:color="000000"/>
              <w:left w:val="none" w:sz="4" w:space="0" w:color="000000"/>
              <w:bottom w:val="single" w:sz="4" w:space="0" w:color="000000"/>
              <w:right w:val="none" w:sz="4" w:space="0" w:color="000000"/>
            </w:tcBorders>
          </w:tcPr>
          <w:p w14:paraId="35411DC1" w14:textId="77777777" w:rsidR="005335F0" w:rsidRPr="00DF18AA" w:rsidRDefault="005335F0" w:rsidP="005335F0">
            <w:pPr>
              <w:pStyle w:val="SX-Tablehead"/>
              <w:spacing w:line="480" w:lineRule="auto"/>
              <w:rPr>
                <w:b/>
              </w:rPr>
            </w:pPr>
          </w:p>
        </w:tc>
        <w:tc>
          <w:tcPr>
            <w:tcW w:w="3576" w:type="dxa"/>
            <w:tcBorders>
              <w:top w:val="single" w:sz="4" w:space="0" w:color="000000"/>
              <w:left w:val="none" w:sz="4" w:space="0" w:color="000000"/>
              <w:bottom w:val="single" w:sz="4" w:space="0" w:color="000000"/>
              <w:right w:val="none" w:sz="4" w:space="0" w:color="000000"/>
            </w:tcBorders>
          </w:tcPr>
          <w:p w14:paraId="1E1F3E2C" w14:textId="77777777" w:rsidR="005335F0" w:rsidRPr="00DF18AA" w:rsidRDefault="005335F0" w:rsidP="005335F0">
            <w:pPr>
              <w:pStyle w:val="SX-Tablehead"/>
              <w:spacing w:line="480" w:lineRule="auto"/>
              <w:rPr>
                <w:b/>
                <w:i/>
                <w:iCs/>
              </w:rPr>
            </w:pPr>
            <w:r w:rsidRPr="00DF18AA">
              <w:rPr>
                <w:b/>
                <w:i/>
                <w:iCs/>
              </w:rPr>
              <w:t>Bronchi</w:t>
            </w:r>
          </w:p>
        </w:tc>
        <w:tc>
          <w:tcPr>
            <w:tcW w:w="3955" w:type="dxa"/>
            <w:tcBorders>
              <w:top w:val="single" w:sz="4" w:space="0" w:color="000000"/>
              <w:left w:val="none" w:sz="4" w:space="0" w:color="000000"/>
              <w:bottom w:val="single" w:sz="4" w:space="0" w:color="000000"/>
              <w:right w:val="none" w:sz="4" w:space="0" w:color="000000"/>
            </w:tcBorders>
          </w:tcPr>
          <w:p w14:paraId="2FA0D548" w14:textId="77777777" w:rsidR="005335F0" w:rsidRPr="00DF18AA" w:rsidRDefault="005335F0" w:rsidP="005335F0">
            <w:pPr>
              <w:pStyle w:val="SX-Tablehead"/>
              <w:spacing w:line="480" w:lineRule="auto"/>
              <w:rPr>
                <w:b/>
                <w:i/>
                <w:iCs/>
              </w:rPr>
            </w:pPr>
            <w:r w:rsidRPr="00DF18AA">
              <w:rPr>
                <w:b/>
                <w:i/>
                <w:iCs/>
              </w:rPr>
              <w:t>Pulmonary parenchyma</w:t>
            </w:r>
          </w:p>
        </w:tc>
      </w:tr>
      <w:tr w:rsidR="005335F0" w:rsidRPr="00DF18AA" w14:paraId="79222FC9" w14:textId="77777777" w:rsidTr="00966032">
        <w:tc>
          <w:tcPr>
            <w:tcW w:w="1819" w:type="dxa"/>
            <w:tcBorders>
              <w:top w:val="single" w:sz="4" w:space="0" w:color="000000"/>
              <w:left w:val="none" w:sz="4" w:space="0" w:color="000000"/>
              <w:bottom w:val="none" w:sz="4" w:space="0" w:color="000000"/>
              <w:right w:val="none" w:sz="4" w:space="0" w:color="000000"/>
            </w:tcBorders>
          </w:tcPr>
          <w:p w14:paraId="02CE38F3" w14:textId="77777777" w:rsidR="005335F0" w:rsidRPr="00DF18AA" w:rsidRDefault="005335F0" w:rsidP="005335F0">
            <w:pPr>
              <w:pStyle w:val="SX-Tablehead"/>
              <w:spacing w:line="480" w:lineRule="auto"/>
              <w:rPr>
                <w:b/>
              </w:rPr>
            </w:pPr>
            <w:r w:rsidRPr="00DF18AA">
              <w:rPr>
                <w:b/>
              </w:rPr>
              <w:t xml:space="preserve">Epithelial damage </w:t>
            </w:r>
          </w:p>
        </w:tc>
        <w:tc>
          <w:tcPr>
            <w:tcW w:w="3576" w:type="dxa"/>
            <w:tcBorders>
              <w:top w:val="single" w:sz="4" w:space="0" w:color="000000"/>
              <w:left w:val="none" w:sz="4" w:space="0" w:color="000000"/>
              <w:bottom w:val="none" w:sz="4" w:space="0" w:color="000000"/>
              <w:right w:val="none" w:sz="4" w:space="0" w:color="000000"/>
            </w:tcBorders>
          </w:tcPr>
          <w:p w14:paraId="3C6B7D3F" w14:textId="77777777" w:rsidR="005335F0" w:rsidRPr="00DF18AA" w:rsidRDefault="005335F0" w:rsidP="005335F0">
            <w:pPr>
              <w:pStyle w:val="SX-Tablehead"/>
              <w:spacing w:line="480" w:lineRule="auto"/>
            </w:pPr>
            <w:r w:rsidRPr="00DF18AA">
              <w:t>0 - normal</w:t>
            </w:r>
          </w:p>
          <w:p w14:paraId="02B0B1DC" w14:textId="77777777" w:rsidR="005335F0" w:rsidRPr="00DF18AA" w:rsidRDefault="005335F0" w:rsidP="005335F0">
            <w:pPr>
              <w:pStyle w:val="SX-Tablehead"/>
              <w:spacing w:line="480" w:lineRule="auto"/>
            </w:pPr>
            <w:r w:rsidRPr="00DF18AA">
              <w:t>1 - degeneration (cuboidal cells)</w:t>
            </w:r>
          </w:p>
          <w:p w14:paraId="4FA3F27A" w14:textId="77777777" w:rsidR="005335F0" w:rsidRPr="00DF18AA" w:rsidRDefault="005335F0" w:rsidP="005335F0">
            <w:pPr>
              <w:pStyle w:val="SX-Tablehead"/>
              <w:spacing w:line="480" w:lineRule="auto"/>
            </w:pPr>
            <w:r w:rsidRPr="00DF18AA">
              <w:t>2 - epithelial detachment</w:t>
            </w:r>
          </w:p>
          <w:p w14:paraId="5F9A1CF2" w14:textId="77777777" w:rsidR="005335F0" w:rsidRPr="00DF18AA" w:rsidRDefault="005335F0" w:rsidP="005335F0">
            <w:pPr>
              <w:pStyle w:val="SX-Tablehead"/>
              <w:spacing w:line="480" w:lineRule="auto"/>
            </w:pPr>
            <w:r w:rsidRPr="00DF18AA">
              <w:t>3 - necrosis and sloughing</w:t>
            </w:r>
          </w:p>
        </w:tc>
        <w:tc>
          <w:tcPr>
            <w:tcW w:w="3955" w:type="dxa"/>
            <w:tcBorders>
              <w:top w:val="single" w:sz="4" w:space="0" w:color="000000"/>
              <w:left w:val="none" w:sz="4" w:space="0" w:color="000000"/>
              <w:bottom w:val="none" w:sz="4" w:space="0" w:color="000000"/>
              <w:right w:val="none" w:sz="4" w:space="0" w:color="000000"/>
            </w:tcBorders>
          </w:tcPr>
          <w:p w14:paraId="36554C9A" w14:textId="77777777" w:rsidR="005335F0" w:rsidRPr="00DF18AA" w:rsidRDefault="005335F0" w:rsidP="005335F0">
            <w:pPr>
              <w:pStyle w:val="SX-Tablehead"/>
              <w:spacing w:line="480" w:lineRule="auto"/>
            </w:pPr>
            <w:r w:rsidRPr="00DF18AA">
              <w:t>0 - normal</w:t>
            </w:r>
          </w:p>
          <w:p w14:paraId="01687DE0" w14:textId="77777777" w:rsidR="005335F0" w:rsidRPr="00DF18AA" w:rsidRDefault="005335F0" w:rsidP="005335F0">
            <w:pPr>
              <w:pStyle w:val="SX-Tablehead"/>
              <w:spacing w:line="480" w:lineRule="auto"/>
              <w:ind w:left="315" w:hanging="315"/>
            </w:pPr>
            <w:r w:rsidRPr="00DF18AA">
              <w:t xml:space="preserve">1 - degeneration (cuboidal cells) and/or peribronchiolar inflammatory infiltrate </w:t>
            </w:r>
          </w:p>
          <w:p w14:paraId="20B1AA42" w14:textId="77777777" w:rsidR="005335F0" w:rsidRPr="00DF18AA" w:rsidRDefault="005335F0" w:rsidP="005335F0">
            <w:pPr>
              <w:pStyle w:val="SX-Tablehead"/>
              <w:spacing w:line="480" w:lineRule="auto"/>
            </w:pPr>
            <w:r w:rsidRPr="00DF18AA">
              <w:t>2 - epithelial detachment</w:t>
            </w:r>
          </w:p>
          <w:p w14:paraId="5ADD5C13" w14:textId="77777777" w:rsidR="005335F0" w:rsidRPr="00DF18AA" w:rsidRDefault="005335F0" w:rsidP="005335F0">
            <w:pPr>
              <w:pStyle w:val="SX-Tablehead"/>
              <w:spacing w:line="480" w:lineRule="auto"/>
              <w:ind w:left="315" w:hanging="315"/>
            </w:pPr>
            <w:r w:rsidRPr="00DF18AA">
              <w:t>3 - necrosis and sloughing and/or bronchiolar inflammatory infiltrate</w:t>
            </w:r>
          </w:p>
        </w:tc>
      </w:tr>
      <w:tr w:rsidR="005335F0" w:rsidRPr="00DF18AA" w14:paraId="3E7B2AD6" w14:textId="77777777" w:rsidTr="00966032">
        <w:tc>
          <w:tcPr>
            <w:tcW w:w="1819" w:type="dxa"/>
            <w:shd w:val="clear" w:color="auto" w:fill="F2F2F2"/>
          </w:tcPr>
          <w:p w14:paraId="2F902350" w14:textId="77777777" w:rsidR="005335F0" w:rsidRPr="00DF18AA" w:rsidRDefault="005335F0" w:rsidP="005335F0">
            <w:pPr>
              <w:pStyle w:val="SX-Tablehead"/>
              <w:spacing w:line="480" w:lineRule="auto"/>
              <w:rPr>
                <w:b/>
              </w:rPr>
            </w:pPr>
            <w:r w:rsidRPr="00DF18AA">
              <w:rPr>
                <w:b/>
              </w:rPr>
              <w:t>Submucosal damage</w:t>
            </w:r>
          </w:p>
        </w:tc>
        <w:tc>
          <w:tcPr>
            <w:tcW w:w="7531" w:type="dxa"/>
            <w:gridSpan w:val="2"/>
            <w:shd w:val="clear" w:color="auto" w:fill="F2F2F2"/>
          </w:tcPr>
          <w:p w14:paraId="47A7801D" w14:textId="77777777" w:rsidR="005335F0" w:rsidRPr="00DF18AA" w:rsidRDefault="005335F0" w:rsidP="005335F0">
            <w:pPr>
              <w:pStyle w:val="SX-Tablehead"/>
              <w:spacing w:line="480" w:lineRule="auto"/>
            </w:pPr>
            <w:r w:rsidRPr="00DF18AA">
              <w:t>0 - normal</w:t>
            </w:r>
          </w:p>
          <w:p w14:paraId="7FEAC062" w14:textId="77777777" w:rsidR="005335F0" w:rsidRPr="00DF18AA" w:rsidRDefault="005335F0" w:rsidP="005335F0">
            <w:pPr>
              <w:pStyle w:val="SX-Tablehead"/>
              <w:spacing w:line="480" w:lineRule="auto"/>
              <w:ind w:left="339" w:hanging="339"/>
            </w:pPr>
            <w:r w:rsidRPr="00DF18AA">
              <w:t>1 - edema, vascular ectasia, or mild inflammatory infiltrate affecting 10-33% of the examined area</w:t>
            </w:r>
          </w:p>
          <w:p w14:paraId="6BE3665C" w14:textId="77777777" w:rsidR="005335F0" w:rsidRPr="00DF18AA" w:rsidRDefault="005335F0" w:rsidP="005335F0">
            <w:pPr>
              <w:pStyle w:val="SX-Tablehead"/>
              <w:spacing w:line="480" w:lineRule="auto"/>
            </w:pPr>
            <w:r w:rsidRPr="00DF18AA">
              <w:t>2 - moderate inflammatory infiltrate affecting 34-66% of the examined area</w:t>
            </w:r>
          </w:p>
          <w:p w14:paraId="0DDAD3E2" w14:textId="77777777" w:rsidR="005335F0" w:rsidRPr="00DF18AA" w:rsidRDefault="005335F0" w:rsidP="005335F0">
            <w:pPr>
              <w:pStyle w:val="SX-Tablehead"/>
              <w:spacing w:line="480" w:lineRule="auto"/>
            </w:pPr>
            <w:r w:rsidRPr="00DF18AA">
              <w:t>3 - marked inflammatory infiltrate affecting &gt;67% of the examined area</w:t>
            </w:r>
          </w:p>
          <w:p w14:paraId="1EFF2D57" w14:textId="77777777" w:rsidR="005335F0" w:rsidRPr="00DF18AA" w:rsidRDefault="005335F0" w:rsidP="005335F0">
            <w:pPr>
              <w:pStyle w:val="SX-Tablehead"/>
              <w:spacing w:line="480" w:lineRule="auto"/>
            </w:pPr>
            <w:r w:rsidRPr="00DF18AA">
              <w:t xml:space="preserve"> </w:t>
            </w:r>
          </w:p>
        </w:tc>
      </w:tr>
      <w:tr w:rsidR="005335F0" w:rsidRPr="00DF18AA" w14:paraId="06E24DED" w14:textId="77777777" w:rsidTr="00966032">
        <w:tc>
          <w:tcPr>
            <w:tcW w:w="1819" w:type="dxa"/>
          </w:tcPr>
          <w:p w14:paraId="1627317B" w14:textId="77777777" w:rsidR="005335F0" w:rsidRPr="00DF18AA" w:rsidRDefault="005335F0" w:rsidP="005335F0">
            <w:pPr>
              <w:pStyle w:val="SX-Tablehead"/>
              <w:spacing w:line="480" w:lineRule="auto"/>
              <w:rPr>
                <w:b/>
              </w:rPr>
            </w:pPr>
            <w:r w:rsidRPr="00DF18AA">
              <w:rPr>
                <w:b/>
              </w:rPr>
              <w:t>Vascular damage</w:t>
            </w:r>
          </w:p>
        </w:tc>
        <w:tc>
          <w:tcPr>
            <w:tcW w:w="7531" w:type="dxa"/>
            <w:gridSpan w:val="2"/>
          </w:tcPr>
          <w:p w14:paraId="78A1F813" w14:textId="77777777" w:rsidR="005335F0" w:rsidRPr="00DF18AA" w:rsidRDefault="005335F0" w:rsidP="005335F0">
            <w:pPr>
              <w:pStyle w:val="SX-Tablehead"/>
              <w:spacing w:line="480" w:lineRule="auto"/>
            </w:pPr>
            <w:r w:rsidRPr="00DF18AA">
              <w:t>0 - normal</w:t>
            </w:r>
          </w:p>
          <w:p w14:paraId="78B6DA2C" w14:textId="77777777" w:rsidR="005335F0" w:rsidRPr="00DF18AA" w:rsidRDefault="005335F0" w:rsidP="005335F0">
            <w:pPr>
              <w:pStyle w:val="SX-Tablehead"/>
              <w:spacing w:line="480" w:lineRule="auto"/>
            </w:pPr>
            <w:r w:rsidRPr="00DF18AA">
              <w:t>1 - perivascular edema and/or endothelial hypertrophy</w:t>
            </w:r>
          </w:p>
          <w:p w14:paraId="19DCD222" w14:textId="77777777" w:rsidR="005335F0" w:rsidRPr="00DF18AA" w:rsidRDefault="005335F0" w:rsidP="005335F0">
            <w:pPr>
              <w:pStyle w:val="SX-Tablehead"/>
              <w:spacing w:line="480" w:lineRule="auto"/>
            </w:pPr>
            <w:r w:rsidRPr="00DF18AA">
              <w:t xml:space="preserve">2 - mild perivascular inflammatory infiltrate and/or </w:t>
            </w:r>
            <w:proofErr w:type="spellStart"/>
            <w:r w:rsidRPr="00DF18AA">
              <w:t>endothelialitis</w:t>
            </w:r>
            <w:proofErr w:type="spellEnd"/>
          </w:p>
          <w:p w14:paraId="4776177A" w14:textId="77777777" w:rsidR="005335F0" w:rsidRPr="00DF18AA" w:rsidRDefault="005335F0" w:rsidP="005335F0">
            <w:pPr>
              <w:pStyle w:val="SX-Tablehead"/>
              <w:spacing w:line="480" w:lineRule="auto"/>
            </w:pPr>
            <w:r w:rsidRPr="00DF18AA">
              <w:t>3 - inflammatory infiltrate in the vascular wall and/or below the endothelium (vasculitis)</w:t>
            </w:r>
          </w:p>
          <w:p w14:paraId="186F74D8" w14:textId="77777777" w:rsidR="005335F0" w:rsidRPr="00DF18AA" w:rsidRDefault="005335F0" w:rsidP="005335F0">
            <w:pPr>
              <w:pStyle w:val="SX-Tablehead"/>
              <w:spacing w:line="480" w:lineRule="auto"/>
            </w:pPr>
          </w:p>
        </w:tc>
      </w:tr>
      <w:tr w:rsidR="005335F0" w:rsidRPr="00DF18AA" w14:paraId="47C22F77" w14:textId="77777777" w:rsidTr="00966032">
        <w:tc>
          <w:tcPr>
            <w:tcW w:w="1819" w:type="dxa"/>
            <w:tcBorders>
              <w:top w:val="none" w:sz="4" w:space="0" w:color="000000"/>
              <w:left w:val="none" w:sz="4" w:space="0" w:color="000000"/>
              <w:bottom w:val="single" w:sz="4" w:space="0" w:color="000000"/>
              <w:right w:val="none" w:sz="4" w:space="0" w:color="000000"/>
            </w:tcBorders>
            <w:shd w:val="clear" w:color="auto" w:fill="F2F2F2"/>
          </w:tcPr>
          <w:p w14:paraId="32D42D34" w14:textId="77777777" w:rsidR="005335F0" w:rsidRPr="00DF18AA" w:rsidRDefault="005335F0" w:rsidP="005335F0">
            <w:pPr>
              <w:pStyle w:val="SX-Tablehead"/>
              <w:spacing w:line="480" w:lineRule="auto"/>
              <w:rPr>
                <w:b/>
              </w:rPr>
            </w:pPr>
            <w:r w:rsidRPr="00DF18AA">
              <w:rPr>
                <w:b/>
              </w:rPr>
              <w:t>Tissue repair</w:t>
            </w:r>
          </w:p>
        </w:tc>
        <w:tc>
          <w:tcPr>
            <w:tcW w:w="7531" w:type="dxa"/>
            <w:gridSpan w:val="2"/>
            <w:tcBorders>
              <w:top w:val="none" w:sz="4" w:space="0" w:color="000000"/>
              <w:left w:val="none" w:sz="4" w:space="0" w:color="000000"/>
              <w:bottom w:val="single" w:sz="4" w:space="0" w:color="000000"/>
              <w:right w:val="none" w:sz="4" w:space="0" w:color="000000"/>
            </w:tcBorders>
            <w:shd w:val="clear" w:color="auto" w:fill="F2F2F2"/>
          </w:tcPr>
          <w:p w14:paraId="10D6EEE6" w14:textId="77777777" w:rsidR="005335F0" w:rsidRPr="00DF18AA" w:rsidRDefault="005335F0" w:rsidP="005335F0">
            <w:pPr>
              <w:pStyle w:val="SX-Tablehead"/>
              <w:spacing w:line="480" w:lineRule="auto"/>
            </w:pPr>
            <w:r w:rsidRPr="00DF18AA">
              <w:t>0 - normal</w:t>
            </w:r>
          </w:p>
          <w:p w14:paraId="20979A37" w14:textId="77777777" w:rsidR="005335F0" w:rsidRPr="00DF18AA" w:rsidRDefault="005335F0" w:rsidP="005335F0">
            <w:pPr>
              <w:pStyle w:val="SX-Tablehead"/>
              <w:spacing w:line="480" w:lineRule="auto"/>
            </w:pPr>
            <w:r w:rsidRPr="00DF18AA">
              <w:t>1 - repair with pre-ciliated cells and/or hyperplasia of non-ciliated epithelium</w:t>
            </w:r>
          </w:p>
          <w:p w14:paraId="7303ED58" w14:textId="77777777" w:rsidR="005335F0" w:rsidRPr="00DF18AA" w:rsidRDefault="005335F0" w:rsidP="005335F0">
            <w:pPr>
              <w:pStyle w:val="SX-Tablehead"/>
              <w:spacing w:line="480" w:lineRule="auto"/>
            </w:pPr>
            <w:r w:rsidRPr="00DF18AA">
              <w:t>2 - hyperplasia of alveolar type II epithelial cells with or without atypia</w:t>
            </w:r>
          </w:p>
          <w:p w14:paraId="78B5401A" w14:textId="77777777" w:rsidR="005335F0" w:rsidRPr="00DF18AA" w:rsidRDefault="005335F0" w:rsidP="005335F0">
            <w:pPr>
              <w:pStyle w:val="SX-Tablehead"/>
              <w:spacing w:line="480" w:lineRule="auto"/>
            </w:pPr>
            <w:r w:rsidRPr="00DF18AA">
              <w:t>3 – hyperplasia of goblet cells, and/or presence of granulation tissue and/or fibrosis</w:t>
            </w:r>
          </w:p>
          <w:p w14:paraId="5C691E74" w14:textId="77777777" w:rsidR="005335F0" w:rsidRPr="00DF18AA" w:rsidRDefault="005335F0" w:rsidP="005335F0">
            <w:pPr>
              <w:pStyle w:val="SX-Tablehead"/>
              <w:spacing w:line="480" w:lineRule="auto"/>
            </w:pPr>
          </w:p>
        </w:tc>
      </w:tr>
    </w:tbl>
    <w:p w14:paraId="7FA3D493" w14:textId="77777777" w:rsidR="005335F0" w:rsidRPr="00DF18AA" w:rsidRDefault="005335F0" w:rsidP="005335F0">
      <w:pPr>
        <w:pStyle w:val="SOMContent"/>
        <w:spacing w:before="0" w:line="480" w:lineRule="auto"/>
      </w:pPr>
    </w:p>
    <w:sectPr w:rsidR="005335F0" w:rsidRPr="00DF18AA">
      <w:footerReference w:type="default" r:id="rId18"/>
      <w:headerReference w:type="first" r:id="rId19"/>
      <w:footerReference w:type="first" r:id="rId20"/>
      <w:pgSz w:w="12240" w:h="15840"/>
      <w:pgMar w:top="994" w:right="1987" w:bottom="806" w:left="806" w:header="432" w:footer="259"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A1766" w14:textId="77777777" w:rsidR="000B5231" w:rsidRDefault="000B5231" w:rsidP="005335F0">
      <w:r>
        <w:separator/>
      </w:r>
    </w:p>
  </w:endnote>
  <w:endnote w:type="continuationSeparator" w:id="0">
    <w:p w14:paraId="003D50C8" w14:textId="77777777" w:rsidR="000B5231" w:rsidRDefault="000B5231" w:rsidP="00533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Times">
    <w:altName w:val="Times"/>
    <w:panose1 w:val="02020603050405020304"/>
    <w:charset w:val="00"/>
    <w:family w:val="auto"/>
    <w:pitch w:val="variable"/>
    <w:sig w:usb0="E00002FF" w:usb1="5000205A" w:usb2="00000000" w:usb3="00000000" w:csb0="0000019F" w:csb1="00000000"/>
  </w:font>
  <w:font w:name="ZEISS Frutiger Next W1G Lt">
    <w:altName w:val="Calibri"/>
    <w:panose1 w:val="00000000000000000000"/>
    <w:charset w:val="00"/>
    <w:family w:val="swiss"/>
    <w:notTrueType/>
    <w:pitch w:val="default"/>
    <w:sig w:usb0="00000003" w:usb1="00000000" w:usb2="00000000" w:usb3="00000000" w:csb0="00000001" w:csb1="00000000"/>
  </w:font>
  <w:font w:name="Liberation Sans">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4275813"/>
      <w:docPartObj>
        <w:docPartGallery w:val="Page Numbers (Bottom of Page)"/>
        <w:docPartUnique/>
      </w:docPartObj>
    </w:sdtPr>
    <w:sdtEndPr>
      <w:rPr>
        <w:noProof/>
      </w:rPr>
    </w:sdtEndPr>
    <w:sdtContent>
      <w:p w14:paraId="06E622F6" w14:textId="60715DCA" w:rsidR="00966032" w:rsidRDefault="00966032">
        <w:pPr>
          <w:pStyle w:val="Footer"/>
          <w:jc w:val="right"/>
        </w:pPr>
        <w:r>
          <w:t xml:space="preserve">Page </w:t>
        </w:r>
        <w:r>
          <w:fldChar w:fldCharType="begin"/>
        </w:r>
        <w:r>
          <w:instrText xml:space="preserve"> PAGE   \* MERGEFORMAT </w:instrText>
        </w:r>
        <w:r>
          <w:fldChar w:fldCharType="separate"/>
        </w:r>
        <w:r>
          <w:rPr>
            <w:noProof/>
          </w:rPr>
          <w:t>2</w:t>
        </w:r>
        <w:r>
          <w:rPr>
            <w:noProof/>
          </w:rPr>
          <w:fldChar w:fldCharType="end"/>
        </w:r>
      </w:p>
    </w:sdtContent>
  </w:sdt>
  <w:p w14:paraId="683B6172" w14:textId="77777777" w:rsidR="00966032" w:rsidRDefault="00966032" w:rsidP="005335F0">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96702" w14:textId="5BCB36E3" w:rsidR="00966032" w:rsidRDefault="00966032" w:rsidP="005335F0">
    <w:pPr>
      <w:pStyle w:val="Footer"/>
      <w:pBdr>
        <w:top w:val="single" w:sz="4" w:space="1" w:color="auto"/>
      </w:pBdr>
      <w:jc w:val="right"/>
      <w:rPr>
        <w:sz w:val="18"/>
        <w:szCs w:val="18"/>
      </w:rPr>
    </w:pPr>
    <w:r>
      <w:rPr>
        <w:sz w:val="18"/>
        <w:szCs w:val="18"/>
      </w:rPr>
      <w:t xml:space="preserve">Page </w:t>
    </w:r>
    <w:r>
      <w:rPr>
        <w:b/>
        <w:bCs/>
        <w:sz w:val="18"/>
        <w:szCs w:val="18"/>
      </w:rPr>
      <w:fldChar w:fldCharType="begin"/>
    </w:r>
    <w:r>
      <w:rPr>
        <w:b/>
        <w:bCs/>
        <w:sz w:val="18"/>
        <w:szCs w:val="18"/>
      </w:rPr>
      <w:instrText xml:space="preserve"> PAGE </w:instrText>
    </w:r>
    <w:r>
      <w:rPr>
        <w:b/>
        <w:bCs/>
        <w:sz w:val="18"/>
        <w:szCs w:val="18"/>
      </w:rPr>
      <w:fldChar w:fldCharType="separate"/>
    </w:r>
    <w:r>
      <w:rPr>
        <w:b/>
        <w:bCs/>
        <w:sz w:val="18"/>
        <w:szCs w:val="18"/>
      </w:rPr>
      <w:t>1</w:t>
    </w:r>
    <w:r>
      <w:rPr>
        <w:b/>
        <w:bCs/>
        <w:sz w:val="18"/>
        <w:szCs w:val="18"/>
      </w:rPr>
      <w:fldChar w:fldCharType="end"/>
    </w:r>
    <w:r>
      <w:rPr>
        <w:sz w:val="18"/>
        <w:szCs w:val="18"/>
      </w:rPr>
      <w:t xml:space="preserve"> of </w:t>
    </w:r>
    <w:r>
      <w:rPr>
        <w:b/>
        <w:bCs/>
        <w:sz w:val="18"/>
        <w:szCs w:val="18"/>
      </w:rPr>
      <w:fldChar w:fldCharType="begin"/>
    </w:r>
    <w:r>
      <w:rPr>
        <w:b/>
        <w:bCs/>
        <w:sz w:val="18"/>
        <w:szCs w:val="18"/>
      </w:rPr>
      <w:instrText xml:space="preserve"> NUMPAGES  </w:instrText>
    </w:r>
    <w:r>
      <w:rPr>
        <w:b/>
        <w:bCs/>
        <w:sz w:val="18"/>
        <w:szCs w:val="18"/>
      </w:rPr>
      <w:fldChar w:fldCharType="separate"/>
    </w:r>
    <w:r>
      <w:rPr>
        <w:b/>
        <w:bCs/>
        <w:sz w:val="18"/>
        <w:szCs w:val="18"/>
      </w:rPr>
      <w:t>6</w:t>
    </w:r>
    <w:r>
      <w:rPr>
        <w:b/>
        <w:bCs/>
        <w:sz w:val="18"/>
        <w:szCs w:val="18"/>
      </w:rPr>
      <w:fldChar w:fldCharType="end"/>
    </w:r>
  </w:p>
  <w:p w14:paraId="5C31A07A" w14:textId="77777777" w:rsidR="00966032" w:rsidRDefault="009660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9BF39C" w14:textId="77777777" w:rsidR="000B5231" w:rsidRDefault="000B5231" w:rsidP="005335F0">
      <w:r>
        <w:separator/>
      </w:r>
    </w:p>
  </w:footnote>
  <w:footnote w:type="continuationSeparator" w:id="0">
    <w:p w14:paraId="5A6DA85F" w14:textId="77777777" w:rsidR="000B5231" w:rsidRDefault="000B5231" w:rsidP="005335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DB9F4" w14:textId="77777777" w:rsidR="00966032" w:rsidRDefault="00966032">
    <w:pPr>
      <w:pStyle w:val="Header"/>
    </w:pPr>
    <w:r>
      <w:tab/>
    </w:r>
  </w:p>
  <w:p w14:paraId="0CE00F92" w14:textId="1D6CBF74" w:rsidR="00966032" w:rsidRDefault="009660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45AFE"/>
    <w:multiLevelType w:val="hybridMultilevel"/>
    <w:tmpl w:val="09101E1A"/>
    <w:lvl w:ilvl="0" w:tplc="483A6796">
      <w:start w:val="1"/>
      <w:numFmt w:val="decimal"/>
      <w:lvlText w:val="%1."/>
      <w:lvlJc w:val="left"/>
      <w:pPr>
        <w:tabs>
          <w:tab w:val="num" w:pos="1440"/>
        </w:tabs>
        <w:ind w:left="1440" w:hanging="360"/>
      </w:pPr>
    </w:lvl>
    <w:lvl w:ilvl="1" w:tplc="588691A8">
      <w:start w:val="1"/>
      <w:numFmt w:val="bullet"/>
      <w:lvlText w:val="o"/>
      <w:lvlJc w:val="left"/>
      <w:pPr>
        <w:ind w:left="1440" w:hanging="360"/>
      </w:pPr>
      <w:rPr>
        <w:rFonts w:ascii="Courier New" w:eastAsia="Courier New" w:hAnsi="Courier New" w:cs="Courier New" w:hint="default"/>
      </w:rPr>
    </w:lvl>
    <w:lvl w:ilvl="2" w:tplc="4D94B972">
      <w:start w:val="1"/>
      <w:numFmt w:val="bullet"/>
      <w:lvlText w:val="§"/>
      <w:lvlJc w:val="left"/>
      <w:pPr>
        <w:ind w:left="2160" w:hanging="360"/>
      </w:pPr>
      <w:rPr>
        <w:rFonts w:ascii="Wingdings" w:eastAsia="Wingdings" w:hAnsi="Wingdings" w:cs="Wingdings" w:hint="default"/>
      </w:rPr>
    </w:lvl>
    <w:lvl w:ilvl="3" w:tplc="E6504000">
      <w:start w:val="1"/>
      <w:numFmt w:val="bullet"/>
      <w:lvlText w:val="·"/>
      <w:lvlJc w:val="left"/>
      <w:pPr>
        <w:ind w:left="2880" w:hanging="360"/>
      </w:pPr>
      <w:rPr>
        <w:rFonts w:ascii="Symbol" w:eastAsia="Symbol" w:hAnsi="Symbol" w:cs="Symbol" w:hint="default"/>
      </w:rPr>
    </w:lvl>
    <w:lvl w:ilvl="4" w:tplc="9F923BB0">
      <w:start w:val="1"/>
      <w:numFmt w:val="bullet"/>
      <w:lvlText w:val="o"/>
      <w:lvlJc w:val="left"/>
      <w:pPr>
        <w:ind w:left="3600" w:hanging="360"/>
      </w:pPr>
      <w:rPr>
        <w:rFonts w:ascii="Courier New" w:eastAsia="Courier New" w:hAnsi="Courier New" w:cs="Courier New" w:hint="default"/>
      </w:rPr>
    </w:lvl>
    <w:lvl w:ilvl="5" w:tplc="451E1428">
      <w:start w:val="1"/>
      <w:numFmt w:val="bullet"/>
      <w:lvlText w:val="§"/>
      <w:lvlJc w:val="left"/>
      <w:pPr>
        <w:ind w:left="4320" w:hanging="360"/>
      </w:pPr>
      <w:rPr>
        <w:rFonts w:ascii="Wingdings" w:eastAsia="Wingdings" w:hAnsi="Wingdings" w:cs="Wingdings" w:hint="default"/>
      </w:rPr>
    </w:lvl>
    <w:lvl w:ilvl="6" w:tplc="C4A8041A">
      <w:start w:val="1"/>
      <w:numFmt w:val="bullet"/>
      <w:lvlText w:val="·"/>
      <w:lvlJc w:val="left"/>
      <w:pPr>
        <w:ind w:left="5040" w:hanging="360"/>
      </w:pPr>
      <w:rPr>
        <w:rFonts w:ascii="Symbol" w:eastAsia="Symbol" w:hAnsi="Symbol" w:cs="Symbol" w:hint="default"/>
      </w:rPr>
    </w:lvl>
    <w:lvl w:ilvl="7" w:tplc="DC56918E">
      <w:start w:val="1"/>
      <w:numFmt w:val="bullet"/>
      <w:lvlText w:val="o"/>
      <w:lvlJc w:val="left"/>
      <w:pPr>
        <w:ind w:left="5760" w:hanging="360"/>
      </w:pPr>
      <w:rPr>
        <w:rFonts w:ascii="Courier New" w:eastAsia="Courier New" w:hAnsi="Courier New" w:cs="Courier New" w:hint="default"/>
      </w:rPr>
    </w:lvl>
    <w:lvl w:ilvl="8" w:tplc="6FCAFB66">
      <w:start w:val="1"/>
      <w:numFmt w:val="bullet"/>
      <w:lvlText w:val="§"/>
      <w:lvlJc w:val="left"/>
      <w:pPr>
        <w:ind w:left="6480" w:hanging="360"/>
      </w:pPr>
      <w:rPr>
        <w:rFonts w:ascii="Wingdings" w:eastAsia="Wingdings" w:hAnsi="Wingdings" w:cs="Wingdings" w:hint="default"/>
      </w:rPr>
    </w:lvl>
  </w:abstractNum>
  <w:abstractNum w:abstractNumId="1" w15:restartNumberingAfterBreak="0">
    <w:nsid w:val="193C4313"/>
    <w:multiLevelType w:val="hybridMultilevel"/>
    <w:tmpl w:val="DAAA68B0"/>
    <w:lvl w:ilvl="0" w:tplc="82185B46">
      <w:start w:val="1"/>
      <w:numFmt w:val="decimal"/>
      <w:lvlText w:val="%1."/>
      <w:lvlJc w:val="left"/>
      <w:pPr>
        <w:ind w:left="720" w:hanging="360"/>
      </w:pPr>
      <w:rPr>
        <w:rFonts w:hint="default"/>
      </w:rPr>
    </w:lvl>
    <w:lvl w:ilvl="1" w:tplc="257697C6">
      <w:start w:val="1"/>
      <w:numFmt w:val="lowerLetter"/>
      <w:lvlText w:val="%2."/>
      <w:lvlJc w:val="left"/>
      <w:pPr>
        <w:ind w:left="1440" w:hanging="360"/>
      </w:pPr>
    </w:lvl>
    <w:lvl w:ilvl="2" w:tplc="EB5855DC">
      <w:start w:val="1"/>
      <w:numFmt w:val="lowerRoman"/>
      <w:lvlText w:val="%3."/>
      <w:lvlJc w:val="right"/>
      <w:pPr>
        <w:ind w:left="2160" w:hanging="180"/>
      </w:pPr>
    </w:lvl>
    <w:lvl w:ilvl="3" w:tplc="67AA5DD8">
      <w:start w:val="1"/>
      <w:numFmt w:val="decimal"/>
      <w:lvlText w:val="%4."/>
      <w:lvlJc w:val="left"/>
      <w:pPr>
        <w:ind w:left="2880" w:hanging="360"/>
      </w:pPr>
    </w:lvl>
    <w:lvl w:ilvl="4" w:tplc="A77487AA">
      <w:start w:val="1"/>
      <w:numFmt w:val="lowerLetter"/>
      <w:lvlText w:val="%5."/>
      <w:lvlJc w:val="left"/>
      <w:pPr>
        <w:ind w:left="3600" w:hanging="360"/>
      </w:pPr>
    </w:lvl>
    <w:lvl w:ilvl="5" w:tplc="0E2AD852">
      <w:start w:val="1"/>
      <w:numFmt w:val="lowerRoman"/>
      <w:lvlText w:val="%6."/>
      <w:lvlJc w:val="right"/>
      <w:pPr>
        <w:ind w:left="4320" w:hanging="180"/>
      </w:pPr>
    </w:lvl>
    <w:lvl w:ilvl="6" w:tplc="607CE372">
      <w:start w:val="1"/>
      <w:numFmt w:val="decimal"/>
      <w:lvlText w:val="%7."/>
      <w:lvlJc w:val="left"/>
      <w:pPr>
        <w:ind w:left="5040" w:hanging="360"/>
      </w:pPr>
    </w:lvl>
    <w:lvl w:ilvl="7" w:tplc="0D0A7B52">
      <w:start w:val="1"/>
      <w:numFmt w:val="lowerLetter"/>
      <w:lvlText w:val="%8."/>
      <w:lvlJc w:val="left"/>
      <w:pPr>
        <w:ind w:left="5760" w:hanging="360"/>
      </w:pPr>
    </w:lvl>
    <w:lvl w:ilvl="8" w:tplc="9D009038">
      <w:start w:val="1"/>
      <w:numFmt w:val="lowerRoman"/>
      <w:lvlText w:val="%9."/>
      <w:lvlJc w:val="right"/>
      <w:pPr>
        <w:ind w:left="6480" w:hanging="180"/>
      </w:pPr>
    </w:lvl>
  </w:abstractNum>
  <w:abstractNum w:abstractNumId="2" w15:restartNumberingAfterBreak="0">
    <w:nsid w:val="229024DC"/>
    <w:multiLevelType w:val="hybridMultilevel"/>
    <w:tmpl w:val="83F61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564518"/>
    <w:multiLevelType w:val="hybridMultilevel"/>
    <w:tmpl w:val="E9B8C7F0"/>
    <w:lvl w:ilvl="0" w:tplc="E09EC230">
      <w:start w:val="1"/>
      <w:numFmt w:val="bullet"/>
      <w:lvlText w:val=""/>
      <w:lvlJc w:val="left"/>
      <w:pPr>
        <w:tabs>
          <w:tab w:val="num" w:pos="360"/>
        </w:tabs>
        <w:ind w:left="360" w:hanging="360"/>
      </w:pPr>
      <w:rPr>
        <w:rFonts w:ascii="Symbol" w:hAnsi="Symbol" w:hint="default"/>
      </w:rPr>
    </w:lvl>
    <w:lvl w:ilvl="1" w:tplc="208E7098">
      <w:start w:val="1"/>
      <w:numFmt w:val="bullet"/>
      <w:lvlText w:val="o"/>
      <w:lvlJc w:val="left"/>
      <w:pPr>
        <w:ind w:left="1440" w:hanging="360"/>
      </w:pPr>
      <w:rPr>
        <w:rFonts w:ascii="Courier New" w:eastAsia="Courier New" w:hAnsi="Courier New" w:cs="Courier New" w:hint="default"/>
      </w:rPr>
    </w:lvl>
    <w:lvl w:ilvl="2" w:tplc="16643904">
      <w:start w:val="1"/>
      <w:numFmt w:val="bullet"/>
      <w:lvlText w:val="§"/>
      <w:lvlJc w:val="left"/>
      <w:pPr>
        <w:ind w:left="2160" w:hanging="360"/>
      </w:pPr>
      <w:rPr>
        <w:rFonts w:ascii="Wingdings" w:eastAsia="Wingdings" w:hAnsi="Wingdings" w:cs="Wingdings" w:hint="default"/>
      </w:rPr>
    </w:lvl>
    <w:lvl w:ilvl="3" w:tplc="BEC06656">
      <w:start w:val="1"/>
      <w:numFmt w:val="bullet"/>
      <w:lvlText w:val="·"/>
      <w:lvlJc w:val="left"/>
      <w:pPr>
        <w:ind w:left="2880" w:hanging="360"/>
      </w:pPr>
      <w:rPr>
        <w:rFonts w:ascii="Symbol" w:eastAsia="Symbol" w:hAnsi="Symbol" w:cs="Symbol" w:hint="default"/>
      </w:rPr>
    </w:lvl>
    <w:lvl w:ilvl="4" w:tplc="470C08C0">
      <w:start w:val="1"/>
      <w:numFmt w:val="bullet"/>
      <w:lvlText w:val="o"/>
      <w:lvlJc w:val="left"/>
      <w:pPr>
        <w:ind w:left="3600" w:hanging="360"/>
      </w:pPr>
      <w:rPr>
        <w:rFonts w:ascii="Courier New" w:eastAsia="Courier New" w:hAnsi="Courier New" w:cs="Courier New" w:hint="default"/>
      </w:rPr>
    </w:lvl>
    <w:lvl w:ilvl="5" w:tplc="2BF83B92">
      <w:start w:val="1"/>
      <w:numFmt w:val="bullet"/>
      <w:lvlText w:val="§"/>
      <w:lvlJc w:val="left"/>
      <w:pPr>
        <w:ind w:left="4320" w:hanging="360"/>
      </w:pPr>
      <w:rPr>
        <w:rFonts w:ascii="Wingdings" w:eastAsia="Wingdings" w:hAnsi="Wingdings" w:cs="Wingdings" w:hint="default"/>
      </w:rPr>
    </w:lvl>
    <w:lvl w:ilvl="6" w:tplc="D9E6EB20">
      <w:start w:val="1"/>
      <w:numFmt w:val="bullet"/>
      <w:lvlText w:val="·"/>
      <w:lvlJc w:val="left"/>
      <w:pPr>
        <w:ind w:left="5040" w:hanging="360"/>
      </w:pPr>
      <w:rPr>
        <w:rFonts w:ascii="Symbol" w:eastAsia="Symbol" w:hAnsi="Symbol" w:cs="Symbol" w:hint="default"/>
      </w:rPr>
    </w:lvl>
    <w:lvl w:ilvl="7" w:tplc="B66860DE">
      <w:start w:val="1"/>
      <w:numFmt w:val="bullet"/>
      <w:lvlText w:val="o"/>
      <w:lvlJc w:val="left"/>
      <w:pPr>
        <w:ind w:left="5760" w:hanging="360"/>
      </w:pPr>
      <w:rPr>
        <w:rFonts w:ascii="Courier New" w:eastAsia="Courier New" w:hAnsi="Courier New" w:cs="Courier New" w:hint="default"/>
      </w:rPr>
    </w:lvl>
    <w:lvl w:ilvl="8" w:tplc="A34E9608">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3DCF7386"/>
    <w:multiLevelType w:val="hybridMultilevel"/>
    <w:tmpl w:val="5EAC89BE"/>
    <w:lvl w:ilvl="0" w:tplc="E8B4E696">
      <w:start w:val="1"/>
      <w:numFmt w:val="decimal"/>
      <w:lvlText w:val="%1."/>
      <w:lvlJc w:val="left"/>
      <w:pPr>
        <w:tabs>
          <w:tab w:val="num" w:pos="360"/>
        </w:tabs>
        <w:ind w:left="360" w:hanging="360"/>
      </w:pPr>
    </w:lvl>
    <w:lvl w:ilvl="1" w:tplc="8672270A">
      <w:start w:val="1"/>
      <w:numFmt w:val="bullet"/>
      <w:lvlText w:val="o"/>
      <w:lvlJc w:val="left"/>
      <w:pPr>
        <w:ind w:left="1440" w:hanging="360"/>
      </w:pPr>
      <w:rPr>
        <w:rFonts w:ascii="Courier New" w:eastAsia="Courier New" w:hAnsi="Courier New" w:cs="Courier New" w:hint="default"/>
      </w:rPr>
    </w:lvl>
    <w:lvl w:ilvl="2" w:tplc="FC5ACE02">
      <w:start w:val="1"/>
      <w:numFmt w:val="bullet"/>
      <w:lvlText w:val="§"/>
      <w:lvlJc w:val="left"/>
      <w:pPr>
        <w:ind w:left="2160" w:hanging="360"/>
      </w:pPr>
      <w:rPr>
        <w:rFonts w:ascii="Wingdings" w:eastAsia="Wingdings" w:hAnsi="Wingdings" w:cs="Wingdings" w:hint="default"/>
      </w:rPr>
    </w:lvl>
    <w:lvl w:ilvl="3" w:tplc="9BC8C1CA">
      <w:start w:val="1"/>
      <w:numFmt w:val="bullet"/>
      <w:lvlText w:val="·"/>
      <w:lvlJc w:val="left"/>
      <w:pPr>
        <w:ind w:left="2880" w:hanging="360"/>
      </w:pPr>
      <w:rPr>
        <w:rFonts w:ascii="Symbol" w:eastAsia="Symbol" w:hAnsi="Symbol" w:cs="Symbol" w:hint="default"/>
      </w:rPr>
    </w:lvl>
    <w:lvl w:ilvl="4" w:tplc="D60C2AC4">
      <w:start w:val="1"/>
      <w:numFmt w:val="bullet"/>
      <w:lvlText w:val="o"/>
      <w:lvlJc w:val="left"/>
      <w:pPr>
        <w:ind w:left="3600" w:hanging="360"/>
      </w:pPr>
      <w:rPr>
        <w:rFonts w:ascii="Courier New" w:eastAsia="Courier New" w:hAnsi="Courier New" w:cs="Courier New" w:hint="default"/>
      </w:rPr>
    </w:lvl>
    <w:lvl w:ilvl="5" w:tplc="07827890">
      <w:start w:val="1"/>
      <w:numFmt w:val="bullet"/>
      <w:lvlText w:val="§"/>
      <w:lvlJc w:val="left"/>
      <w:pPr>
        <w:ind w:left="4320" w:hanging="360"/>
      </w:pPr>
      <w:rPr>
        <w:rFonts w:ascii="Wingdings" w:eastAsia="Wingdings" w:hAnsi="Wingdings" w:cs="Wingdings" w:hint="default"/>
      </w:rPr>
    </w:lvl>
    <w:lvl w:ilvl="6" w:tplc="A4E6A6CA">
      <w:start w:val="1"/>
      <w:numFmt w:val="bullet"/>
      <w:lvlText w:val="·"/>
      <w:lvlJc w:val="left"/>
      <w:pPr>
        <w:ind w:left="5040" w:hanging="360"/>
      </w:pPr>
      <w:rPr>
        <w:rFonts w:ascii="Symbol" w:eastAsia="Symbol" w:hAnsi="Symbol" w:cs="Symbol" w:hint="default"/>
      </w:rPr>
    </w:lvl>
    <w:lvl w:ilvl="7" w:tplc="0C0C835E">
      <w:start w:val="1"/>
      <w:numFmt w:val="bullet"/>
      <w:lvlText w:val="o"/>
      <w:lvlJc w:val="left"/>
      <w:pPr>
        <w:ind w:left="5760" w:hanging="360"/>
      </w:pPr>
      <w:rPr>
        <w:rFonts w:ascii="Courier New" w:eastAsia="Courier New" w:hAnsi="Courier New" w:cs="Courier New" w:hint="default"/>
      </w:rPr>
    </w:lvl>
    <w:lvl w:ilvl="8" w:tplc="20D03B48">
      <w:start w:val="1"/>
      <w:numFmt w:val="bullet"/>
      <w:lvlText w:val="§"/>
      <w:lvlJc w:val="left"/>
      <w:pPr>
        <w:ind w:left="6480" w:hanging="360"/>
      </w:pPr>
      <w:rPr>
        <w:rFonts w:ascii="Wingdings" w:eastAsia="Wingdings" w:hAnsi="Wingdings" w:cs="Wingdings" w:hint="default"/>
      </w:rPr>
    </w:lvl>
  </w:abstractNum>
  <w:abstractNum w:abstractNumId="5" w15:restartNumberingAfterBreak="0">
    <w:nsid w:val="455A50FE"/>
    <w:multiLevelType w:val="hybridMultilevel"/>
    <w:tmpl w:val="AFE4389E"/>
    <w:lvl w:ilvl="0" w:tplc="7ACAF2F0">
      <w:start w:val="1"/>
      <w:numFmt w:val="decimal"/>
      <w:lvlText w:val="%1."/>
      <w:lvlJc w:val="left"/>
      <w:pPr>
        <w:tabs>
          <w:tab w:val="num" w:pos="1080"/>
        </w:tabs>
        <w:ind w:left="1080" w:hanging="360"/>
      </w:pPr>
    </w:lvl>
    <w:lvl w:ilvl="1" w:tplc="7F683006">
      <w:start w:val="1"/>
      <w:numFmt w:val="bullet"/>
      <w:lvlText w:val="o"/>
      <w:lvlJc w:val="left"/>
      <w:pPr>
        <w:ind w:left="1440" w:hanging="360"/>
      </w:pPr>
      <w:rPr>
        <w:rFonts w:ascii="Courier New" w:eastAsia="Courier New" w:hAnsi="Courier New" w:cs="Courier New" w:hint="default"/>
      </w:rPr>
    </w:lvl>
    <w:lvl w:ilvl="2" w:tplc="AD88BE70">
      <w:start w:val="1"/>
      <w:numFmt w:val="bullet"/>
      <w:lvlText w:val="§"/>
      <w:lvlJc w:val="left"/>
      <w:pPr>
        <w:ind w:left="2160" w:hanging="360"/>
      </w:pPr>
      <w:rPr>
        <w:rFonts w:ascii="Wingdings" w:eastAsia="Wingdings" w:hAnsi="Wingdings" w:cs="Wingdings" w:hint="default"/>
      </w:rPr>
    </w:lvl>
    <w:lvl w:ilvl="3" w:tplc="5CE8B906">
      <w:start w:val="1"/>
      <w:numFmt w:val="bullet"/>
      <w:lvlText w:val="·"/>
      <w:lvlJc w:val="left"/>
      <w:pPr>
        <w:ind w:left="2880" w:hanging="360"/>
      </w:pPr>
      <w:rPr>
        <w:rFonts w:ascii="Symbol" w:eastAsia="Symbol" w:hAnsi="Symbol" w:cs="Symbol" w:hint="default"/>
      </w:rPr>
    </w:lvl>
    <w:lvl w:ilvl="4" w:tplc="A7C82D42">
      <w:start w:val="1"/>
      <w:numFmt w:val="bullet"/>
      <w:lvlText w:val="o"/>
      <w:lvlJc w:val="left"/>
      <w:pPr>
        <w:ind w:left="3600" w:hanging="360"/>
      </w:pPr>
      <w:rPr>
        <w:rFonts w:ascii="Courier New" w:eastAsia="Courier New" w:hAnsi="Courier New" w:cs="Courier New" w:hint="default"/>
      </w:rPr>
    </w:lvl>
    <w:lvl w:ilvl="5" w:tplc="CA7A29FA">
      <w:start w:val="1"/>
      <w:numFmt w:val="bullet"/>
      <w:lvlText w:val="§"/>
      <w:lvlJc w:val="left"/>
      <w:pPr>
        <w:ind w:left="4320" w:hanging="360"/>
      </w:pPr>
      <w:rPr>
        <w:rFonts w:ascii="Wingdings" w:eastAsia="Wingdings" w:hAnsi="Wingdings" w:cs="Wingdings" w:hint="default"/>
      </w:rPr>
    </w:lvl>
    <w:lvl w:ilvl="6" w:tplc="C1C2A23E">
      <w:start w:val="1"/>
      <w:numFmt w:val="bullet"/>
      <w:lvlText w:val="·"/>
      <w:lvlJc w:val="left"/>
      <w:pPr>
        <w:ind w:left="5040" w:hanging="360"/>
      </w:pPr>
      <w:rPr>
        <w:rFonts w:ascii="Symbol" w:eastAsia="Symbol" w:hAnsi="Symbol" w:cs="Symbol" w:hint="default"/>
      </w:rPr>
    </w:lvl>
    <w:lvl w:ilvl="7" w:tplc="AF4CA7CA">
      <w:start w:val="1"/>
      <w:numFmt w:val="bullet"/>
      <w:lvlText w:val="o"/>
      <w:lvlJc w:val="left"/>
      <w:pPr>
        <w:ind w:left="5760" w:hanging="360"/>
      </w:pPr>
      <w:rPr>
        <w:rFonts w:ascii="Courier New" w:eastAsia="Courier New" w:hAnsi="Courier New" w:cs="Courier New" w:hint="default"/>
      </w:rPr>
    </w:lvl>
    <w:lvl w:ilvl="8" w:tplc="907EACC0">
      <w:start w:val="1"/>
      <w:numFmt w:val="bullet"/>
      <w:lvlText w:val="§"/>
      <w:lvlJc w:val="left"/>
      <w:pPr>
        <w:ind w:left="6480" w:hanging="360"/>
      </w:pPr>
      <w:rPr>
        <w:rFonts w:ascii="Wingdings" w:eastAsia="Wingdings" w:hAnsi="Wingdings" w:cs="Wingdings" w:hint="default"/>
      </w:rPr>
    </w:lvl>
  </w:abstractNum>
  <w:abstractNum w:abstractNumId="6" w15:restartNumberingAfterBreak="0">
    <w:nsid w:val="4C993C1F"/>
    <w:multiLevelType w:val="hybridMultilevel"/>
    <w:tmpl w:val="4A38CFDA"/>
    <w:lvl w:ilvl="0" w:tplc="9A088B36">
      <w:start w:val="1"/>
      <w:numFmt w:val="bullet"/>
      <w:lvlText w:val=""/>
      <w:lvlJc w:val="left"/>
      <w:pPr>
        <w:ind w:left="720" w:hanging="360"/>
      </w:pPr>
      <w:rPr>
        <w:rFonts w:ascii="Symbol" w:hAnsi="Symbol" w:hint="default"/>
      </w:rPr>
    </w:lvl>
    <w:lvl w:ilvl="1" w:tplc="31A60606">
      <w:start w:val="1"/>
      <w:numFmt w:val="bullet"/>
      <w:lvlText w:val="o"/>
      <w:lvlJc w:val="left"/>
      <w:pPr>
        <w:ind w:left="1440" w:hanging="360"/>
      </w:pPr>
      <w:rPr>
        <w:rFonts w:ascii="Courier New" w:hAnsi="Courier New" w:cs="Courier New" w:hint="default"/>
      </w:rPr>
    </w:lvl>
    <w:lvl w:ilvl="2" w:tplc="899ED2E8">
      <w:start w:val="1"/>
      <w:numFmt w:val="bullet"/>
      <w:lvlText w:val=""/>
      <w:lvlJc w:val="left"/>
      <w:pPr>
        <w:ind w:left="2160" w:hanging="360"/>
      </w:pPr>
      <w:rPr>
        <w:rFonts w:ascii="Wingdings" w:hAnsi="Wingdings" w:hint="default"/>
      </w:rPr>
    </w:lvl>
    <w:lvl w:ilvl="3" w:tplc="88A4A208">
      <w:start w:val="1"/>
      <w:numFmt w:val="bullet"/>
      <w:lvlText w:val=""/>
      <w:lvlJc w:val="left"/>
      <w:pPr>
        <w:ind w:left="2880" w:hanging="360"/>
      </w:pPr>
      <w:rPr>
        <w:rFonts w:ascii="Symbol" w:hAnsi="Symbol" w:hint="default"/>
      </w:rPr>
    </w:lvl>
    <w:lvl w:ilvl="4" w:tplc="A7D62716">
      <w:start w:val="1"/>
      <w:numFmt w:val="bullet"/>
      <w:lvlText w:val="o"/>
      <w:lvlJc w:val="left"/>
      <w:pPr>
        <w:ind w:left="3600" w:hanging="360"/>
      </w:pPr>
      <w:rPr>
        <w:rFonts w:ascii="Courier New" w:hAnsi="Courier New" w:cs="Courier New" w:hint="default"/>
      </w:rPr>
    </w:lvl>
    <w:lvl w:ilvl="5" w:tplc="E604BBA6">
      <w:start w:val="1"/>
      <w:numFmt w:val="bullet"/>
      <w:lvlText w:val=""/>
      <w:lvlJc w:val="left"/>
      <w:pPr>
        <w:ind w:left="4320" w:hanging="360"/>
      </w:pPr>
      <w:rPr>
        <w:rFonts w:ascii="Wingdings" w:hAnsi="Wingdings" w:hint="default"/>
      </w:rPr>
    </w:lvl>
    <w:lvl w:ilvl="6" w:tplc="838ADC1A">
      <w:start w:val="1"/>
      <w:numFmt w:val="bullet"/>
      <w:lvlText w:val=""/>
      <w:lvlJc w:val="left"/>
      <w:pPr>
        <w:ind w:left="5040" w:hanging="360"/>
      </w:pPr>
      <w:rPr>
        <w:rFonts w:ascii="Symbol" w:hAnsi="Symbol" w:hint="default"/>
      </w:rPr>
    </w:lvl>
    <w:lvl w:ilvl="7" w:tplc="8CFADEDC">
      <w:start w:val="1"/>
      <w:numFmt w:val="bullet"/>
      <w:lvlText w:val="o"/>
      <w:lvlJc w:val="left"/>
      <w:pPr>
        <w:ind w:left="5760" w:hanging="360"/>
      </w:pPr>
      <w:rPr>
        <w:rFonts w:ascii="Courier New" w:hAnsi="Courier New" w:cs="Courier New" w:hint="default"/>
      </w:rPr>
    </w:lvl>
    <w:lvl w:ilvl="8" w:tplc="530EA0E4">
      <w:start w:val="1"/>
      <w:numFmt w:val="bullet"/>
      <w:lvlText w:val=""/>
      <w:lvlJc w:val="left"/>
      <w:pPr>
        <w:ind w:left="6480" w:hanging="360"/>
      </w:pPr>
      <w:rPr>
        <w:rFonts w:ascii="Wingdings" w:hAnsi="Wingdings" w:hint="default"/>
      </w:rPr>
    </w:lvl>
  </w:abstractNum>
  <w:abstractNum w:abstractNumId="7" w15:restartNumberingAfterBreak="0">
    <w:nsid w:val="4FE378E7"/>
    <w:multiLevelType w:val="hybridMultilevel"/>
    <w:tmpl w:val="278EC588"/>
    <w:lvl w:ilvl="0" w:tplc="9CD41054">
      <w:start w:val="1"/>
      <w:numFmt w:val="bullet"/>
      <w:lvlText w:val=""/>
      <w:lvlJc w:val="left"/>
      <w:pPr>
        <w:tabs>
          <w:tab w:val="num" w:pos="720"/>
        </w:tabs>
        <w:ind w:left="720" w:hanging="360"/>
      </w:pPr>
      <w:rPr>
        <w:rFonts w:ascii="Symbol" w:hAnsi="Symbol" w:hint="default"/>
      </w:rPr>
    </w:lvl>
    <w:lvl w:ilvl="1" w:tplc="B1D860A2">
      <w:start w:val="1"/>
      <w:numFmt w:val="bullet"/>
      <w:lvlText w:val="o"/>
      <w:lvlJc w:val="left"/>
      <w:pPr>
        <w:ind w:left="1440" w:hanging="360"/>
      </w:pPr>
      <w:rPr>
        <w:rFonts w:ascii="Courier New" w:eastAsia="Courier New" w:hAnsi="Courier New" w:cs="Courier New" w:hint="default"/>
      </w:rPr>
    </w:lvl>
    <w:lvl w:ilvl="2" w:tplc="C4881400">
      <w:start w:val="1"/>
      <w:numFmt w:val="bullet"/>
      <w:lvlText w:val="§"/>
      <w:lvlJc w:val="left"/>
      <w:pPr>
        <w:ind w:left="2160" w:hanging="360"/>
      </w:pPr>
      <w:rPr>
        <w:rFonts w:ascii="Wingdings" w:eastAsia="Wingdings" w:hAnsi="Wingdings" w:cs="Wingdings" w:hint="default"/>
      </w:rPr>
    </w:lvl>
    <w:lvl w:ilvl="3" w:tplc="A8FC5204">
      <w:start w:val="1"/>
      <w:numFmt w:val="bullet"/>
      <w:lvlText w:val="·"/>
      <w:lvlJc w:val="left"/>
      <w:pPr>
        <w:ind w:left="2880" w:hanging="360"/>
      </w:pPr>
      <w:rPr>
        <w:rFonts w:ascii="Symbol" w:eastAsia="Symbol" w:hAnsi="Symbol" w:cs="Symbol" w:hint="default"/>
      </w:rPr>
    </w:lvl>
    <w:lvl w:ilvl="4" w:tplc="D1B4A57E">
      <w:start w:val="1"/>
      <w:numFmt w:val="bullet"/>
      <w:lvlText w:val="o"/>
      <w:lvlJc w:val="left"/>
      <w:pPr>
        <w:ind w:left="3600" w:hanging="360"/>
      </w:pPr>
      <w:rPr>
        <w:rFonts w:ascii="Courier New" w:eastAsia="Courier New" w:hAnsi="Courier New" w:cs="Courier New" w:hint="default"/>
      </w:rPr>
    </w:lvl>
    <w:lvl w:ilvl="5" w:tplc="6336937C">
      <w:start w:val="1"/>
      <w:numFmt w:val="bullet"/>
      <w:lvlText w:val="§"/>
      <w:lvlJc w:val="left"/>
      <w:pPr>
        <w:ind w:left="4320" w:hanging="360"/>
      </w:pPr>
      <w:rPr>
        <w:rFonts w:ascii="Wingdings" w:eastAsia="Wingdings" w:hAnsi="Wingdings" w:cs="Wingdings" w:hint="default"/>
      </w:rPr>
    </w:lvl>
    <w:lvl w:ilvl="6" w:tplc="94808204">
      <w:start w:val="1"/>
      <w:numFmt w:val="bullet"/>
      <w:lvlText w:val="·"/>
      <w:lvlJc w:val="left"/>
      <w:pPr>
        <w:ind w:left="5040" w:hanging="360"/>
      </w:pPr>
      <w:rPr>
        <w:rFonts w:ascii="Symbol" w:eastAsia="Symbol" w:hAnsi="Symbol" w:cs="Symbol" w:hint="default"/>
      </w:rPr>
    </w:lvl>
    <w:lvl w:ilvl="7" w:tplc="503C911A">
      <w:start w:val="1"/>
      <w:numFmt w:val="bullet"/>
      <w:lvlText w:val="o"/>
      <w:lvlJc w:val="left"/>
      <w:pPr>
        <w:ind w:left="5760" w:hanging="360"/>
      </w:pPr>
      <w:rPr>
        <w:rFonts w:ascii="Courier New" w:eastAsia="Courier New" w:hAnsi="Courier New" w:cs="Courier New" w:hint="default"/>
      </w:rPr>
    </w:lvl>
    <w:lvl w:ilvl="8" w:tplc="35986E32">
      <w:start w:val="1"/>
      <w:numFmt w:val="bullet"/>
      <w:lvlText w:val="§"/>
      <w:lvlJc w:val="left"/>
      <w:pPr>
        <w:ind w:left="6480" w:hanging="360"/>
      </w:pPr>
      <w:rPr>
        <w:rFonts w:ascii="Wingdings" w:eastAsia="Wingdings" w:hAnsi="Wingdings" w:cs="Wingdings" w:hint="default"/>
      </w:rPr>
    </w:lvl>
  </w:abstractNum>
  <w:abstractNum w:abstractNumId="8" w15:restartNumberingAfterBreak="0">
    <w:nsid w:val="52A55A54"/>
    <w:multiLevelType w:val="hybridMultilevel"/>
    <w:tmpl w:val="21E836D2"/>
    <w:lvl w:ilvl="0" w:tplc="A07A1298">
      <w:start w:val="1"/>
      <w:numFmt w:val="bullet"/>
      <w:lvlText w:val=""/>
      <w:lvlJc w:val="left"/>
      <w:pPr>
        <w:tabs>
          <w:tab w:val="num" w:pos="1080"/>
        </w:tabs>
        <w:ind w:left="1080" w:hanging="360"/>
      </w:pPr>
      <w:rPr>
        <w:rFonts w:ascii="Symbol" w:hAnsi="Symbol" w:hint="default"/>
      </w:rPr>
    </w:lvl>
    <w:lvl w:ilvl="1" w:tplc="8FE6134E">
      <w:start w:val="1"/>
      <w:numFmt w:val="bullet"/>
      <w:lvlText w:val="o"/>
      <w:lvlJc w:val="left"/>
      <w:pPr>
        <w:ind w:left="1440" w:hanging="360"/>
      </w:pPr>
      <w:rPr>
        <w:rFonts w:ascii="Courier New" w:eastAsia="Courier New" w:hAnsi="Courier New" w:cs="Courier New" w:hint="default"/>
      </w:rPr>
    </w:lvl>
    <w:lvl w:ilvl="2" w:tplc="FE98D522">
      <w:start w:val="1"/>
      <w:numFmt w:val="bullet"/>
      <w:lvlText w:val="§"/>
      <w:lvlJc w:val="left"/>
      <w:pPr>
        <w:ind w:left="2160" w:hanging="360"/>
      </w:pPr>
      <w:rPr>
        <w:rFonts w:ascii="Wingdings" w:eastAsia="Wingdings" w:hAnsi="Wingdings" w:cs="Wingdings" w:hint="default"/>
      </w:rPr>
    </w:lvl>
    <w:lvl w:ilvl="3" w:tplc="F2344BAC">
      <w:start w:val="1"/>
      <w:numFmt w:val="bullet"/>
      <w:lvlText w:val="·"/>
      <w:lvlJc w:val="left"/>
      <w:pPr>
        <w:ind w:left="2880" w:hanging="360"/>
      </w:pPr>
      <w:rPr>
        <w:rFonts w:ascii="Symbol" w:eastAsia="Symbol" w:hAnsi="Symbol" w:cs="Symbol" w:hint="default"/>
      </w:rPr>
    </w:lvl>
    <w:lvl w:ilvl="4" w:tplc="648CDB40">
      <w:start w:val="1"/>
      <w:numFmt w:val="bullet"/>
      <w:lvlText w:val="o"/>
      <w:lvlJc w:val="left"/>
      <w:pPr>
        <w:ind w:left="3600" w:hanging="360"/>
      </w:pPr>
      <w:rPr>
        <w:rFonts w:ascii="Courier New" w:eastAsia="Courier New" w:hAnsi="Courier New" w:cs="Courier New" w:hint="default"/>
      </w:rPr>
    </w:lvl>
    <w:lvl w:ilvl="5" w:tplc="E4C4B9EA">
      <w:start w:val="1"/>
      <w:numFmt w:val="bullet"/>
      <w:lvlText w:val="§"/>
      <w:lvlJc w:val="left"/>
      <w:pPr>
        <w:ind w:left="4320" w:hanging="360"/>
      </w:pPr>
      <w:rPr>
        <w:rFonts w:ascii="Wingdings" w:eastAsia="Wingdings" w:hAnsi="Wingdings" w:cs="Wingdings" w:hint="default"/>
      </w:rPr>
    </w:lvl>
    <w:lvl w:ilvl="6" w:tplc="EB00E590">
      <w:start w:val="1"/>
      <w:numFmt w:val="bullet"/>
      <w:lvlText w:val="·"/>
      <w:lvlJc w:val="left"/>
      <w:pPr>
        <w:ind w:left="5040" w:hanging="360"/>
      </w:pPr>
      <w:rPr>
        <w:rFonts w:ascii="Symbol" w:eastAsia="Symbol" w:hAnsi="Symbol" w:cs="Symbol" w:hint="default"/>
      </w:rPr>
    </w:lvl>
    <w:lvl w:ilvl="7" w:tplc="5D3EAA62">
      <w:start w:val="1"/>
      <w:numFmt w:val="bullet"/>
      <w:lvlText w:val="o"/>
      <w:lvlJc w:val="left"/>
      <w:pPr>
        <w:ind w:left="5760" w:hanging="360"/>
      </w:pPr>
      <w:rPr>
        <w:rFonts w:ascii="Courier New" w:eastAsia="Courier New" w:hAnsi="Courier New" w:cs="Courier New" w:hint="default"/>
      </w:rPr>
    </w:lvl>
    <w:lvl w:ilvl="8" w:tplc="1C8CAC28">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58D64E01"/>
    <w:multiLevelType w:val="hybridMultilevel"/>
    <w:tmpl w:val="88CED06A"/>
    <w:lvl w:ilvl="0" w:tplc="E7A8BC2E">
      <w:start w:val="1"/>
      <w:numFmt w:val="bullet"/>
      <w:lvlText w:val=""/>
      <w:lvlJc w:val="left"/>
      <w:pPr>
        <w:ind w:left="1440" w:hanging="360"/>
      </w:pPr>
      <w:rPr>
        <w:rFonts w:ascii="Symbol" w:hAnsi="Symbol" w:hint="default"/>
      </w:rPr>
    </w:lvl>
    <w:lvl w:ilvl="1" w:tplc="D85A72D4">
      <w:start w:val="1"/>
      <w:numFmt w:val="bullet"/>
      <w:lvlText w:val="o"/>
      <w:lvlJc w:val="left"/>
      <w:pPr>
        <w:ind w:left="2160" w:hanging="360"/>
      </w:pPr>
      <w:rPr>
        <w:rFonts w:ascii="Courier New" w:hAnsi="Courier New" w:cs="Courier New" w:hint="default"/>
      </w:rPr>
    </w:lvl>
    <w:lvl w:ilvl="2" w:tplc="A6848C7A">
      <w:start w:val="1"/>
      <w:numFmt w:val="bullet"/>
      <w:lvlText w:val=""/>
      <w:lvlJc w:val="left"/>
      <w:pPr>
        <w:ind w:left="2880" w:hanging="360"/>
      </w:pPr>
      <w:rPr>
        <w:rFonts w:ascii="Wingdings" w:hAnsi="Wingdings" w:hint="default"/>
      </w:rPr>
    </w:lvl>
    <w:lvl w:ilvl="3" w:tplc="C2826BB0">
      <w:start w:val="1"/>
      <w:numFmt w:val="bullet"/>
      <w:lvlText w:val=""/>
      <w:lvlJc w:val="left"/>
      <w:pPr>
        <w:ind w:left="3600" w:hanging="360"/>
      </w:pPr>
      <w:rPr>
        <w:rFonts w:ascii="Symbol" w:hAnsi="Symbol" w:hint="default"/>
      </w:rPr>
    </w:lvl>
    <w:lvl w:ilvl="4" w:tplc="C02CDE80">
      <w:start w:val="1"/>
      <w:numFmt w:val="bullet"/>
      <w:lvlText w:val="o"/>
      <w:lvlJc w:val="left"/>
      <w:pPr>
        <w:ind w:left="4320" w:hanging="360"/>
      </w:pPr>
      <w:rPr>
        <w:rFonts w:ascii="Courier New" w:hAnsi="Courier New" w:cs="Courier New" w:hint="default"/>
      </w:rPr>
    </w:lvl>
    <w:lvl w:ilvl="5" w:tplc="502C2B08">
      <w:start w:val="1"/>
      <w:numFmt w:val="bullet"/>
      <w:lvlText w:val=""/>
      <w:lvlJc w:val="left"/>
      <w:pPr>
        <w:ind w:left="5040" w:hanging="360"/>
      </w:pPr>
      <w:rPr>
        <w:rFonts w:ascii="Wingdings" w:hAnsi="Wingdings" w:hint="default"/>
      </w:rPr>
    </w:lvl>
    <w:lvl w:ilvl="6" w:tplc="3968A162">
      <w:start w:val="1"/>
      <w:numFmt w:val="bullet"/>
      <w:lvlText w:val=""/>
      <w:lvlJc w:val="left"/>
      <w:pPr>
        <w:ind w:left="5760" w:hanging="360"/>
      </w:pPr>
      <w:rPr>
        <w:rFonts w:ascii="Symbol" w:hAnsi="Symbol" w:hint="default"/>
      </w:rPr>
    </w:lvl>
    <w:lvl w:ilvl="7" w:tplc="C5888854">
      <w:start w:val="1"/>
      <w:numFmt w:val="bullet"/>
      <w:lvlText w:val="o"/>
      <w:lvlJc w:val="left"/>
      <w:pPr>
        <w:ind w:left="6480" w:hanging="360"/>
      </w:pPr>
      <w:rPr>
        <w:rFonts w:ascii="Courier New" w:hAnsi="Courier New" w:cs="Courier New" w:hint="default"/>
      </w:rPr>
    </w:lvl>
    <w:lvl w:ilvl="8" w:tplc="93DCD91E">
      <w:start w:val="1"/>
      <w:numFmt w:val="bullet"/>
      <w:lvlText w:val=""/>
      <w:lvlJc w:val="left"/>
      <w:pPr>
        <w:ind w:left="7200" w:hanging="360"/>
      </w:pPr>
      <w:rPr>
        <w:rFonts w:ascii="Wingdings" w:hAnsi="Wingdings" w:hint="default"/>
      </w:rPr>
    </w:lvl>
  </w:abstractNum>
  <w:abstractNum w:abstractNumId="10" w15:restartNumberingAfterBreak="0">
    <w:nsid w:val="649741EB"/>
    <w:multiLevelType w:val="hybridMultilevel"/>
    <w:tmpl w:val="322AD71E"/>
    <w:lvl w:ilvl="0" w:tplc="30EC3460">
      <w:start w:val="1"/>
      <w:numFmt w:val="bullet"/>
      <w:lvlText w:val=""/>
      <w:lvlJc w:val="left"/>
      <w:pPr>
        <w:tabs>
          <w:tab w:val="num" w:pos="1440"/>
        </w:tabs>
        <w:ind w:left="1440" w:hanging="360"/>
      </w:pPr>
      <w:rPr>
        <w:rFonts w:ascii="Symbol" w:hAnsi="Symbol" w:hint="default"/>
      </w:rPr>
    </w:lvl>
    <w:lvl w:ilvl="1" w:tplc="C5BEA8FE">
      <w:start w:val="1"/>
      <w:numFmt w:val="bullet"/>
      <w:lvlText w:val="o"/>
      <w:lvlJc w:val="left"/>
      <w:pPr>
        <w:ind w:left="1440" w:hanging="360"/>
      </w:pPr>
      <w:rPr>
        <w:rFonts w:ascii="Courier New" w:eastAsia="Courier New" w:hAnsi="Courier New" w:cs="Courier New" w:hint="default"/>
      </w:rPr>
    </w:lvl>
    <w:lvl w:ilvl="2" w:tplc="97E6BC56">
      <w:start w:val="1"/>
      <w:numFmt w:val="bullet"/>
      <w:lvlText w:val="§"/>
      <w:lvlJc w:val="left"/>
      <w:pPr>
        <w:ind w:left="2160" w:hanging="360"/>
      </w:pPr>
      <w:rPr>
        <w:rFonts w:ascii="Wingdings" w:eastAsia="Wingdings" w:hAnsi="Wingdings" w:cs="Wingdings" w:hint="default"/>
      </w:rPr>
    </w:lvl>
    <w:lvl w:ilvl="3" w:tplc="D722BD60">
      <w:start w:val="1"/>
      <w:numFmt w:val="bullet"/>
      <w:lvlText w:val="·"/>
      <w:lvlJc w:val="left"/>
      <w:pPr>
        <w:ind w:left="2880" w:hanging="360"/>
      </w:pPr>
      <w:rPr>
        <w:rFonts w:ascii="Symbol" w:eastAsia="Symbol" w:hAnsi="Symbol" w:cs="Symbol" w:hint="default"/>
      </w:rPr>
    </w:lvl>
    <w:lvl w:ilvl="4" w:tplc="C68C7E06">
      <w:start w:val="1"/>
      <w:numFmt w:val="bullet"/>
      <w:lvlText w:val="o"/>
      <w:lvlJc w:val="left"/>
      <w:pPr>
        <w:ind w:left="3600" w:hanging="360"/>
      </w:pPr>
      <w:rPr>
        <w:rFonts w:ascii="Courier New" w:eastAsia="Courier New" w:hAnsi="Courier New" w:cs="Courier New" w:hint="default"/>
      </w:rPr>
    </w:lvl>
    <w:lvl w:ilvl="5" w:tplc="20689FFE">
      <w:start w:val="1"/>
      <w:numFmt w:val="bullet"/>
      <w:lvlText w:val="§"/>
      <w:lvlJc w:val="left"/>
      <w:pPr>
        <w:ind w:left="4320" w:hanging="360"/>
      </w:pPr>
      <w:rPr>
        <w:rFonts w:ascii="Wingdings" w:eastAsia="Wingdings" w:hAnsi="Wingdings" w:cs="Wingdings" w:hint="default"/>
      </w:rPr>
    </w:lvl>
    <w:lvl w:ilvl="6" w:tplc="48BA848C">
      <w:start w:val="1"/>
      <w:numFmt w:val="bullet"/>
      <w:lvlText w:val="·"/>
      <w:lvlJc w:val="left"/>
      <w:pPr>
        <w:ind w:left="5040" w:hanging="360"/>
      </w:pPr>
      <w:rPr>
        <w:rFonts w:ascii="Symbol" w:eastAsia="Symbol" w:hAnsi="Symbol" w:cs="Symbol" w:hint="default"/>
      </w:rPr>
    </w:lvl>
    <w:lvl w:ilvl="7" w:tplc="7EE6D268">
      <w:start w:val="1"/>
      <w:numFmt w:val="bullet"/>
      <w:lvlText w:val="o"/>
      <w:lvlJc w:val="left"/>
      <w:pPr>
        <w:ind w:left="5760" w:hanging="360"/>
      </w:pPr>
      <w:rPr>
        <w:rFonts w:ascii="Courier New" w:eastAsia="Courier New" w:hAnsi="Courier New" w:cs="Courier New" w:hint="default"/>
      </w:rPr>
    </w:lvl>
    <w:lvl w:ilvl="8" w:tplc="550ADF4A">
      <w:start w:val="1"/>
      <w:numFmt w:val="bullet"/>
      <w:lvlText w:val="§"/>
      <w:lvlJc w:val="left"/>
      <w:pPr>
        <w:ind w:left="6480" w:hanging="360"/>
      </w:pPr>
      <w:rPr>
        <w:rFonts w:ascii="Wingdings" w:eastAsia="Wingdings" w:hAnsi="Wingdings" w:cs="Wingdings" w:hint="default"/>
      </w:rPr>
    </w:lvl>
  </w:abstractNum>
  <w:abstractNum w:abstractNumId="11" w15:restartNumberingAfterBreak="0">
    <w:nsid w:val="687D5AC3"/>
    <w:multiLevelType w:val="hybridMultilevel"/>
    <w:tmpl w:val="6B60C66E"/>
    <w:lvl w:ilvl="0" w:tplc="E880FC40">
      <w:start w:val="1"/>
      <w:numFmt w:val="bullet"/>
      <w:lvlText w:val=""/>
      <w:lvlJc w:val="left"/>
      <w:pPr>
        <w:ind w:left="1440" w:hanging="360"/>
      </w:pPr>
      <w:rPr>
        <w:rFonts w:ascii="Symbol" w:hAnsi="Symbol" w:hint="default"/>
      </w:rPr>
    </w:lvl>
    <w:lvl w:ilvl="1" w:tplc="CDC245B2">
      <w:start w:val="1"/>
      <w:numFmt w:val="bullet"/>
      <w:lvlText w:val="o"/>
      <w:lvlJc w:val="left"/>
      <w:pPr>
        <w:ind w:left="2160" w:hanging="360"/>
      </w:pPr>
      <w:rPr>
        <w:rFonts w:ascii="Courier New" w:hAnsi="Courier New" w:cs="Courier New" w:hint="default"/>
      </w:rPr>
    </w:lvl>
    <w:lvl w:ilvl="2" w:tplc="4526308C">
      <w:start w:val="1"/>
      <w:numFmt w:val="bullet"/>
      <w:lvlText w:val=""/>
      <w:lvlJc w:val="left"/>
      <w:pPr>
        <w:ind w:left="2880" w:hanging="360"/>
      </w:pPr>
      <w:rPr>
        <w:rFonts w:ascii="Wingdings" w:hAnsi="Wingdings" w:hint="default"/>
      </w:rPr>
    </w:lvl>
    <w:lvl w:ilvl="3" w:tplc="CA9C5004">
      <w:start w:val="1"/>
      <w:numFmt w:val="bullet"/>
      <w:lvlText w:val=""/>
      <w:lvlJc w:val="left"/>
      <w:pPr>
        <w:ind w:left="3600" w:hanging="360"/>
      </w:pPr>
      <w:rPr>
        <w:rFonts w:ascii="Symbol" w:hAnsi="Symbol" w:hint="default"/>
      </w:rPr>
    </w:lvl>
    <w:lvl w:ilvl="4" w:tplc="2BD4BD32">
      <w:start w:val="1"/>
      <w:numFmt w:val="bullet"/>
      <w:lvlText w:val="o"/>
      <w:lvlJc w:val="left"/>
      <w:pPr>
        <w:ind w:left="4320" w:hanging="360"/>
      </w:pPr>
      <w:rPr>
        <w:rFonts w:ascii="Courier New" w:hAnsi="Courier New" w:cs="Courier New" w:hint="default"/>
      </w:rPr>
    </w:lvl>
    <w:lvl w:ilvl="5" w:tplc="C17C3F8E">
      <w:start w:val="1"/>
      <w:numFmt w:val="bullet"/>
      <w:lvlText w:val=""/>
      <w:lvlJc w:val="left"/>
      <w:pPr>
        <w:ind w:left="5040" w:hanging="360"/>
      </w:pPr>
      <w:rPr>
        <w:rFonts w:ascii="Wingdings" w:hAnsi="Wingdings" w:hint="default"/>
      </w:rPr>
    </w:lvl>
    <w:lvl w:ilvl="6" w:tplc="96AA8AE8">
      <w:start w:val="1"/>
      <w:numFmt w:val="bullet"/>
      <w:lvlText w:val=""/>
      <w:lvlJc w:val="left"/>
      <w:pPr>
        <w:ind w:left="5760" w:hanging="360"/>
      </w:pPr>
      <w:rPr>
        <w:rFonts w:ascii="Symbol" w:hAnsi="Symbol" w:hint="default"/>
      </w:rPr>
    </w:lvl>
    <w:lvl w:ilvl="7" w:tplc="8EEA4AFA">
      <w:start w:val="1"/>
      <w:numFmt w:val="bullet"/>
      <w:lvlText w:val="o"/>
      <w:lvlJc w:val="left"/>
      <w:pPr>
        <w:ind w:left="6480" w:hanging="360"/>
      </w:pPr>
      <w:rPr>
        <w:rFonts w:ascii="Courier New" w:hAnsi="Courier New" w:cs="Courier New" w:hint="default"/>
      </w:rPr>
    </w:lvl>
    <w:lvl w:ilvl="8" w:tplc="C2B2D1D4">
      <w:start w:val="1"/>
      <w:numFmt w:val="bullet"/>
      <w:lvlText w:val=""/>
      <w:lvlJc w:val="left"/>
      <w:pPr>
        <w:ind w:left="7200" w:hanging="360"/>
      </w:pPr>
      <w:rPr>
        <w:rFonts w:ascii="Wingdings" w:hAnsi="Wingdings" w:hint="default"/>
      </w:rPr>
    </w:lvl>
  </w:abstractNum>
  <w:abstractNum w:abstractNumId="12" w15:restartNumberingAfterBreak="0">
    <w:nsid w:val="718A013A"/>
    <w:multiLevelType w:val="hybridMultilevel"/>
    <w:tmpl w:val="6DB64EF8"/>
    <w:lvl w:ilvl="0" w:tplc="ECFADB72">
      <w:start w:val="1"/>
      <w:numFmt w:val="bullet"/>
      <w:lvlText w:val=""/>
      <w:lvlJc w:val="left"/>
      <w:pPr>
        <w:ind w:left="2160" w:hanging="360"/>
      </w:pPr>
      <w:rPr>
        <w:rFonts w:ascii="Symbol" w:hAnsi="Symbol" w:hint="default"/>
      </w:rPr>
    </w:lvl>
    <w:lvl w:ilvl="1" w:tplc="25E29C66">
      <w:start w:val="1"/>
      <w:numFmt w:val="bullet"/>
      <w:lvlText w:val="o"/>
      <w:lvlJc w:val="left"/>
      <w:pPr>
        <w:ind w:left="2880" w:hanging="360"/>
      </w:pPr>
      <w:rPr>
        <w:rFonts w:ascii="Courier New" w:hAnsi="Courier New" w:cs="Courier New" w:hint="default"/>
      </w:rPr>
    </w:lvl>
    <w:lvl w:ilvl="2" w:tplc="5E22ACE8">
      <w:start w:val="1"/>
      <w:numFmt w:val="bullet"/>
      <w:lvlText w:val=""/>
      <w:lvlJc w:val="left"/>
      <w:pPr>
        <w:ind w:left="3600" w:hanging="360"/>
      </w:pPr>
      <w:rPr>
        <w:rFonts w:ascii="Wingdings" w:hAnsi="Wingdings" w:hint="default"/>
      </w:rPr>
    </w:lvl>
    <w:lvl w:ilvl="3" w:tplc="F10027C6">
      <w:start w:val="1"/>
      <w:numFmt w:val="bullet"/>
      <w:lvlText w:val=""/>
      <w:lvlJc w:val="left"/>
      <w:pPr>
        <w:ind w:left="4320" w:hanging="360"/>
      </w:pPr>
      <w:rPr>
        <w:rFonts w:ascii="Symbol" w:hAnsi="Symbol" w:hint="default"/>
      </w:rPr>
    </w:lvl>
    <w:lvl w:ilvl="4" w:tplc="57F4AE9C">
      <w:start w:val="1"/>
      <w:numFmt w:val="bullet"/>
      <w:lvlText w:val="o"/>
      <w:lvlJc w:val="left"/>
      <w:pPr>
        <w:ind w:left="5040" w:hanging="360"/>
      </w:pPr>
      <w:rPr>
        <w:rFonts w:ascii="Courier New" w:hAnsi="Courier New" w:cs="Courier New" w:hint="default"/>
      </w:rPr>
    </w:lvl>
    <w:lvl w:ilvl="5" w:tplc="33769AC0">
      <w:start w:val="1"/>
      <w:numFmt w:val="bullet"/>
      <w:lvlText w:val=""/>
      <w:lvlJc w:val="left"/>
      <w:pPr>
        <w:ind w:left="5760" w:hanging="360"/>
      </w:pPr>
      <w:rPr>
        <w:rFonts w:ascii="Wingdings" w:hAnsi="Wingdings" w:hint="default"/>
      </w:rPr>
    </w:lvl>
    <w:lvl w:ilvl="6" w:tplc="66E84248">
      <w:start w:val="1"/>
      <w:numFmt w:val="bullet"/>
      <w:lvlText w:val=""/>
      <w:lvlJc w:val="left"/>
      <w:pPr>
        <w:ind w:left="6480" w:hanging="360"/>
      </w:pPr>
      <w:rPr>
        <w:rFonts w:ascii="Symbol" w:hAnsi="Symbol" w:hint="default"/>
      </w:rPr>
    </w:lvl>
    <w:lvl w:ilvl="7" w:tplc="0E6EFC6E">
      <w:start w:val="1"/>
      <w:numFmt w:val="bullet"/>
      <w:lvlText w:val="o"/>
      <w:lvlJc w:val="left"/>
      <w:pPr>
        <w:ind w:left="7200" w:hanging="360"/>
      </w:pPr>
      <w:rPr>
        <w:rFonts w:ascii="Courier New" w:hAnsi="Courier New" w:cs="Courier New" w:hint="default"/>
      </w:rPr>
    </w:lvl>
    <w:lvl w:ilvl="8" w:tplc="D0F4D078">
      <w:start w:val="1"/>
      <w:numFmt w:val="bullet"/>
      <w:lvlText w:val=""/>
      <w:lvlJc w:val="left"/>
      <w:pPr>
        <w:ind w:left="7920" w:hanging="360"/>
      </w:pPr>
      <w:rPr>
        <w:rFonts w:ascii="Wingdings" w:hAnsi="Wingdings" w:hint="default"/>
      </w:rPr>
    </w:lvl>
  </w:abstractNum>
  <w:abstractNum w:abstractNumId="13" w15:restartNumberingAfterBreak="0">
    <w:nsid w:val="775D0266"/>
    <w:multiLevelType w:val="hybridMultilevel"/>
    <w:tmpl w:val="5C2215AA"/>
    <w:lvl w:ilvl="0" w:tplc="5BEAA93E">
      <w:start w:val="1"/>
      <w:numFmt w:val="bullet"/>
      <w:lvlText w:val=""/>
      <w:lvlJc w:val="left"/>
      <w:pPr>
        <w:tabs>
          <w:tab w:val="num" w:pos="0"/>
        </w:tabs>
        <w:ind w:left="0" w:firstLine="0"/>
      </w:pPr>
      <w:rPr>
        <w:rFonts w:ascii="Symbol" w:hAnsi="Symbol" w:hint="default"/>
      </w:rPr>
    </w:lvl>
    <w:lvl w:ilvl="1" w:tplc="25A20954">
      <w:start w:val="1"/>
      <w:numFmt w:val="bullet"/>
      <w:lvlText w:val=""/>
      <w:lvlJc w:val="left"/>
      <w:pPr>
        <w:tabs>
          <w:tab w:val="num" w:pos="720"/>
        </w:tabs>
        <w:ind w:left="1080" w:hanging="360"/>
      </w:pPr>
      <w:rPr>
        <w:rFonts w:ascii="Symbol" w:hAnsi="Symbol" w:hint="default"/>
      </w:rPr>
    </w:lvl>
    <w:lvl w:ilvl="2" w:tplc="14DE03F4">
      <w:start w:val="1"/>
      <w:numFmt w:val="bullet"/>
      <w:lvlText w:val="o"/>
      <w:lvlJc w:val="left"/>
      <w:pPr>
        <w:tabs>
          <w:tab w:val="num" w:pos="1440"/>
        </w:tabs>
        <w:ind w:left="1800" w:hanging="360"/>
      </w:pPr>
      <w:rPr>
        <w:rFonts w:ascii="Courier New" w:hAnsi="Courier New" w:hint="default"/>
      </w:rPr>
    </w:lvl>
    <w:lvl w:ilvl="3" w:tplc="2418EF60">
      <w:start w:val="1"/>
      <w:numFmt w:val="bullet"/>
      <w:lvlText w:val=""/>
      <w:lvlJc w:val="left"/>
      <w:pPr>
        <w:tabs>
          <w:tab w:val="num" w:pos="2160"/>
        </w:tabs>
        <w:ind w:left="2520" w:hanging="360"/>
      </w:pPr>
      <w:rPr>
        <w:rFonts w:ascii="Wingdings" w:hAnsi="Wingdings" w:hint="default"/>
      </w:rPr>
    </w:lvl>
    <w:lvl w:ilvl="4" w:tplc="D4E28500">
      <w:start w:val="1"/>
      <w:numFmt w:val="bullet"/>
      <w:lvlText w:val=""/>
      <w:lvlJc w:val="left"/>
      <w:pPr>
        <w:tabs>
          <w:tab w:val="num" w:pos="2880"/>
        </w:tabs>
        <w:ind w:left="3240" w:hanging="360"/>
      </w:pPr>
      <w:rPr>
        <w:rFonts w:ascii="Wingdings" w:hAnsi="Wingdings" w:hint="default"/>
      </w:rPr>
    </w:lvl>
    <w:lvl w:ilvl="5" w:tplc="FA36846A">
      <w:start w:val="1"/>
      <w:numFmt w:val="bullet"/>
      <w:lvlText w:val=""/>
      <w:lvlJc w:val="left"/>
      <w:pPr>
        <w:tabs>
          <w:tab w:val="num" w:pos="3600"/>
        </w:tabs>
        <w:ind w:left="3960" w:hanging="360"/>
      </w:pPr>
      <w:rPr>
        <w:rFonts w:ascii="Symbol" w:hAnsi="Symbol" w:hint="default"/>
      </w:rPr>
    </w:lvl>
    <w:lvl w:ilvl="6" w:tplc="3F109BA4">
      <w:start w:val="1"/>
      <w:numFmt w:val="bullet"/>
      <w:lvlText w:val="o"/>
      <w:lvlJc w:val="left"/>
      <w:pPr>
        <w:tabs>
          <w:tab w:val="num" w:pos="4320"/>
        </w:tabs>
        <w:ind w:left="4680" w:hanging="360"/>
      </w:pPr>
      <w:rPr>
        <w:rFonts w:ascii="Courier New" w:hAnsi="Courier New" w:hint="default"/>
      </w:rPr>
    </w:lvl>
    <w:lvl w:ilvl="7" w:tplc="77B61FF4">
      <w:start w:val="1"/>
      <w:numFmt w:val="bullet"/>
      <w:lvlText w:val=""/>
      <w:lvlJc w:val="left"/>
      <w:pPr>
        <w:tabs>
          <w:tab w:val="num" w:pos="5040"/>
        </w:tabs>
        <w:ind w:left="5400" w:hanging="360"/>
      </w:pPr>
      <w:rPr>
        <w:rFonts w:ascii="Wingdings" w:hAnsi="Wingdings" w:hint="default"/>
      </w:rPr>
    </w:lvl>
    <w:lvl w:ilvl="8" w:tplc="4342AAAC">
      <w:start w:val="1"/>
      <w:numFmt w:val="bullet"/>
      <w:lvlText w:val=""/>
      <w:lvlJc w:val="left"/>
      <w:pPr>
        <w:tabs>
          <w:tab w:val="num" w:pos="5760"/>
        </w:tabs>
        <w:ind w:left="6120" w:hanging="360"/>
      </w:pPr>
      <w:rPr>
        <w:rFonts w:ascii="Wingdings" w:hAnsi="Wingdings" w:hint="default"/>
      </w:rPr>
    </w:lvl>
  </w:abstractNum>
  <w:abstractNum w:abstractNumId="14" w15:restartNumberingAfterBreak="0">
    <w:nsid w:val="79755DA0"/>
    <w:multiLevelType w:val="hybridMultilevel"/>
    <w:tmpl w:val="20608106"/>
    <w:lvl w:ilvl="0" w:tplc="25522054">
      <w:start w:val="1"/>
      <w:numFmt w:val="decimal"/>
      <w:lvlText w:val="%1."/>
      <w:lvlJc w:val="left"/>
      <w:pPr>
        <w:tabs>
          <w:tab w:val="num" w:pos="720"/>
        </w:tabs>
        <w:ind w:left="720" w:hanging="360"/>
      </w:pPr>
    </w:lvl>
    <w:lvl w:ilvl="1" w:tplc="883E1868">
      <w:start w:val="1"/>
      <w:numFmt w:val="bullet"/>
      <w:lvlText w:val="o"/>
      <w:lvlJc w:val="left"/>
      <w:pPr>
        <w:ind w:left="1440" w:hanging="360"/>
      </w:pPr>
      <w:rPr>
        <w:rFonts w:ascii="Courier New" w:eastAsia="Courier New" w:hAnsi="Courier New" w:cs="Courier New" w:hint="default"/>
      </w:rPr>
    </w:lvl>
    <w:lvl w:ilvl="2" w:tplc="A3FC968C">
      <w:start w:val="1"/>
      <w:numFmt w:val="bullet"/>
      <w:lvlText w:val="§"/>
      <w:lvlJc w:val="left"/>
      <w:pPr>
        <w:ind w:left="2160" w:hanging="360"/>
      </w:pPr>
      <w:rPr>
        <w:rFonts w:ascii="Wingdings" w:eastAsia="Wingdings" w:hAnsi="Wingdings" w:cs="Wingdings" w:hint="default"/>
      </w:rPr>
    </w:lvl>
    <w:lvl w:ilvl="3" w:tplc="F84872E6">
      <w:start w:val="1"/>
      <w:numFmt w:val="bullet"/>
      <w:lvlText w:val="·"/>
      <w:lvlJc w:val="left"/>
      <w:pPr>
        <w:ind w:left="2880" w:hanging="360"/>
      </w:pPr>
      <w:rPr>
        <w:rFonts w:ascii="Symbol" w:eastAsia="Symbol" w:hAnsi="Symbol" w:cs="Symbol" w:hint="default"/>
      </w:rPr>
    </w:lvl>
    <w:lvl w:ilvl="4" w:tplc="4648A356">
      <w:start w:val="1"/>
      <w:numFmt w:val="bullet"/>
      <w:lvlText w:val="o"/>
      <w:lvlJc w:val="left"/>
      <w:pPr>
        <w:ind w:left="3600" w:hanging="360"/>
      </w:pPr>
      <w:rPr>
        <w:rFonts w:ascii="Courier New" w:eastAsia="Courier New" w:hAnsi="Courier New" w:cs="Courier New" w:hint="default"/>
      </w:rPr>
    </w:lvl>
    <w:lvl w:ilvl="5" w:tplc="846A3ECE">
      <w:start w:val="1"/>
      <w:numFmt w:val="bullet"/>
      <w:lvlText w:val="§"/>
      <w:lvlJc w:val="left"/>
      <w:pPr>
        <w:ind w:left="4320" w:hanging="360"/>
      </w:pPr>
      <w:rPr>
        <w:rFonts w:ascii="Wingdings" w:eastAsia="Wingdings" w:hAnsi="Wingdings" w:cs="Wingdings" w:hint="default"/>
      </w:rPr>
    </w:lvl>
    <w:lvl w:ilvl="6" w:tplc="BF5CE0FC">
      <w:start w:val="1"/>
      <w:numFmt w:val="bullet"/>
      <w:lvlText w:val="·"/>
      <w:lvlJc w:val="left"/>
      <w:pPr>
        <w:ind w:left="5040" w:hanging="360"/>
      </w:pPr>
      <w:rPr>
        <w:rFonts w:ascii="Symbol" w:eastAsia="Symbol" w:hAnsi="Symbol" w:cs="Symbol" w:hint="default"/>
      </w:rPr>
    </w:lvl>
    <w:lvl w:ilvl="7" w:tplc="DA5C8A38">
      <w:start w:val="1"/>
      <w:numFmt w:val="bullet"/>
      <w:lvlText w:val="o"/>
      <w:lvlJc w:val="left"/>
      <w:pPr>
        <w:ind w:left="5760" w:hanging="360"/>
      </w:pPr>
      <w:rPr>
        <w:rFonts w:ascii="Courier New" w:eastAsia="Courier New" w:hAnsi="Courier New" w:cs="Courier New" w:hint="default"/>
      </w:rPr>
    </w:lvl>
    <w:lvl w:ilvl="8" w:tplc="10747B4E">
      <w:start w:val="1"/>
      <w:numFmt w:val="bullet"/>
      <w:lvlText w:val="§"/>
      <w:lvlJc w:val="left"/>
      <w:pPr>
        <w:ind w:left="6480" w:hanging="360"/>
      </w:pPr>
      <w:rPr>
        <w:rFonts w:ascii="Wingdings" w:eastAsia="Wingdings" w:hAnsi="Wingdings" w:cs="Wingdings" w:hint="default"/>
      </w:rPr>
    </w:lvl>
  </w:abstractNum>
  <w:abstractNum w:abstractNumId="15" w15:restartNumberingAfterBreak="0">
    <w:nsid w:val="7B460DE5"/>
    <w:multiLevelType w:val="hybridMultilevel"/>
    <w:tmpl w:val="67CEA91A"/>
    <w:lvl w:ilvl="0" w:tplc="F5A20AB2">
      <w:start w:val="1"/>
      <w:numFmt w:val="bullet"/>
      <w:lvlText w:val=""/>
      <w:lvlJc w:val="left"/>
      <w:pPr>
        <w:tabs>
          <w:tab w:val="num" w:pos="1800"/>
        </w:tabs>
        <w:ind w:left="1800" w:hanging="360"/>
      </w:pPr>
      <w:rPr>
        <w:rFonts w:ascii="Symbol" w:hAnsi="Symbol" w:hint="default"/>
      </w:rPr>
    </w:lvl>
    <w:lvl w:ilvl="1" w:tplc="947CF510">
      <w:start w:val="1"/>
      <w:numFmt w:val="bullet"/>
      <w:lvlText w:val="o"/>
      <w:lvlJc w:val="left"/>
      <w:pPr>
        <w:ind w:left="1440" w:hanging="360"/>
      </w:pPr>
      <w:rPr>
        <w:rFonts w:ascii="Courier New" w:eastAsia="Courier New" w:hAnsi="Courier New" w:cs="Courier New" w:hint="default"/>
      </w:rPr>
    </w:lvl>
    <w:lvl w:ilvl="2" w:tplc="1902D810">
      <w:start w:val="1"/>
      <w:numFmt w:val="bullet"/>
      <w:lvlText w:val="§"/>
      <w:lvlJc w:val="left"/>
      <w:pPr>
        <w:ind w:left="2160" w:hanging="360"/>
      </w:pPr>
      <w:rPr>
        <w:rFonts w:ascii="Wingdings" w:eastAsia="Wingdings" w:hAnsi="Wingdings" w:cs="Wingdings" w:hint="default"/>
      </w:rPr>
    </w:lvl>
    <w:lvl w:ilvl="3" w:tplc="70A0119C">
      <w:start w:val="1"/>
      <w:numFmt w:val="bullet"/>
      <w:lvlText w:val="·"/>
      <w:lvlJc w:val="left"/>
      <w:pPr>
        <w:ind w:left="2880" w:hanging="360"/>
      </w:pPr>
      <w:rPr>
        <w:rFonts w:ascii="Symbol" w:eastAsia="Symbol" w:hAnsi="Symbol" w:cs="Symbol" w:hint="default"/>
      </w:rPr>
    </w:lvl>
    <w:lvl w:ilvl="4" w:tplc="0FC2FFA0">
      <w:start w:val="1"/>
      <w:numFmt w:val="bullet"/>
      <w:lvlText w:val="o"/>
      <w:lvlJc w:val="left"/>
      <w:pPr>
        <w:ind w:left="3600" w:hanging="360"/>
      </w:pPr>
      <w:rPr>
        <w:rFonts w:ascii="Courier New" w:eastAsia="Courier New" w:hAnsi="Courier New" w:cs="Courier New" w:hint="default"/>
      </w:rPr>
    </w:lvl>
    <w:lvl w:ilvl="5" w:tplc="53D80C26">
      <w:start w:val="1"/>
      <w:numFmt w:val="bullet"/>
      <w:lvlText w:val="§"/>
      <w:lvlJc w:val="left"/>
      <w:pPr>
        <w:ind w:left="4320" w:hanging="360"/>
      </w:pPr>
      <w:rPr>
        <w:rFonts w:ascii="Wingdings" w:eastAsia="Wingdings" w:hAnsi="Wingdings" w:cs="Wingdings" w:hint="default"/>
      </w:rPr>
    </w:lvl>
    <w:lvl w:ilvl="6" w:tplc="4CACE54A">
      <w:start w:val="1"/>
      <w:numFmt w:val="bullet"/>
      <w:lvlText w:val="·"/>
      <w:lvlJc w:val="left"/>
      <w:pPr>
        <w:ind w:left="5040" w:hanging="360"/>
      </w:pPr>
      <w:rPr>
        <w:rFonts w:ascii="Symbol" w:eastAsia="Symbol" w:hAnsi="Symbol" w:cs="Symbol" w:hint="default"/>
      </w:rPr>
    </w:lvl>
    <w:lvl w:ilvl="7" w:tplc="ECE0FA18">
      <w:start w:val="1"/>
      <w:numFmt w:val="bullet"/>
      <w:lvlText w:val="o"/>
      <w:lvlJc w:val="left"/>
      <w:pPr>
        <w:ind w:left="5760" w:hanging="360"/>
      </w:pPr>
      <w:rPr>
        <w:rFonts w:ascii="Courier New" w:eastAsia="Courier New" w:hAnsi="Courier New" w:cs="Courier New" w:hint="default"/>
      </w:rPr>
    </w:lvl>
    <w:lvl w:ilvl="8" w:tplc="F0C07ABA">
      <w:start w:val="1"/>
      <w:numFmt w:val="bullet"/>
      <w:lvlText w:val="§"/>
      <w:lvlJc w:val="left"/>
      <w:pPr>
        <w:ind w:left="6480" w:hanging="360"/>
      </w:pPr>
      <w:rPr>
        <w:rFonts w:ascii="Wingdings" w:eastAsia="Wingdings" w:hAnsi="Wingdings" w:cs="Wingdings" w:hint="default"/>
      </w:rPr>
    </w:lvl>
  </w:abstractNum>
  <w:abstractNum w:abstractNumId="16" w15:restartNumberingAfterBreak="0">
    <w:nsid w:val="7DB908F2"/>
    <w:multiLevelType w:val="hybridMultilevel"/>
    <w:tmpl w:val="D79C1460"/>
    <w:lvl w:ilvl="0" w:tplc="F2AC69FC">
      <w:start w:val="1"/>
      <w:numFmt w:val="decimal"/>
      <w:lvlText w:val="%1."/>
      <w:lvlJc w:val="left"/>
      <w:pPr>
        <w:tabs>
          <w:tab w:val="num" w:pos="1800"/>
        </w:tabs>
        <w:ind w:left="1800" w:hanging="360"/>
      </w:pPr>
    </w:lvl>
    <w:lvl w:ilvl="1" w:tplc="70923108">
      <w:start w:val="1"/>
      <w:numFmt w:val="decimal"/>
      <w:lvlText w:val=""/>
      <w:lvlJc w:val="left"/>
    </w:lvl>
    <w:lvl w:ilvl="2" w:tplc="580EAD52">
      <w:start w:val="1"/>
      <w:numFmt w:val="decimal"/>
      <w:lvlText w:val=""/>
      <w:lvlJc w:val="left"/>
    </w:lvl>
    <w:lvl w:ilvl="3" w:tplc="B33C890C">
      <w:start w:val="1"/>
      <w:numFmt w:val="decimal"/>
      <w:lvlText w:val=""/>
      <w:lvlJc w:val="left"/>
    </w:lvl>
    <w:lvl w:ilvl="4" w:tplc="0FF4849C">
      <w:start w:val="1"/>
      <w:numFmt w:val="decimal"/>
      <w:lvlText w:val=""/>
      <w:lvlJc w:val="left"/>
    </w:lvl>
    <w:lvl w:ilvl="5" w:tplc="BE067856">
      <w:start w:val="1"/>
      <w:numFmt w:val="decimal"/>
      <w:lvlText w:val=""/>
      <w:lvlJc w:val="left"/>
    </w:lvl>
    <w:lvl w:ilvl="6" w:tplc="0964978E">
      <w:start w:val="1"/>
      <w:numFmt w:val="decimal"/>
      <w:lvlText w:val=""/>
      <w:lvlJc w:val="left"/>
    </w:lvl>
    <w:lvl w:ilvl="7" w:tplc="8C4E381C">
      <w:start w:val="1"/>
      <w:numFmt w:val="decimal"/>
      <w:lvlText w:val=""/>
      <w:lvlJc w:val="left"/>
    </w:lvl>
    <w:lvl w:ilvl="8" w:tplc="FEC445FA">
      <w:start w:val="1"/>
      <w:numFmt w:val="decimal"/>
      <w:lvlText w:val=""/>
      <w:lvlJc w:val="left"/>
    </w:lvl>
  </w:abstractNum>
  <w:num w:numId="1" w16cid:durableId="809399838">
    <w:abstractNumId w:val="1"/>
  </w:num>
  <w:num w:numId="2" w16cid:durableId="176119788">
    <w:abstractNumId w:val="3"/>
  </w:num>
  <w:num w:numId="3" w16cid:durableId="105389490">
    <w:abstractNumId w:val="7"/>
  </w:num>
  <w:num w:numId="4" w16cid:durableId="415980620">
    <w:abstractNumId w:val="8"/>
  </w:num>
  <w:num w:numId="5" w16cid:durableId="2107458388">
    <w:abstractNumId w:val="10"/>
  </w:num>
  <w:num w:numId="6" w16cid:durableId="1063331677">
    <w:abstractNumId w:val="15"/>
  </w:num>
  <w:num w:numId="7" w16cid:durableId="1256476027">
    <w:abstractNumId w:val="4"/>
  </w:num>
  <w:num w:numId="8" w16cid:durableId="1605773067">
    <w:abstractNumId w:val="14"/>
  </w:num>
  <w:num w:numId="9" w16cid:durableId="895511927">
    <w:abstractNumId w:val="5"/>
  </w:num>
  <w:num w:numId="10" w16cid:durableId="2004315267">
    <w:abstractNumId w:val="0"/>
  </w:num>
  <w:num w:numId="11" w16cid:durableId="1509561615">
    <w:abstractNumId w:val="16"/>
  </w:num>
  <w:num w:numId="12" w16cid:durableId="960957484">
    <w:abstractNumId w:val="6"/>
  </w:num>
  <w:num w:numId="13" w16cid:durableId="1241522153">
    <w:abstractNumId w:val="9"/>
  </w:num>
  <w:num w:numId="14" w16cid:durableId="278069780">
    <w:abstractNumId w:val="12"/>
  </w:num>
  <w:num w:numId="15" w16cid:durableId="869607377">
    <w:abstractNumId w:val="11"/>
  </w:num>
  <w:num w:numId="16" w16cid:durableId="959844531">
    <w:abstractNumId w:val="13"/>
  </w:num>
  <w:num w:numId="17" w16cid:durableId="20041162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5F0"/>
    <w:rsid w:val="0000114E"/>
    <w:rsid w:val="00007AAF"/>
    <w:rsid w:val="00023D27"/>
    <w:rsid w:val="000305C1"/>
    <w:rsid w:val="000320D8"/>
    <w:rsid w:val="000467C8"/>
    <w:rsid w:val="000B5231"/>
    <w:rsid w:val="00107CA7"/>
    <w:rsid w:val="0011113B"/>
    <w:rsid w:val="00140F76"/>
    <w:rsid w:val="0015564A"/>
    <w:rsid w:val="00156F78"/>
    <w:rsid w:val="00173591"/>
    <w:rsid w:val="0018390B"/>
    <w:rsid w:val="001A37E2"/>
    <w:rsid w:val="001A39E1"/>
    <w:rsid w:val="001D5C2C"/>
    <w:rsid w:val="001E255C"/>
    <w:rsid w:val="001F2E8F"/>
    <w:rsid w:val="001F4C3D"/>
    <w:rsid w:val="001F6FD7"/>
    <w:rsid w:val="00206E57"/>
    <w:rsid w:val="002302FD"/>
    <w:rsid w:val="0023170F"/>
    <w:rsid w:val="00241FE7"/>
    <w:rsid w:val="00257EA4"/>
    <w:rsid w:val="00281B51"/>
    <w:rsid w:val="002907C1"/>
    <w:rsid w:val="002A6CE3"/>
    <w:rsid w:val="002B0C95"/>
    <w:rsid w:val="002B157A"/>
    <w:rsid w:val="002B7989"/>
    <w:rsid w:val="002D4A1B"/>
    <w:rsid w:val="002D5720"/>
    <w:rsid w:val="00303686"/>
    <w:rsid w:val="00332FBD"/>
    <w:rsid w:val="00333425"/>
    <w:rsid w:val="003752CA"/>
    <w:rsid w:val="0037618D"/>
    <w:rsid w:val="00376522"/>
    <w:rsid w:val="00377D90"/>
    <w:rsid w:val="003822F9"/>
    <w:rsid w:val="003A29C2"/>
    <w:rsid w:val="003C1037"/>
    <w:rsid w:val="003C468D"/>
    <w:rsid w:val="003C7307"/>
    <w:rsid w:val="003C7F7A"/>
    <w:rsid w:val="003F777A"/>
    <w:rsid w:val="00405707"/>
    <w:rsid w:val="00424148"/>
    <w:rsid w:val="00426FA9"/>
    <w:rsid w:val="004336C2"/>
    <w:rsid w:val="0045434E"/>
    <w:rsid w:val="00455A9F"/>
    <w:rsid w:val="00485696"/>
    <w:rsid w:val="00490EFD"/>
    <w:rsid w:val="00492B43"/>
    <w:rsid w:val="00493C21"/>
    <w:rsid w:val="00497E50"/>
    <w:rsid w:val="004A00BD"/>
    <w:rsid w:val="004A6A42"/>
    <w:rsid w:val="004B712D"/>
    <w:rsid w:val="004C6236"/>
    <w:rsid w:val="004D3730"/>
    <w:rsid w:val="004D6973"/>
    <w:rsid w:val="004F6223"/>
    <w:rsid w:val="00500A3F"/>
    <w:rsid w:val="00501B36"/>
    <w:rsid w:val="00515E04"/>
    <w:rsid w:val="005160D8"/>
    <w:rsid w:val="00523ECE"/>
    <w:rsid w:val="005268EC"/>
    <w:rsid w:val="005335F0"/>
    <w:rsid w:val="00545AF6"/>
    <w:rsid w:val="00546C8D"/>
    <w:rsid w:val="00553400"/>
    <w:rsid w:val="0058085E"/>
    <w:rsid w:val="005813B0"/>
    <w:rsid w:val="0059475B"/>
    <w:rsid w:val="005A030E"/>
    <w:rsid w:val="005B2834"/>
    <w:rsid w:val="005C6AAD"/>
    <w:rsid w:val="005D2287"/>
    <w:rsid w:val="005E0957"/>
    <w:rsid w:val="005E2876"/>
    <w:rsid w:val="005E4ED4"/>
    <w:rsid w:val="00602317"/>
    <w:rsid w:val="00602E66"/>
    <w:rsid w:val="0060500B"/>
    <w:rsid w:val="00620D58"/>
    <w:rsid w:val="0062283D"/>
    <w:rsid w:val="00622E18"/>
    <w:rsid w:val="00640450"/>
    <w:rsid w:val="00642727"/>
    <w:rsid w:val="006729B4"/>
    <w:rsid w:val="00684E69"/>
    <w:rsid w:val="0068673B"/>
    <w:rsid w:val="00690BDF"/>
    <w:rsid w:val="00694717"/>
    <w:rsid w:val="006B5485"/>
    <w:rsid w:val="006E3A4A"/>
    <w:rsid w:val="006F3040"/>
    <w:rsid w:val="006F4BE3"/>
    <w:rsid w:val="00704493"/>
    <w:rsid w:val="00714AD9"/>
    <w:rsid w:val="007163C6"/>
    <w:rsid w:val="00716EE8"/>
    <w:rsid w:val="00720686"/>
    <w:rsid w:val="00734C58"/>
    <w:rsid w:val="007412CA"/>
    <w:rsid w:val="00743339"/>
    <w:rsid w:val="00747FD7"/>
    <w:rsid w:val="00753200"/>
    <w:rsid w:val="00755A8D"/>
    <w:rsid w:val="007756F6"/>
    <w:rsid w:val="007861D6"/>
    <w:rsid w:val="00792A24"/>
    <w:rsid w:val="00793416"/>
    <w:rsid w:val="007945CA"/>
    <w:rsid w:val="007A368B"/>
    <w:rsid w:val="007B1879"/>
    <w:rsid w:val="007B3F77"/>
    <w:rsid w:val="007E25DF"/>
    <w:rsid w:val="007F58F2"/>
    <w:rsid w:val="00806E2D"/>
    <w:rsid w:val="00816C2D"/>
    <w:rsid w:val="00825803"/>
    <w:rsid w:val="00830101"/>
    <w:rsid w:val="00836413"/>
    <w:rsid w:val="00855F74"/>
    <w:rsid w:val="008604AE"/>
    <w:rsid w:val="00881984"/>
    <w:rsid w:val="0089374B"/>
    <w:rsid w:val="00895D8F"/>
    <w:rsid w:val="008B2712"/>
    <w:rsid w:val="008B7BD4"/>
    <w:rsid w:val="008C05DE"/>
    <w:rsid w:val="008C1A5B"/>
    <w:rsid w:val="008D5EB5"/>
    <w:rsid w:val="008E1380"/>
    <w:rsid w:val="008E3DA4"/>
    <w:rsid w:val="008F5E02"/>
    <w:rsid w:val="00900BFB"/>
    <w:rsid w:val="00903327"/>
    <w:rsid w:val="009045F5"/>
    <w:rsid w:val="00912B54"/>
    <w:rsid w:val="00914F8B"/>
    <w:rsid w:val="00917959"/>
    <w:rsid w:val="00923F5B"/>
    <w:rsid w:val="00935EAE"/>
    <w:rsid w:val="009540E1"/>
    <w:rsid w:val="00956F45"/>
    <w:rsid w:val="00966032"/>
    <w:rsid w:val="00984B7F"/>
    <w:rsid w:val="00987DF2"/>
    <w:rsid w:val="009B2EE8"/>
    <w:rsid w:val="009B6F81"/>
    <w:rsid w:val="009C5700"/>
    <w:rsid w:val="009D4A17"/>
    <w:rsid w:val="009F53F9"/>
    <w:rsid w:val="00A0798D"/>
    <w:rsid w:val="00A12D86"/>
    <w:rsid w:val="00A170BE"/>
    <w:rsid w:val="00A22F1A"/>
    <w:rsid w:val="00A2751A"/>
    <w:rsid w:val="00A36158"/>
    <w:rsid w:val="00A36B2B"/>
    <w:rsid w:val="00A41044"/>
    <w:rsid w:val="00A46770"/>
    <w:rsid w:val="00A56DD4"/>
    <w:rsid w:val="00A655AA"/>
    <w:rsid w:val="00A65816"/>
    <w:rsid w:val="00A75511"/>
    <w:rsid w:val="00A846CD"/>
    <w:rsid w:val="00A90FE5"/>
    <w:rsid w:val="00AA2DFE"/>
    <w:rsid w:val="00AC270F"/>
    <w:rsid w:val="00AC32E7"/>
    <w:rsid w:val="00AD5485"/>
    <w:rsid w:val="00AE2553"/>
    <w:rsid w:val="00AE405A"/>
    <w:rsid w:val="00AE6078"/>
    <w:rsid w:val="00AF05BE"/>
    <w:rsid w:val="00AF172D"/>
    <w:rsid w:val="00AF3026"/>
    <w:rsid w:val="00B0380B"/>
    <w:rsid w:val="00B06351"/>
    <w:rsid w:val="00B11AD4"/>
    <w:rsid w:val="00B22866"/>
    <w:rsid w:val="00B2598B"/>
    <w:rsid w:val="00B316F4"/>
    <w:rsid w:val="00B34080"/>
    <w:rsid w:val="00B507EB"/>
    <w:rsid w:val="00B50BBC"/>
    <w:rsid w:val="00B72909"/>
    <w:rsid w:val="00B92014"/>
    <w:rsid w:val="00BA0622"/>
    <w:rsid w:val="00BB64CD"/>
    <w:rsid w:val="00BB75AB"/>
    <w:rsid w:val="00C132A9"/>
    <w:rsid w:val="00C14271"/>
    <w:rsid w:val="00C17289"/>
    <w:rsid w:val="00C212B8"/>
    <w:rsid w:val="00C50327"/>
    <w:rsid w:val="00C5300E"/>
    <w:rsid w:val="00C56E2A"/>
    <w:rsid w:val="00C71A8F"/>
    <w:rsid w:val="00C84711"/>
    <w:rsid w:val="00C849E0"/>
    <w:rsid w:val="00C8673C"/>
    <w:rsid w:val="00CA6EFE"/>
    <w:rsid w:val="00CA7C3F"/>
    <w:rsid w:val="00CC2A39"/>
    <w:rsid w:val="00CC514D"/>
    <w:rsid w:val="00CD2F45"/>
    <w:rsid w:val="00CD3DCA"/>
    <w:rsid w:val="00CE7C7A"/>
    <w:rsid w:val="00D117FC"/>
    <w:rsid w:val="00D12AB0"/>
    <w:rsid w:val="00D16CF2"/>
    <w:rsid w:val="00D2447F"/>
    <w:rsid w:val="00D336ED"/>
    <w:rsid w:val="00D525E7"/>
    <w:rsid w:val="00D66AD6"/>
    <w:rsid w:val="00D7037F"/>
    <w:rsid w:val="00DA0F6B"/>
    <w:rsid w:val="00DA78B8"/>
    <w:rsid w:val="00DB6988"/>
    <w:rsid w:val="00DC324E"/>
    <w:rsid w:val="00DC3749"/>
    <w:rsid w:val="00DC71E0"/>
    <w:rsid w:val="00DC72E5"/>
    <w:rsid w:val="00DC7CDF"/>
    <w:rsid w:val="00DE3837"/>
    <w:rsid w:val="00DE4197"/>
    <w:rsid w:val="00DE7C66"/>
    <w:rsid w:val="00DF18AA"/>
    <w:rsid w:val="00E01734"/>
    <w:rsid w:val="00E52D1D"/>
    <w:rsid w:val="00E67D1B"/>
    <w:rsid w:val="00E7125D"/>
    <w:rsid w:val="00E7277C"/>
    <w:rsid w:val="00E73623"/>
    <w:rsid w:val="00E859CF"/>
    <w:rsid w:val="00EA3FA3"/>
    <w:rsid w:val="00EB6202"/>
    <w:rsid w:val="00EB7213"/>
    <w:rsid w:val="00EC6DA2"/>
    <w:rsid w:val="00ED3253"/>
    <w:rsid w:val="00ED3BCA"/>
    <w:rsid w:val="00ED3E75"/>
    <w:rsid w:val="00EF7F5B"/>
    <w:rsid w:val="00F07370"/>
    <w:rsid w:val="00F20A43"/>
    <w:rsid w:val="00F263A9"/>
    <w:rsid w:val="00F45696"/>
    <w:rsid w:val="00F54A83"/>
    <w:rsid w:val="00F5695D"/>
    <w:rsid w:val="00F6385C"/>
    <w:rsid w:val="00F7201D"/>
    <w:rsid w:val="00F959F5"/>
    <w:rsid w:val="00FB37F3"/>
    <w:rsid w:val="00FC5AF4"/>
    <w:rsid w:val="00FF44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7A4214"/>
  <w15:chartTrackingRefBased/>
  <w15:docId w15:val="{1D2CE369-FCA5-4B33-ADA2-A2A08A339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59"/>
    <w:lsdException w:name="Grid Table 4" w:uiPriority="59"/>
    <w:lsdException w:name="Grid Table 4 Accent 1" w:uiPriority="59"/>
    <w:lsdException w:name="Grid Table 5 Dark Accent 1" w:uiPriority="50"/>
    <w:lsdException w:name="Grid Table 4 Accent 2" w:uiPriority="59"/>
    <w:lsdException w:name="Grid Table 4 Accent 3" w:uiPriority="59"/>
    <w:lsdException w:name="Grid Table 4 Accent 4" w:uiPriority="59"/>
    <w:lsdException w:name="Grid Table 5 Dark Accent 4" w:uiPriority="50"/>
    <w:lsdException w:name="Grid Table 4 Accent 5" w:uiPriority="59"/>
    <w:lsdException w:name="Grid Table 4 Accent 6" w:uiPriority="59"/>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35F0"/>
    <w:pPr>
      <w:spacing w:after="0" w:line="240" w:lineRule="auto"/>
    </w:pPr>
    <w:rPr>
      <w:rFonts w:ascii="Times New Roman" w:eastAsia="Calibri" w:hAnsi="Times New Roman" w:cs="Times New Roman"/>
      <w:sz w:val="20"/>
      <w:szCs w:val="20"/>
      <w:lang w:val="en-US"/>
    </w:rPr>
  </w:style>
  <w:style w:type="paragraph" w:styleId="Heading1">
    <w:name w:val="heading 1"/>
    <w:basedOn w:val="Normal"/>
    <w:next w:val="Normal"/>
    <w:link w:val="Heading1Char"/>
    <w:uiPriority w:val="9"/>
    <w:qFormat/>
    <w:rsid w:val="005335F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335F0"/>
    <w:pPr>
      <w:keepNext/>
      <w:keepLines/>
      <w:spacing w:before="360" w:after="200"/>
      <w:outlineLvl w:val="1"/>
    </w:pPr>
    <w:rPr>
      <w:rFonts w:ascii="Arial" w:eastAsia="Arial" w:hAnsi="Arial" w:cs="Arial"/>
      <w:sz w:val="34"/>
    </w:rPr>
  </w:style>
  <w:style w:type="paragraph" w:styleId="Heading3">
    <w:name w:val="heading 3"/>
    <w:basedOn w:val="Normal"/>
    <w:next w:val="Normal"/>
    <w:link w:val="Heading3Char"/>
    <w:uiPriority w:val="9"/>
    <w:unhideWhenUsed/>
    <w:qFormat/>
    <w:rsid w:val="005335F0"/>
    <w:pPr>
      <w:keepNext/>
      <w:keepLines/>
      <w:spacing w:before="320" w:after="200"/>
      <w:outlineLvl w:val="2"/>
    </w:pPr>
    <w:rPr>
      <w:rFonts w:ascii="Arial" w:eastAsia="Arial" w:hAnsi="Arial" w:cs="Arial"/>
      <w:sz w:val="30"/>
      <w:szCs w:val="30"/>
    </w:rPr>
  </w:style>
  <w:style w:type="paragraph" w:styleId="Heading4">
    <w:name w:val="heading 4"/>
    <w:basedOn w:val="Normal"/>
    <w:next w:val="Normal"/>
    <w:link w:val="Heading4Char"/>
    <w:uiPriority w:val="9"/>
    <w:unhideWhenUsed/>
    <w:qFormat/>
    <w:rsid w:val="005335F0"/>
    <w:pPr>
      <w:keepNext/>
      <w:keepLines/>
      <w:spacing w:before="320" w:after="20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rsid w:val="005335F0"/>
    <w:pPr>
      <w:keepNext/>
      <w:keepLines/>
      <w:spacing w:before="320" w:after="200"/>
      <w:outlineLvl w:val="4"/>
    </w:pPr>
    <w:rPr>
      <w:rFonts w:ascii="Arial" w:eastAsia="Arial" w:hAnsi="Arial" w:cs="Arial"/>
      <w:b/>
      <w:bCs/>
      <w:sz w:val="24"/>
      <w:szCs w:val="24"/>
    </w:rPr>
  </w:style>
  <w:style w:type="paragraph" w:styleId="Heading6">
    <w:name w:val="heading 6"/>
    <w:basedOn w:val="Normal"/>
    <w:next w:val="Normal"/>
    <w:link w:val="Heading6Char"/>
    <w:uiPriority w:val="9"/>
    <w:unhideWhenUsed/>
    <w:qFormat/>
    <w:rsid w:val="005335F0"/>
    <w:pPr>
      <w:keepNext/>
      <w:keepLines/>
      <w:spacing w:before="320" w:after="200"/>
      <w:outlineLvl w:val="5"/>
    </w:pPr>
    <w:rPr>
      <w:rFonts w:ascii="Arial" w:eastAsia="Arial" w:hAnsi="Arial" w:cs="Arial"/>
      <w:b/>
      <w:bCs/>
      <w:sz w:val="22"/>
      <w:szCs w:val="22"/>
    </w:rPr>
  </w:style>
  <w:style w:type="paragraph" w:styleId="Heading7">
    <w:name w:val="heading 7"/>
    <w:basedOn w:val="Normal"/>
    <w:next w:val="Normal"/>
    <w:link w:val="Heading7Char"/>
    <w:uiPriority w:val="9"/>
    <w:unhideWhenUsed/>
    <w:qFormat/>
    <w:rsid w:val="005335F0"/>
    <w:pPr>
      <w:keepNext/>
      <w:keepLines/>
      <w:spacing w:before="320" w:after="200"/>
      <w:outlineLvl w:val="6"/>
    </w:pPr>
    <w:rPr>
      <w:rFonts w:ascii="Arial" w:eastAsia="Arial" w:hAnsi="Arial" w:cs="Arial"/>
      <w:b/>
      <w:bCs/>
      <w:i/>
      <w:iCs/>
      <w:sz w:val="22"/>
      <w:szCs w:val="22"/>
    </w:rPr>
  </w:style>
  <w:style w:type="paragraph" w:styleId="Heading8">
    <w:name w:val="heading 8"/>
    <w:basedOn w:val="Normal"/>
    <w:next w:val="Normal"/>
    <w:link w:val="Heading8Char"/>
    <w:uiPriority w:val="9"/>
    <w:unhideWhenUsed/>
    <w:qFormat/>
    <w:rsid w:val="005335F0"/>
    <w:pPr>
      <w:keepNext/>
      <w:keepLines/>
      <w:spacing w:before="320" w:after="200"/>
      <w:outlineLvl w:val="7"/>
    </w:pPr>
    <w:rPr>
      <w:rFonts w:ascii="Arial" w:eastAsia="Arial" w:hAnsi="Arial" w:cs="Arial"/>
      <w:i/>
      <w:iCs/>
      <w:sz w:val="22"/>
      <w:szCs w:val="22"/>
    </w:rPr>
  </w:style>
  <w:style w:type="paragraph" w:styleId="Heading9">
    <w:name w:val="heading 9"/>
    <w:basedOn w:val="Normal"/>
    <w:next w:val="Normal"/>
    <w:link w:val="Heading9Char"/>
    <w:uiPriority w:val="9"/>
    <w:unhideWhenUsed/>
    <w:qFormat/>
    <w:rsid w:val="005335F0"/>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35F0"/>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rsid w:val="005335F0"/>
    <w:rPr>
      <w:rFonts w:ascii="Arial" w:eastAsia="Arial" w:hAnsi="Arial" w:cs="Arial"/>
      <w:sz w:val="34"/>
      <w:szCs w:val="20"/>
      <w:lang w:val="en-US"/>
    </w:rPr>
  </w:style>
  <w:style w:type="character" w:customStyle="1" w:styleId="Heading3Char">
    <w:name w:val="Heading 3 Char"/>
    <w:basedOn w:val="DefaultParagraphFont"/>
    <w:link w:val="Heading3"/>
    <w:uiPriority w:val="9"/>
    <w:rsid w:val="005335F0"/>
    <w:rPr>
      <w:rFonts w:ascii="Arial" w:eastAsia="Arial" w:hAnsi="Arial" w:cs="Arial"/>
      <w:sz w:val="30"/>
      <w:szCs w:val="30"/>
      <w:lang w:val="en-US"/>
    </w:rPr>
  </w:style>
  <w:style w:type="character" w:customStyle="1" w:styleId="Heading4Char">
    <w:name w:val="Heading 4 Char"/>
    <w:basedOn w:val="DefaultParagraphFont"/>
    <w:link w:val="Heading4"/>
    <w:uiPriority w:val="9"/>
    <w:rsid w:val="005335F0"/>
    <w:rPr>
      <w:rFonts w:ascii="Arial" w:eastAsia="Arial" w:hAnsi="Arial" w:cs="Arial"/>
      <w:b/>
      <w:bCs/>
      <w:sz w:val="26"/>
      <w:szCs w:val="26"/>
      <w:lang w:val="en-US"/>
    </w:rPr>
  </w:style>
  <w:style w:type="character" w:customStyle="1" w:styleId="Heading5Char">
    <w:name w:val="Heading 5 Char"/>
    <w:basedOn w:val="DefaultParagraphFont"/>
    <w:link w:val="Heading5"/>
    <w:uiPriority w:val="9"/>
    <w:rsid w:val="005335F0"/>
    <w:rPr>
      <w:rFonts w:ascii="Arial" w:eastAsia="Arial" w:hAnsi="Arial" w:cs="Arial"/>
      <w:b/>
      <w:bCs/>
      <w:sz w:val="24"/>
      <w:szCs w:val="24"/>
      <w:lang w:val="en-US"/>
    </w:rPr>
  </w:style>
  <w:style w:type="character" w:customStyle="1" w:styleId="Heading6Char">
    <w:name w:val="Heading 6 Char"/>
    <w:basedOn w:val="DefaultParagraphFont"/>
    <w:link w:val="Heading6"/>
    <w:uiPriority w:val="9"/>
    <w:rsid w:val="005335F0"/>
    <w:rPr>
      <w:rFonts w:ascii="Arial" w:eastAsia="Arial" w:hAnsi="Arial" w:cs="Arial"/>
      <w:b/>
      <w:bCs/>
      <w:lang w:val="en-US"/>
    </w:rPr>
  </w:style>
  <w:style w:type="character" w:customStyle="1" w:styleId="Heading7Char">
    <w:name w:val="Heading 7 Char"/>
    <w:basedOn w:val="DefaultParagraphFont"/>
    <w:link w:val="Heading7"/>
    <w:uiPriority w:val="9"/>
    <w:rsid w:val="005335F0"/>
    <w:rPr>
      <w:rFonts w:ascii="Arial" w:eastAsia="Arial" w:hAnsi="Arial" w:cs="Arial"/>
      <w:b/>
      <w:bCs/>
      <w:i/>
      <w:iCs/>
      <w:lang w:val="en-US"/>
    </w:rPr>
  </w:style>
  <w:style w:type="character" w:customStyle="1" w:styleId="Heading8Char">
    <w:name w:val="Heading 8 Char"/>
    <w:basedOn w:val="DefaultParagraphFont"/>
    <w:link w:val="Heading8"/>
    <w:uiPriority w:val="9"/>
    <w:rsid w:val="005335F0"/>
    <w:rPr>
      <w:rFonts w:ascii="Arial" w:eastAsia="Arial" w:hAnsi="Arial" w:cs="Arial"/>
      <w:i/>
      <w:iCs/>
      <w:lang w:val="en-US"/>
    </w:rPr>
  </w:style>
  <w:style w:type="character" w:customStyle="1" w:styleId="Heading9Char">
    <w:name w:val="Heading 9 Char"/>
    <w:basedOn w:val="DefaultParagraphFont"/>
    <w:link w:val="Heading9"/>
    <w:uiPriority w:val="9"/>
    <w:rsid w:val="005335F0"/>
    <w:rPr>
      <w:rFonts w:ascii="Arial" w:eastAsia="Arial" w:hAnsi="Arial" w:cs="Arial"/>
      <w:i/>
      <w:iCs/>
      <w:sz w:val="21"/>
      <w:szCs w:val="21"/>
      <w:lang w:val="en-US"/>
    </w:rPr>
  </w:style>
  <w:style w:type="paragraph" w:styleId="NoSpacing">
    <w:name w:val="No Spacing"/>
    <w:uiPriority w:val="1"/>
    <w:qFormat/>
    <w:rsid w:val="005335F0"/>
    <w:pPr>
      <w:spacing w:after="0" w:line="240" w:lineRule="auto"/>
    </w:pPr>
    <w:rPr>
      <w:rFonts w:ascii="Times New Roman" w:eastAsia="Calibri" w:hAnsi="Times New Roman" w:cs="Times New Roman"/>
      <w:sz w:val="20"/>
      <w:szCs w:val="20"/>
      <w:lang w:val="en-US"/>
    </w:rPr>
  </w:style>
  <w:style w:type="paragraph" w:styleId="Title">
    <w:name w:val="Title"/>
    <w:basedOn w:val="Normal"/>
    <w:next w:val="Normal"/>
    <w:link w:val="TitleChar"/>
    <w:uiPriority w:val="10"/>
    <w:qFormat/>
    <w:rsid w:val="005335F0"/>
    <w:pPr>
      <w:spacing w:before="300" w:after="200"/>
      <w:contextualSpacing/>
    </w:pPr>
    <w:rPr>
      <w:sz w:val="48"/>
      <w:szCs w:val="48"/>
    </w:rPr>
  </w:style>
  <w:style w:type="character" w:customStyle="1" w:styleId="TitleChar">
    <w:name w:val="Title Char"/>
    <w:basedOn w:val="DefaultParagraphFont"/>
    <w:link w:val="Title"/>
    <w:uiPriority w:val="10"/>
    <w:rsid w:val="005335F0"/>
    <w:rPr>
      <w:rFonts w:ascii="Times New Roman" w:eastAsia="Calibri" w:hAnsi="Times New Roman" w:cs="Times New Roman"/>
      <w:sz w:val="48"/>
      <w:szCs w:val="48"/>
      <w:lang w:val="en-US"/>
    </w:rPr>
  </w:style>
  <w:style w:type="paragraph" w:styleId="Subtitle">
    <w:name w:val="Subtitle"/>
    <w:basedOn w:val="Normal"/>
    <w:next w:val="Normal"/>
    <w:link w:val="SubtitleChar"/>
    <w:uiPriority w:val="11"/>
    <w:qFormat/>
    <w:rsid w:val="005335F0"/>
    <w:pPr>
      <w:spacing w:before="200" w:after="200"/>
    </w:pPr>
    <w:rPr>
      <w:sz w:val="24"/>
      <w:szCs w:val="24"/>
    </w:rPr>
  </w:style>
  <w:style w:type="character" w:customStyle="1" w:styleId="SubtitleChar">
    <w:name w:val="Subtitle Char"/>
    <w:basedOn w:val="DefaultParagraphFont"/>
    <w:link w:val="Subtitle"/>
    <w:uiPriority w:val="11"/>
    <w:rsid w:val="005335F0"/>
    <w:rPr>
      <w:rFonts w:ascii="Times New Roman" w:eastAsia="Calibri" w:hAnsi="Times New Roman" w:cs="Times New Roman"/>
      <w:sz w:val="24"/>
      <w:szCs w:val="24"/>
      <w:lang w:val="en-US"/>
    </w:rPr>
  </w:style>
  <w:style w:type="paragraph" w:styleId="Quote">
    <w:name w:val="Quote"/>
    <w:basedOn w:val="Normal"/>
    <w:next w:val="Normal"/>
    <w:link w:val="QuoteChar"/>
    <w:uiPriority w:val="29"/>
    <w:qFormat/>
    <w:rsid w:val="005335F0"/>
    <w:pPr>
      <w:ind w:left="720" w:right="720"/>
    </w:pPr>
    <w:rPr>
      <w:i/>
    </w:rPr>
  </w:style>
  <w:style w:type="character" w:customStyle="1" w:styleId="QuoteChar">
    <w:name w:val="Quote Char"/>
    <w:basedOn w:val="DefaultParagraphFont"/>
    <w:link w:val="Quote"/>
    <w:uiPriority w:val="29"/>
    <w:rsid w:val="005335F0"/>
    <w:rPr>
      <w:rFonts w:ascii="Times New Roman" w:eastAsia="Calibri" w:hAnsi="Times New Roman" w:cs="Times New Roman"/>
      <w:i/>
      <w:sz w:val="20"/>
      <w:szCs w:val="20"/>
      <w:lang w:val="en-US"/>
    </w:rPr>
  </w:style>
  <w:style w:type="paragraph" w:styleId="IntenseQuote">
    <w:name w:val="Intense Quote"/>
    <w:basedOn w:val="Normal"/>
    <w:next w:val="Normal"/>
    <w:link w:val="IntenseQuoteChar"/>
    <w:uiPriority w:val="30"/>
    <w:qFormat/>
    <w:rsid w:val="005335F0"/>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basedOn w:val="DefaultParagraphFont"/>
    <w:link w:val="IntenseQuote"/>
    <w:uiPriority w:val="30"/>
    <w:rsid w:val="005335F0"/>
    <w:rPr>
      <w:rFonts w:ascii="Times New Roman" w:eastAsia="Calibri" w:hAnsi="Times New Roman" w:cs="Times New Roman"/>
      <w:i/>
      <w:sz w:val="20"/>
      <w:szCs w:val="20"/>
      <w:shd w:val="clear" w:color="auto" w:fill="F2F2F2"/>
      <w:lang w:val="en-US"/>
    </w:rPr>
  </w:style>
  <w:style w:type="paragraph" w:styleId="Caption">
    <w:name w:val="caption"/>
    <w:basedOn w:val="Normal"/>
    <w:next w:val="Normal"/>
    <w:uiPriority w:val="35"/>
    <w:semiHidden/>
    <w:unhideWhenUsed/>
    <w:qFormat/>
    <w:rsid w:val="005335F0"/>
    <w:pPr>
      <w:spacing w:line="276" w:lineRule="auto"/>
    </w:pPr>
    <w:rPr>
      <w:b/>
      <w:bCs/>
      <w:color w:val="4472C4" w:themeColor="accent1"/>
      <w:sz w:val="18"/>
      <w:szCs w:val="18"/>
    </w:rPr>
  </w:style>
  <w:style w:type="character" w:customStyle="1" w:styleId="CaptionChar">
    <w:name w:val="Caption Char"/>
    <w:uiPriority w:val="99"/>
    <w:rsid w:val="005335F0"/>
  </w:style>
  <w:style w:type="table" w:styleId="TableGridLight">
    <w:name w:val="Grid Table Light"/>
    <w:basedOn w:val="TableNormal"/>
    <w:uiPriority w:val="59"/>
    <w:rsid w:val="005335F0"/>
    <w:pPr>
      <w:spacing w:after="0" w:line="240" w:lineRule="auto"/>
    </w:pPr>
    <w:rPr>
      <w:rFonts w:ascii="Times New Roman" w:eastAsia="Calibri" w:hAnsi="Times New Roman" w:cs="Times New Roman"/>
      <w:sz w:val="20"/>
      <w:szCs w:val="20"/>
      <w:lang w:val="en-US"/>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rsid w:val="005335F0"/>
    <w:pPr>
      <w:spacing w:after="0" w:line="240" w:lineRule="auto"/>
    </w:pPr>
    <w:rPr>
      <w:rFonts w:ascii="Times New Roman" w:eastAsia="Calibri" w:hAnsi="Times New Roman" w:cs="Times New Roman"/>
      <w:sz w:val="20"/>
      <w:szCs w:val="20"/>
      <w:lang w:val="en-US"/>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2">
    <w:name w:val="Plain Table 2"/>
    <w:basedOn w:val="TableNormal"/>
    <w:uiPriority w:val="59"/>
    <w:rsid w:val="005335F0"/>
    <w:pPr>
      <w:spacing w:after="0" w:line="240" w:lineRule="auto"/>
    </w:pPr>
    <w:rPr>
      <w:rFonts w:ascii="Times New Roman" w:eastAsia="Calibri" w:hAnsi="Times New Roman" w:cs="Times New Roman"/>
      <w:sz w:val="20"/>
      <w:szCs w:val="20"/>
      <w:lang w:val="en-US"/>
    </w:r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styleId="GridTable1Light-Accent2">
    <w:name w:val="Grid Table 1 Light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styleId="GridTable1Light-Accent3">
    <w:name w:val="Grid Table 1 Light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styleId="GridTable1Light-Accent4">
    <w:name w:val="Grid Table 1 Light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styleId="GridTable1Light-Accent5">
    <w:name w:val="Grid Table 1 Light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styleId="GridTable1Light-Accent6">
    <w:name w:val="Grid Table 1 Light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ridTable2">
    <w:name w:val="Grid Table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2-Accent1">
    <w:name w:val="Grid Table 2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styleId="GridTable2-Accent2">
    <w:name w:val="Grid Table 2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GridTable2-Accent3">
    <w:name w:val="Grid Table 2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GridTable2-Accent4">
    <w:name w:val="Grid Table 2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GridTable2-Accent5">
    <w:name w:val="Grid Table 2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GridTable2-Accent6">
    <w:name w:val="Grid Table 2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3">
    <w:name w:val="Grid Table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3-Accent1">
    <w:name w:val="Grid Table 3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styleId="GridTable3-Accent2">
    <w:name w:val="Grid Table 3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GridTable3-Accent3">
    <w:name w:val="Grid Table 3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GridTable3-Accent4">
    <w:name w:val="Grid Table 3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GridTable3-Accent5">
    <w:name w:val="Grid Table 3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GridTable3-Accent6">
    <w:name w:val="Grid Table 3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4">
    <w:name w:val="Grid Table 4"/>
    <w:basedOn w:val="TableNormal"/>
    <w:uiPriority w:val="5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4-Accent1">
    <w:name w:val="Grid Table 4 Accent 1"/>
    <w:basedOn w:val="TableNormal"/>
    <w:uiPriority w:val="5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styleId="GridTable4-Accent2">
    <w:name w:val="Grid Table 4 Accent 2"/>
    <w:basedOn w:val="TableNormal"/>
    <w:uiPriority w:val="5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GridTable4-Accent3">
    <w:name w:val="Grid Table 4 Accent 3"/>
    <w:basedOn w:val="TableNormal"/>
    <w:uiPriority w:val="5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GridTable4-Accent4">
    <w:name w:val="Grid Table 4 Accent 4"/>
    <w:basedOn w:val="TableNormal"/>
    <w:uiPriority w:val="5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GridTable4-Accent5">
    <w:name w:val="Grid Table 4 Accent 5"/>
    <w:basedOn w:val="TableNormal"/>
    <w:uiPriority w:val="5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GridTable4-Accent6">
    <w:name w:val="Grid Table 4 Accent 6"/>
    <w:basedOn w:val="TableNormal"/>
    <w:uiPriority w:val="5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5Dark">
    <w:name w:val="Grid Table 5 Dark"/>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styleId="GridTable5Dark-Accent2">
    <w:name w:val="Grid Table 5 Dark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styleId="GridTable5Dark-Accent3">
    <w:name w:val="Grid Table 5 Dark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styleId="GridTable5Dark-Accent5">
    <w:name w:val="Grid Table 5 Dark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styleId="GridTable5Dark-Accent6">
    <w:name w:val="Grid Table 5 Dark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ridTable6Colorful">
    <w:name w:val="Grid Table 6 Colorful"/>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styleId="GridTable6Colorful-Accent2">
    <w:name w:val="Grid Table 6 Colorful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styleId="GridTable6Colorful-Accent3">
    <w:name w:val="Grid Table 6 Colorful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styleId="GridTable6Colorful-Accent4">
    <w:name w:val="Grid Table 6 Colorful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styleId="GridTable6Colorful-Accent5">
    <w:name w:val="Grid Table 6 Colorful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styleId="GridTable6Colorful-Accent6">
    <w:name w:val="Grid Table 6 Colorful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ridTable7Colorful">
    <w:name w:val="Grid Table 7 Colorful"/>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styleId="GridTable7Colorful-Accent2">
    <w:name w:val="Grid Table 7 Colorful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styleId="GridTable7Colorful-Accent3">
    <w:name w:val="Grid Table 7 Colorful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styleId="GridTable7Colorful-Accent4">
    <w:name w:val="Grid Table 7 Colorful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styleId="GridTable7Colorful-Accent5">
    <w:name w:val="Grid Table 7 Colorful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styleId="GridTable7Colorful-Accent6">
    <w:name w:val="Grid Table 7 Colorful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Table1Light">
    <w:name w:val="List Table 1 Light"/>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ListTable1Light-Accent1">
    <w:name w:val="List Table 1 Light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styleId="ListTable1Light-Accent2">
    <w:name w:val="List Table 1 Light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styleId="ListTable1Light-Accent3">
    <w:name w:val="List Table 1 Light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styleId="ListTable1Light-Accent4">
    <w:name w:val="List Table 1 Light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styleId="ListTable1Light-Accent5">
    <w:name w:val="List Table 1 Light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styleId="ListTable1Light-Accent6">
    <w:name w:val="List Table 1 Light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Table2">
    <w:name w:val="List Table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2-Accent1">
    <w:name w:val="List Table 2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styleId="ListTable2-Accent2">
    <w:name w:val="List Table 2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styleId="ListTable2-Accent3">
    <w:name w:val="List Table 2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styleId="ListTable2-Accent4">
    <w:name w:val="List Table 2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styleId="ListTable2-Accent5">
    <w:name w:val="List Table 2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styleId="ListTable2-Accent6">
    <w:name w:val="List Table 2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Table3">
    <w:name w:val="List Table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styleId="ListTable3-Accent2">
    <w:name w:val="List Table 3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styleId="ListTable3-Accent3">
    <w:name w:val="List Table 3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styleId="ListTable3-Accent4">
    <w:name w:val="List Table 3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styleId="ListTable3-Accent5">
    <w:name w:val="List Table 3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styleId="ListTable3-Accent6">
    <w:name w:val="List Table 3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Table4">
    <w:name w:val="List Table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4-Accent1">
    <w:name w:val="List Table 4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styleId="ListTable4-Accent2">
    <w:name w:val="List Table 4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styleId="ListTable4-Accent3">
    <w:name w:val="List Table 4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styleId="ListTable4-Accent4">
    <w:name w:val="List Table 4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styleId="ListTable4-Accent5">
    <w:name w:val="List Table 4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styleId="ListTable4-Accent6">
    <w:name w:val="List Table 4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Table5Dark">
    <w:name w:val="List Table 5 Dark"/>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styleId="ListTable5Dark-Accent1">
    <w:name w:val="List Table 5 Dark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styleId="ListTable5Dark-Accent2">
    <w:name w:val="List Table 5 Dark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styleId="ListTable5Dark-Accent3">
    <w:name w:val="List Table 5 Dark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styleId="ListTable5Dark-Accent4">
    <w:name w:val="List Table 5 Dark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styleId="ListTable5Dark-Accent5">
    <w:name w:val="List Table 5 Dark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styleId="ListTable5Dark-Accent6">
    <w:name w:val="List Table 5 Dark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Table6Colorful">
    <w:name w:val="List Table 6 Colorful"/>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styleId="ListTable6Colorful-Accent2">
    <w:name w:val="List Table 6 Colorful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styleId="ListTable6Colorful-Accent3">
    <w:name w:val="List Table 6 Colorful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styleId="ListTable6Colorful-Accent4">
    <w:name w:val="List Table 6 Colorful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styleId="ListTable6Colorful-Accent5">
    <w:name w:val="List Table 6 Colorful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styleId="ListTable6Colorful-Accent6">
    <w:name w:val="List Table 6 Colorful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Table7Colorful">
    <w:name w:val="List Table 7 Colorful"/>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styleId="ListTable7Colorful-Accent2">
    <w:name w:val="List Table 7 Colorful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styleId="ListTable7Colorful-Accent3">
    <w:name w:val="List Table 7 Colorful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styleId="ListTable7Colorful-Accent4">
    <w:name w:val="List Table 7 Colorful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styleId="ListTable7Colorful-Accent5">
    <w:name w:val="List Table 7 Colorful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styleId="ListTable7Colorful-Accent6">
    <w:name w:val="List Table 7 Colorful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TableNormal"/>
    <w:uiPriority w:val="99"/>
    <w:rsid w:val="005335F0"/>
    <w:pPr>
      <w:spacing w:after="0" w:line="240" w:lineRule="auto"/>
    </w:pPr>
    <w:rPr>
      <w:rFonts w:ascii="Times New Roman" w:eastAsia="Calibri" w:hAnsi="Times New Roman" w:cs="Times New Roman"/>
      <w:color w:val="404040"/>
      <w:sz w:val="20"/>
      <w:szCs w:val="20"/>
      <w:lang w:eastAsia="en-GB"/>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leNormal"/>
    <w:uiPriority w:val="99"/>
    <w:rsid w:val="005335F0"/>
    <w:pPr>
      <w:spacing w:after="0" w:line="240" w:lineRule="auto"/>
    </w:pPr>
    <w:rPr>
      <w:rFonts w:ascii="Times New Roman" w:eastAsia="Calibri" w:hAnsi="Times New Roman" w:cs="Times New Roman"/>
      <w:sz w:val="20"/>
      <w:szCs w:val="20"/>
      <w:lang w:val="en-US"/>
    </w:r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FootnoteText">
    <w:name w:val="footnote text"/>
    <w:basedOn w:val="Normal"/>
    <w:link w:val="FootnoteTextChar"/>
    <w:uiPriority w:val="99"/>
    <w:semiHidden/>
    <w:unhideWhenUsed/>
    <w:rsid w:val="005335F0"/>
    <w:pPr>
      <w:spacing w:after="40"/>
    </w:pPr>
    <w:rPr>
      <w:sz w:val="18"/>
    </w:rPr>
  </w:style>
  <w:style w:type="character" w:customStyle="1" w:styleId="FootnoteTextChar">
    <w:name w:val="Footnote Text Char"/>
    <w:basedOn w:val="DefaultParagraphFont"/>
    <w:link w:val="FootnoteText"/>
    <w:uiPriority w:val="99"/>
    <w:semiHidden/>
    <w:rsid w:val="005335F0"/>
    <w:rPr>
      <w:rFonts w:ascii="Times New Roman" w:eastAsia="Calibri" w:hAnsi="Times New Roman" w:cs="Times New Roman"/>
      <w:sz w:val="18"/>
      <w:szCs w:val="20"/>
      <w:lang w:val="en-US"/>
    </w:rPr>
  </w:style>
  <w:style w:type="paragraph" w:styleId="TOC1">
    <w:name w:val="toc 1"/>
    <w:basedOn w:val="Normal"/>
    <w:next w:val="Normal"/>
    <w:uiPriority w:val="39"/>
    <w:unhideWhenUsed/>
    <w:rsid w:val="005335F0"/>
    <w:pPr>
      <w:spacing w:after="57"/>
    </w:pPr>
  </w:style>
  <w:style w:type="paragraph" w:styleId="TOC2">
    <w:name w:val="toc 2"/>
    <w:basedOn w:val="Normal"/>
    <w:next w:val="Normal"/>
    <w:uiPriority w:val="39"/>
    <w:unhideWhenUsed/>
    <w:rsid w:val="005335F0"/>
    <w:pPr>
      <w:spacing w:after="57"/>
      <w:ind w:left="283"/>
    </w:pPr>
  </w:style>
  <w:style w:type="paragraph" w:styleId="TOC3">
    <w:name w:val="toc 3"/>
    <w:basedOn w:val="Normal"/>
    <w:next w:val="Normal"/>
    <w:uiPriority w:val="39"/>
    <w:unhideWhenUsed/>
    <w:rsid w:val="005335F0"/>
    <w:pPr>
      <w:spacing w:after="57"/>
      <w:ind w:left="567"/>
    </w:pPr>
  </w:style>
  <w:style w:type="paragraph" w:styleId="TOC4">
    <w:name w:val="toc 4"/>
    <w:basedOn w:val="Normal"/>
    <w:next w:val="Normal"/>
    <w:uiPriority w:val="39"/>
    <w:unhideWhenUsed/>
    <w:rsid w:val="005335F0"/>
    <w:pPr>
      <w:spacing w:after="57"/>
      <w:ind w:left="850"/>
    </w:pPr>
  </w:style>
  <w:style w:type="paragraph" w:styleId="TOC5">
    <w:name w:val="toc 5"/>
    <w:basedOn w:val="Normal"/>
    <w:next w:val="Normal"/>
    <w:uiPriority w:val="39"/>
    <w:unhideWhenUsed/>
    <w:rsid w:val="005335F0"/>
    <w:pPr>
      <w:spacing w:after="57"/>
      <w:ind w:left="1134"/>
    </w:pPr>
  </w:style>
  <w:style w:type="paragraph" w:styleId="TOC6">
    <w:name w:val="toc 6"/>
    <w:basedOn w:val="Normal"/>
    <w:next w:val="Normal"/>
    <w:uiPriority w:val="39"/>
    <w:unhideWhenUsed/>
    <w:rsid w:val="005335F0"/>
    <w:pPr>
      <w:spacing w:after="57"/>
      <w:ind w:left="1417"/>
    </w:pPr>
  </w:style>
  <w:style w:type="paragraph" w:styleId="TOC7">
    <w:name w:val="toc 7"/>
    <w:basedOn w:val="Normal"/>
    <w:next w:val="Normal"/>
    <w:uiPriority w:val="39"/>
    <w:unhideWhenUsed/>
    <w:rsid w:val="005335F0"/>
    <w:pPr>
      <w:spacing w:after="57"/>
      <w:ind w:left="1701"/>
    </w:pPr>
  </w:style>
  <w:style w:type="paragraph" w:styleId="TOC8">
    <w:name w:val="toc 8"/>
    <w:basedOn w:val="Normal"/>
    <w:next w:val="Normal"/>
    <w:uiPriority w:val="39"/>
    <w:unhideWhenUsed/>
    <w:rsid w:val="005335F0"/>
    <w:pPr>
      <w:spacing w:after="57"/>
      <w:ind w:left="1984"/>
    </w:pPr>
  </w:style>
  <w:style w:type="paragraph" w:styleId="TOC9">
    <w:name w:val="toc 9"/>
    <w:basedOn w:val="Normal"/>
    <w:next w:val="Normal"/>
    <w:uiPriority w:val="39"/>
    <w:unhideWhenUsed/>
    <w:rsid w:val="005335F0"/>
    <w:pPr>
      <w:spacing w:after="57"/>
      <w:ind w:left="2268"/>
    </w:pPr>
  </w:style>
  <w:style w:type="paragraph" w:styleId="TOCHeading">
    <w:name w:val="TOC Heading"/>
    <w:uiPriority w:val="39"/>
    <w:unhideWhenUsed/>
    <w:rsid w:val="005335F0"/>
    <w:pPr>
      <w:spacing w:after="0" w:line="240" w:lineRule="auto"/>
    </w:pPr>
    <w:rPr>
      <w:rFonts w:ascii="Times New Roman" w:eastAsia="Calibri" w:hAnsi="Times New Roman" w:cs="Times New Roman"/>
      <w:sz w:val="20"/>
      <w:szCs w:val="20"/>
      <w:lang w:val="en-US"/>
    </w:rPr>
  </w:style>
  <w:style w:type="paragraph" w:styleId="TableofFigures">
    <w:name w:val="table of figures"/>
    <w:basedOn w:val="Normal"/>
    <w:next w:val="Normal"/>
    <w:uiPriority w:val="99"/>
    <w:unhideWhenUsed/>
    <w:rsid w:val="005335F0"/>
  </w:style>
  <w:style w:type="paragraph" w:customStyle="1" w:styleId="BaseText">
    <w:name w:val="Base_Text"/>
    <w:rsid w:val="005335F0"/>
    <w:pPr>
      <w:spacing w:before="120" w:after="0" w:line="240" w:lineRule="auto"/>
    </w:pPr>
    <w:rPr>
      <w:rFonts w:ascii="Times New Roman" w:eastAsia="Times New Roman" w:hAnsi="Times New Roman" w:cs="Times New Roman"/>
      <w:sz w:val="24"/>
      <w:szCs w:val="24"/>
      <w:lang w:val="en-US"/>
    </w:rPr>
  </w:style>
  <w:style w:type="paragraph" w:customStyle="1" w:styleId="1stparatext">
    <w:name w:val="1st para text"/>
    <w:basedOn w:val="BaseText"/>
    <w:rsid w:val="005335F0"/>
  </w:style>
  <w:style w:type="paragraph" w:customStyle="1" w:styleId="BaseHeading">
    <w:name w:val="Base_Heading"/>
    <w:rsid w:val="005335F0"/>
    <w:pPr>
      <w:keepNext/>
      <w:spacing w:before="240" w:after="0" w:line="240" w:lineRule="auto"/>
      <w:outlineLvl w:val="0"/>
    </w:pPr>
    <w:rPr>
      <w:rFonts w:ascii="Times New Roman" w:eastAsia="Times New Roman" w:hAnsi="Times New Roman" w:cs="Times New Roman"/>
      <w:sz w:val="28"/>
      <w:szCs w:val="28"/>
      <w:lang w:val="en-US"/>
    </w:rPr>
  </w:style>
  <w:style w:type="paragraph" w:customStyle="1" w:styleId="AbstractHead">
    <w:name w:val="Abstract Head"/>
    <w:basedOn w:val="BaseHeading"/>
    <w:rsid w:val="005335F0"/>
  </w:style>
  <w:style w:type="paragraph" w:customStyle="1" w:styleId="AbstractSummary">
    <w:name w:val="Abstract/Summary"/>
    <w:basedOn w:val="BaseText"/>
    <w:rsid w:val="005335F0"/>
  </w:style>
  <w:style w:type="paragraph" w:customStyle="1" w:styleId="Referencesandnotes">
    <w:name w:val="References and notes"/>
    <w:basedOn w:val="BaseText"/>
    <w:rsid w:val="005335F0"/>
    <w:pPr>
      <w:ind w:left="720" w:hanging="720"/>
    </w:pPr>
  </w:style>
  <w:style w:type="paragraph" w:customStyle="1" w:styleId="Acknowledgement">
    <w:name w:val="Acknowledgement"/>
    <w:basedOn w:val="Referencesandnotes"/>
    <w:rsid w:val="005335F0"/>
  </w:style>
  <w:style w:type="paragraph" w:customStyle="1" w:styleId="Subhead">
    <w:name w:val="Subhead"/>
    <w:basedOn w:val="BaseHeading"/>
    <w:rsid w:val="005335F0"/>
    <w:rPr>
      <w:b/>
      <w:bCs/>
      <w:sz w:val="24"/>
      <w:szCs w:val="24"/>
    </w:rPr>
  </w:style>
  <w:style w:type="paragraph" w:customStyle="1" w:styleId="AppendixHead">
    <w:name w:val="AppendixHead"/>
    <w:basedOn w:val="Subhead"/>
    <w:rsid w:val="005335F0"/>
  </w:style>
  <w:style w:type="paragraph" w:customStyle="1" w:styleId="AppendixSubhead">
    <w:name w:val="AppendixSubhead"/>
    <w:basedOn w:val="Subhead"/>
    <w:rsid w:val="005335F0"/>
  </w:style>
  <w:style w:type="paragraph" w:customStyle="1" w:styleId="Articletype">
    <w:name w:val="Article type"/>
    <w:basedOn w:val="BaseText"/>
    <w:rsid w:val="005335F0"/>
  </w:style>
  <w:style w:type="character" w:customStyle="1" w:styleId="aubase">
    <w:name w:val="au_base"/>
    <w:rsid w:val="005335F0"/>
    <w:rPr>
      <w:sz w:val="24"/>
    </w:rPr>
  </w:style>
  <w:style w:type="character" w:customStyle="1" w:styleId="aucollab">
    <w:name w:val="au_collab"/>
    <w:rsid w:val="005335F0"/>
    <w:rPr>
      <w:sz w:val="24"/>
      <w:shd w:val="clear" w:color="auto" w:fill="C0C0C0"/>
    </w:rPr>
  </w:style>
  <w:style w:type="character" w:customStyle="1" w:styleId="audeg">
    <w:name w:val="au_deg"/>
    <w:rsid w:val="005335F0"/>
    <w:rPr>
      <w:sz w:val="24"/>
      <w:shd w:val="clear" w:color="auto" w:fill="FFFF00"/>
    </w:rPr>
  </w:style>
  <w:style w:type="character" w:customStyle="1" w:styleId="aufname">
    <w:name w:val="au_fname"/>
    <w:rsid w:val="005335F0"/>
    <w:rPr>
      <w:sz w:val="24"/>
      <w:shd w:val="clear" w:color="auto" w:fill="00FFFF"/>
    </w:rPr>
  </w:style>
  <w:style w:type="character" w:customStyle="1" w:styleId="aurole">
    <w:name w:val="au_role"/>
    <w:rsid w:val="005335F0"/>
    <w:rPr>
      <w:sz w:val="24"/>
      <w:shd w:val="clear" w:color="auto" w:fill="808000"/>
    </w:rPr>
  </w:style>
  <w:style w:type="character" w:customStyle="1" w:styleId="ausuffix">
    <w:name w:val="au_suffix"/>
    <w:rsid w:val="005335F0"/>
    <w:rPr>
      <w:sz w:val="24"/>
      <w:shd w:val="clear" w:color="auto" w:fill="FF00FF"/>
    </w:rPr>
  </w:style>
  <w:style w:type="character" w:customStyle="1" w:styleId="ausurname">
    <w:name w:val="au_surname"/>
    <w:rsid w:val="005335F0"/>
    <w:rPr>
      <w:sz w:val="24"/>
      <w:shd w:val="clear" w:color="auto" w:fill="00FF00"/>
    </w:rPr>
  </w:style>
  <w:style w:type="paragraph" w:customStyle="1" w:styleId="AuthorAttribute">
    <w:name w:val="Author Attribute"/>
    <w:basedOn w:val="BaseText"/>
    <w:rsid w:val="005335F0"/>
    <w:pPr>
      <w:spacing w:before="480"/>
    </w:pPr>
  </w:style>
  <w:style w:type="paragraph" w:customStyle="1" w:styleId="Footnote">
    <w:name w:val="Footnote"/>
    <w:basedOn w:val="BaseText"/>
    <w:rsid w:val="005335F0"/>
  </w:style>
  <w:style w:type="paragraph" w:customStyle="1" w:styleId="AuthorFootnote">
    <w:name w:val="AuthorFootnote"/>
    <w:basedOn w:val="Footnote"/>
    <w:rsid w:val="005335F0"/>
    <w:rPr>
      <w:lang w:bidi="he-IL"/>
    </w:rPr>
  </w:style>
  <w:style w:type="paragraph" w:customStyle="1" w:styleId="Authors">
    <w:name w:val="Authors"/>
    <w:basedOn w:val="BaseText"/>
    <w:rsid w:val="005335F0"/>
    <w:pPr>
      <w:spacing w:after="360"/>
      <w:jc w:val="center"/>
    </w:pPr>
  </w:style>
  <w:style w:type="paragraph" w:styleId="BalloonText">
    <w:name w:val="Balloon Text"/>
    <w:basedOn w:val="Normal"/>
    <w:link w:val="BalloonTextChar"/>
    <w:semiHidden/>
    <w:rsid w:val="005335F0"/>
    <w:rPr>
      <w:rFonts w:ascii="Lucida Grande" w:eastAsia="Times New Roman" w:hAnsi="Lucida Grande"/>
      <w:sz w:val="18"/>
      <w:szCs w:val="18"/>
    </w:rPr>
  </w:style>
  <w:style w:type="character" w:customStyle="1" w:styleId="BalloonTextChar">
    <w:name w:val="Balloon Text Char"/>
    <w:basedOn w:val="DefaultParagraphFont"/>
    <w:link w:val="BalloonText"/>
    <w:semiHidden/>
    <w:rsid w:val="005335F0"/>
    <w:rPr>
      <w:rFonts w:ascii="Lucida Grande" w:eastAsia="Times New Roman" w:hAnsi="Lucida Grande" w:cs="Times New Roman"/>
      <w:sz w:val="18"/>
      <w:szCs w:val="18"/>
      <w:lang w:val="en-US"/>
    </w:rPr>
  </w:style>
  <w:style w:type="character" w:customStyle="1" w:styleId="bibarticle">
    <w:name w:val="bib_article"/>
    <w:rsid w:val="005335F0"/>
    <w:rPr>
      <w:sz w:val="24"/>
      <w:shd w:val="clear" w:color="auto" w:fill="00FFFF"/>
    </w:rPr>
  </w:style>
  <w:style w:type="character" w:customStyle="1" w:styleId="bibbase">
    <w:name w:val="bib_base"/>
    <w:rsid w:val="005335F0"/>
    <w:rPr>
      <w:sz w:val="24"/>
    </w:rPr>
  </w:style>
  <w:style w:type="character" w:customStyle="1" w:styleId="bibcomment">
    <w:name w:val="bib_comment"/>
    <w:rsid w:val="005335F0"/>
    <w:rPr>
      <w:sz w:val="24"/>
    </w:rPr>
  </w:style>
  <w:style w:type="character" w:customStyle="1" w:styleId="bibdeg">
    <w:name w:val="bib_deg"/>
    <w:rsid w:val="005335F0"/>
    <w:rPr>
      <w:sz w:val="24"/>
    </w:rPr>
  </w:style>
  <w:style w:type="character" w:customStyle="1" w:styleId="bibdoi">
    <w:name w:val="bib_doi"/>
    <w:rsid w:val="005335F0"/>
    <w:rPr>
      <w:sz w:val="24"/>
      <w:shd w:val="clear" w:color="auto" w:fill="00FF00"/>
    </w:rPr>
  </w:style>
  <w:style w:type="character" w:customStyle="1" w:styleId="bibetal">
    <w:name w:val="bib_etal"/>
    <w:rsid w:val="005335F0"/>
    <w:rPr>
      <w:sz w:val="24"/>
      <w:shd w:val="clear" w:color="auto" w:fill="008080"/>
    </w:rPr>
  </w:style>
  <w:style w:type="character" w:customStyle="1" w:styleId="bibfname">
    <w:name w:val="bib_fname"/>
    <w:rsid w:val="005335F0"/>
    <w:rPr>
      <w:sz w:val="24"/>
      <w:shd w:val="clear" w:color="auto" w:fill="FFFF00"/>
    </w:rPr>
  </w:style>
  <w:style w:type="character" w:customStyle="1" w:styleId="bibfpage">
    <w:name w:val="bib_fpage"/>
    <w:rsid w:val="005335F0"/>
    <w:rPr>
      <w:sz w:val="24"/>
      <w:shd w:val="clear" w:color="auto" w:fill="808080"/>
    </w:rPr>
  </w:style>
  <w:style w:type="character" w:customStyle="1" w:styleId="bibissue">
    <w:name w:val="bib_issue"/>
    <w:rsid w:val="005335F0"/>
    <w:rPr>
      <w:sz w:val="24"/>
      <w:shd w:val="clear" w:color="auto" w:fill="FFFF00"/>
    </w:rPr>
  </w:style>
  <w:style w:type="character" w:customStyle="1" w:styleId="bibjournal">
    <w:name w:val="bib_journal"/>
    <w:rsid w:val="005335F0"/>
    <w:rPr>
      <w:sz w:val="24"/>
      <w:shd w:val="clear" w:color="auto" w:fill="808000"/>
    </w:rPr>
  </w:style>
  <w:style w:type="character" w:customStyle="1" w:styleId="biblpage">
    <w:name w:val="bib_lpage"/>
    <w:rsid w:val="005335F0"/>
    <w:rPr>
      <w:sz w:val="24"/>
      <w:shd w:val="clear" w:color="auto" w:fill="808080"/>
    </w:rPr>
  </w:style>
  <w:style w:type="character" w:customStyle="1" w:styleId="bibmedline">
    <w:name w:val="bib_medline"/>
    <w:rsid w:val="005335F0"/>
    <w:rPr>
      <w:sz w:val="24"/>
    </w:rPr>
  </w:style>
  <w:style w:type="character" w:customStyle="1" w:styleId="bibnumber">
    <w:name w:val="bib_number"/>
    <w:rsid w:val="005335F0"/>
    <w:rPr>
      <w:sz w:val="24"/>
    </w:rPr>
  </w:style>
  <w:style w:type="character" w:customStyle="1" w:styleId="biborganization">
    <w:name w:val="bib_organization"/>
    <w:rsid w:val="005335F0"/>
    <w:rPr>
      <w:sz w:val="24"/>
      <w:shd w:val="clear" w:color="auto" w:fill="808000"/>
    </w:rPr>
  </w:style>
  <w:style w:type="character" w:customStyle="1" w:styleId="bibsuffix">
    <w:name w:val="bib_suffix"/>
    <w:rsid w:val="005335F0"/>
    <w:rPr>
      <w:sz w:val="24"/>
    </w:rPr>
  </w:style>
  <w:style w:type="character" w:customStyle="1" w:styleId="bibsuppl">
    <w:name w:val="bib_suppl"/>
    <w:rsid w:val="005335F0"/>
    <w:rPr>
      <w:sz w:val="24"/>
      <w:shd w:val="clear" w:color="auto" w:fill="FFFF00"/>
    </w:rPr>
  </w:style>
  <w:style w:type="character" w:customStyle="1" w:styleId="bibsurname">
    <w:name w:val="bib_surname"/>
    <w:rsid w:val="005335F0"/>
    <w:rPr>
      <w:sz w:val="24"/>
      <w:shd w:val="clear" w:color="auto" w:fill="FFFF00"/>
    </w:rPr>
  </w:style>
  <w:style w:type="character" w:customStyle="1" w:styleId="bibunpubl">
    <w:name w:val="bib_unpubl"/>
    <w:rsid w:val="005335F0"/>
    <w:rPr>
      <w:sz w:val="24"/>
    </w:rPr>
  </w:style>
  <w:style w:type="character" w:customStyle="1" w:styleId="biburl">
    <w:name w:val="bib_url"/>
    <w:rsid w:val="005335F0"/>
    <w:rPr>
      <w:sz w:val="24"/>
      <w:shd w:val="clear" w:color="auto" w:fill="00FF00"/>
    </w:rPr>
  </w:style>
  <w:style w:type="character" w:customStyle="1" w:styleId="bibvolume">
    <w:name w:val="bib_volume"/>
    <w:rsid w:val="005335F0"/>
    <w:rPr>
      <w:sz w:val="24"/>
      <w:shd w:val="clear" w:color="auto" w:fill="00FF00"/>
    </w:rPr>
  </w:style>
  <w:style w:type="character" w:customStyle="1" w:styleId="bibyear">
    <w:name w:val="bib_year"/>
    <w:rsid w:val="005335F0"/>
    <w:rPr>
      <w:sz w:val="24"/>
      <w:shd w:val="clear" w:color="auto" w:fill="FF00FF"/>
    </w:rPr>
  </w:style>
  <w:style w:type="paragraph" w:customStyle="1" w:styleId="BookorMeetingInformation">
    <w:name w:val="Book or Meeting Information"/>
    <w:basedOn w:val="BaseText"/>
    <w:rsid w:val="005335F0"/>
  </w:style>
  <w:style w:type="paragraph" w:customStyle="1" w:styleId="BookInformation">
    <w:name w:val="BookInformation"/>
    <w:basedOn w:val="BaseText"/>
    <w:rsid w:val="005335F0"/>
  </w:style>
  <w:style w:type="paragraph" w:customStyle="1" w:styleId="Level2Head">
    <w:name w:val="Level 2 Head"/>
    <w:basedOn w:val="BaseHeading"/>
    <w:rsid w:val="005335F0"/>
    <w:pPr>
      <w:outlineLvl w:val="1"/>
    </w:pPr>
    <w:rPr>
      <w:i/>
      <w:iCs/>
      <w:sz w:val="24"/>
      <w:szCs w:val="24"/>
    </w:rPr>
  </w:style>
  <w:style w:type="paragraph" w:customStyle="1" w:styleId="BoxLevel2Head">
    <w:name w:val="BoxLevel 2 Head"/>
    <w:basedOn w:val="Level2Head"/>
    <w:rsid w:val="005335F0"/>
    <w:pPr>
      <w:shd w:val="clear" w:color="auto" w:fill="E6E6E6"/>
    </w:pPr>
  </w:style>
  <w:style w:type="paragraph" w:customStyle="1" w:styleId="BoxListUnnumbered">
    <w:name w:val="BoxListUnnumbered"/>
    <w:basedOn w:val="BaseText"/>
    <w:rsid w:val="005335F0"/>
    <w:pPr>
      <w:shd w:val="clear" w:color="auto" w:fill="E6E6E6"/>
      <w:ind w:left="1080" w:hanging="360"/>
    </w:pPr>
  </w:style>
  <w:style w:type="paragraph" w:customStyle="1" w:styleId="BoxList">
    <w:name w:val="BoxList"/>
    <w:basedOn w:val="BoxListUnnumbered"/>
    <w:rsid w:val="005335F0"/>
  </w:style>
  <w:style w:type="paragraph" w:customStyle="1" w:styleId="BoxSubhead">
    <w:name w:val="BoxSubhead"/>
    <w:basedOn w:val="Subhead"/>
    <w:rsid w:val="005335F0"/>
    <w:pPr>
      <w:shd w:val="clear" w:color="auto" w:fill="E6E6E6"/>
    </w:pPr>
  </w:style>
  <w:style w:type="paragraph" w:customStyle="1" w:styleId="Paragraph">
    <w:name w:val="Paragraph"/>
    <w:basedOn w:val="BaseText"/>
    <w:rsid w:val="005335F0"/>
    <w:pPr>
      <w:ind w:firstLine="720"/>
    </w:pPr>
  </w:style>
  <w:style w:type="paragraph" w:customStyle="1" w:styleId="BoxText">
    <w:name w:val="BoxText"/>
    <w:basedOn w:val="Paragraph"/>
    <w:rsid w:val="005335F0"/>
    <w:pPr>
      <w:shd w:val="clear" w:color="auto" w:fill="E6E6E6"/>
    </w:pPr>
  </w:style>
  <w:style w:type="paragraph" w:customStyle="1" w:styleId="BoxTitle">
    <w:name w:val="BoxTitle"/>
    <w:basedOn w:val="BaseHeading"/>
    <w:rsid w:val="005335F0"/>
    <w:pPr>
      <w:shd w:val="clear" w:color="auto" w:fill="E6E6E6"/>
    </w:pPr>
    <w:rPr>
      <w:b/>
      <w:sz w:val="24"/>
      <w:szCs w:val="24"/>
    </w:rPr>
  </w:style>
  <w:style w:type="paragraph" w:customStyle="1" w:styleId="BulletedText">
    <w:name w:val="Bulleted Text"/>
    <w:basedOn w:val="BaseText"/>
    <w:rsid w:val="005335F0"/>
    <w:pPr>
      <w:ind w:left="720" w:hanging="720"/>
    </w:pPr>
  </w:style>
  <w:style w:type="paragraph" w:customStyle="1" w:styleId="career-magazine">
    <w:name w:val="career-magazine"/>
    <w:basedOn w:val="BaseText"/>
    <w:rsid w:val="005335F0"/>
    <w:pPr>
      <w:jc w:val="right"/>
    </w:pPr>
    <w:rPr>
      <w:color w:val="FF0000"/>
    </w:rPr>
  </w:style>
  <w:style w:type="paragraph" w:customStyle="1" w:styleId="career-stage">
    <w:name w:val="career-stage"/>
    <w:basedOn w:val="BaseText"/>
    <w:rsid w:val="005335F0"/>
    <w:pPr>
      <w:jc w:val="right"/>
    </w:pPr>
    <w:rPr>
      <w:color w:val="339966"/>
    </w:rPr>
  </w:style>
  <w:style w:type="character" w:customStyle="1" w:styleId="citebase">
    <w:name w:val="cite_base"/>
    <w:rsid w:val="005335F0"/>
    <w:rPr>
      <w:sz w:val="24"/>
    </w:rPr>
  </w:style>
  <w:style w:type="character" w:customStyle="1" w:styleId="citebib">
    <w:name w:val="cite_bib"/>
    <w:rsid w:val="005335F0"/>
    <w:rPr>
      <w:sz w:val="24"/>
      <w:shd w:val="clear" w:color="auto" w:fill="00FFFF"/>
    </w:rPr>
  </w:style>
  <w:style w:type="character" w:customStyle="1" w:styleId="citebox">
    <w:name w:val="cite_box"/>
    <w:rsid w:val="005335F0"/>
    <w:rPr>
      <w:sz w:val="24"/>
    </w:rPr>
  </w:style>
  <w:style w:type="character" w:customStyle="1" w:styleId="citeen">
    <w:name w:val="cite_en"/>
    <w:rsid w:val="005335F0"/>
    <w:rPr>
      <w:sz w:val="24"/>
      <w:shd w:val="clear" w:color="auto" w:fill="FFFF00"/>
      <w:vertAlign w:val="superscript"/>
    </w:rPr>
  </w:style>
  <w:style w:type="character" w:customStyle="1" w:styleId="citeeq">
    <w:name w:val="cite_eq"/>
    <w:rsid w:val="005335F0"/>
    <w:rPr>
      <w:sz w:val="24"/>
      <w:shd w:val="clear" w:color="auto" w:fill="FF99CC"/>
    </w:rPr>
  </w:style>
  <w:style w:type="character" w:customStyle="1" w:styleId="citefig">
    <w:name w:val="cite_fig"/>
    <w:rsid w:val="005335F0"/>
    <w:rPr>
      <w:color w:val="000000"/>
      <w:sz w:val="24"/>
      <w:shd w:val="clear" w:color="auto" w:fill="00FF00"/>
    </w:rPr>
  </w:style>
  <w:style w:type="character" w:customStyle="1" w:styleId="citefn">
    <w:name w:val="cite_fn"/>
    <w:rsid w:val="005335F0"/>
    <w:rPr>
      <w:sz w:val="24"/>
      <w:shd w:val="clear" w:color="auto" w:fill="FF0000"/>
    </w:rPr>
  </w:style>
  <w:style w:type="character" w:customStyle="1" w:styleId="citetbl">
    <w:name w:val="cite_tbl"/>
    <w:rsid w:val="005335F0"/>
    <w:rPr>
      <w:color w:val="000000"/>
      <w:sz w:val="24"/>
      <w:shd w:val="clear" w:color="auto" w:fill="FF00FF"/>
    </w:rPr>
  </w:style>
  <w:style w:type="character" w:styleId="CommentReference">
    <w:name w:val="annotation reference"/>
    <w:rsid w:val="005335F0"/>
    <w:rPr>
      <w:sz w:val="18"/>
      <w:szCs w:val="18"/>
    </w:rPr>
  </w:style>
  <w:style w:type="paragraph" w:styleId="CommentText">
    <w:name w:val="annotation text"/>
    <w:basedOn w:val="Normal"/>
    <w:link w:val="CommentTextChar"/>
    <w:semiHidden/>
    <w:rsid w:val="005335F0"/>
    <w:rPr>
      <w:rFonts w:eastAsia="Times New Roman"/>
    </w:rPr>
  </w:style>
  <w:style w:type="character" w:customStyle="1" w:styleId="CommentTextChar">
    <w:name w:val="Comment Text Char"/>
    <w:basedOn w:val="DefaultParagraphFont"/>
    <w:link w:val="CommentText"/>
    <w:semiHidden/>
    <w:rsid w:val="005335F0"/>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5335F0"/>
    <w:rPr>
      <w:b/>
      <w:bCs/>
    </w:rPr>
  </w:style>
  <w:style w:type="character" w:customStyle="1" w:styleId="CommentSubjectChar">
    <w:name w:val="Comment Subject Char"/>
    <w:basedOn w:val="CommentTextChar"/>
    <w:link w:val="CommentSubject"/>
    <w:uiPriority w:val="99"/>
    <w:semiHidden/>
    <w:rsid w:val="005335F0"/>
    <w:rPr>
      <w:rFonts w:ascii="Times New Roman" w:eastAsia="Times New Roman" w:hAnsi="Times New Roman" w:cs="Times New Roman"/>
      <w:b/>
      <w:bCs/>
      <w:sz w:val="20"/>
      <w:szCs w:val="20"/>
      <w:lang w:val="en-US"/>
    </w:rPr>
  </w:style>
  <w:style w:type="paragraph" w:customStyle="1" w:styleId="ContinuedParagraph">
    <w:name w:val="ContinuedParagraph"/>
    <w:basedOn w:val="Paragraph"/>
    <w:rsid w:val="005335F0"/>
    <w:pPr>
      <w:ind w:firstLine="0"/>
    </w:pPr>
  </w:style>
  <w:style w:type="character" w:customStyle="1" w:styleId="ContractNumber">
    <w:name w:val="Contract Number"/>
    <w:rsid w:val="005335F0"/>
    <w:rPr>
      <w:sz w:val="24"/>
      <w:szCs w:val="24"/>
      <w:shd w:val="clear" w:color="auto" w:fill="CCFFCC"/>
    </w:rPr>
  </w:style>
  <w:style w:type="character" w:customStyle="1" w:styleId="ContractSponsor">
    <w:name w:val="Contract Sponsor"/>
    <w:rsid w:val="005335F0"/>
    <w:rPr>
      <w:sz w:val="24"/>
      <w:szCs w:val="24"/>
      <w:shd w:val="clear" w:color="auto" w:fill="FFCC99"/>
    </w:rPr>
  </w:style>
  <w:style w:type="paragraph" w:customStyle="1" w:styleId="Correspondence">
    <w:name w:val="Correspondence"/>
    <w:basedOn w:val="BaseText"/>
    <w:rsid w:val="005335F0"/>
    <w:pPr>
      <w:spacing w:before="0" w:after="240"/>
    </w:pPr>
  </w:style>
  <w:style w:type="paragraph" w:customStyle="1" w:styleId="DateAccepted">
    <w:name w:val="Date Accepted"/>
    <w:basedOn w:val="BaseText"/>
    <w:rsid w:val="005335F0"/>
    <w:pPr>
      <w:spacing w:before="360"/>
    </w:pPr>
  </w:style>
  <w:style w:type="paragraph" w:customStyle="1" w:styleId="Deck">
    <w:name w:val="Deck"/>
    <w:basedOn w:val="BaseHeading"/>
    <w:rsid w:val="005335F0"/>
    <w:pPr>
      <w:outlineLvl w:val="1"/>
    </w:pPr>
  </w:style>
  <w:style w:type="paragraph" w:customStyle="1" w:styleId="DefTerm">
    <w:name w:val="DefTerm"/>
    <w:basedOn w:val="BaseText"/>
    <w:rsid w:val="005335F0"/>
    <w:pPr>
      <w:ind w:left="720"/>
    </w:pPr>
  </w:style>
  <w:style w:type="paragraph" w:customStyle="1" w:styleId="Definition">
    <w:name w:val="Definition"/>
    <w:basedOn w:val="DefTerm"/>
    <w:rsid w:val="005335F0"/>
    <w:pPr>
      <w:ind w:left="1080" w:hanging="360"/>
    </w:pPr>
  </w:style>
  <w:style w:type="paragraph" w:customStyle="1" w:styleId="DefListTitle">
    <w:name w:val="DefListTitle"/>
    <w:basedOn w:val="BaseHeading"/>
    <w:rsid w:val="005335F0"/>
  </w:style>
  <w:style w:type="paragraph" w:customStyle="1" w:styleId="discipline">
    <w:name w:val="discipline"/>
    <w:basedOn w:val="BaseText"/>
    <w:rsid w:val="005335F0"/>
    <w:pPr>
      <w:jc w:val="right"/>
    </w:pPr>
    <w:rPr>
      <w:color w:val="993366"/>
    </w:rPr>
  </w:style>
  <w:style w:type="paragraph" w:customStyle="1" w:styleId="Editors">
    <w:name w:val="Editors"/>
    <w:basedOn w:val="Authors"/>
    <w:rsid w:val="005335F0"/>
  </w:style>
  <w:style w:type="character" w:styleId="Emphasis">
    <w:name w:val="Emphasis"/>
    <w:uiPriority w:val="20"/>
    <w:qFormat/>
    <w:rsid w:val="005335F0"/>
    <w:rPr>
      <w:i/>
      <w:iCs/>
    </w:rPr>
  </w:style>
  <w:style w:type="character" w:styleId="EndnoteReference">
    <w:name w:val="endnote reference"/>
    <w:semiHidden/>
    <w:rsid w:val="005335F0"/>
    <w:rPr>
      <w:vertAlign w:val="superscript"/>
    </w:rPr>
  </w:style>
  <w:style w:type="paragraph" w:styleId="EndnoteText">
    <w:name w:val="endnote text"/>
    <w:basedOn w:val="Normal"/>
    <w:link w:val="EndnoteTextChar"/>
    <w:semiHidden/>
    <w:rsid w:val="005335F0"/>
    <w:rPr>
      <w:rFonts w:ascii="Cambria" w:eastAsia="Cambria" w:hAnsi="Cambria"/>
    </w:rPr>
  </w:style>
  <w:style w:type="character" w:customStyle="1" w:styleId="EndnoteTextChar">
    <w:name w:val="Endnote Text Char"/>
    <w:basedOn w:val="DefaultParagraphFont"/>
    <w:link w:val="EndnoteText"/>
    <w:semiHidden/>
    <w:rsid w:val="005335F0"/>
    <w:rPr>
      <w:rFonts w:ascii="Cambria" w:eastAsia="Cambria" w:hAnsi="Cambria" w:cs="Times New Roman"/>
      <w:sz w:val="20"/>
      <w:szCs w:val="20"/>
      <w:lang w:val="en-US"/>
    </w:rPr>
  </w:style>
  <w:style w:type="character" w:customStyle="1" w:styleId="eqno">
    <w:name w:val="eq_no"/>
    <w:rsid w:val="005335F0"/>
    <w:rPr>
      <w:sz w:val="24"/>
    </w:rPr>
  </w:style>
  <w:style w:type="paragraph" w:customStyle="1" w:styleId="Equation">
    <w:name w:val="Equation"/>
    <w:basedOn w:val="BaseText"/>
    <w:rsid w:val="005335F0"/>
    <w:pPr>
      <w:jc w:val="center"/>
    </w:pPr>
  </w:style>
  <w:style w:type="paragraph" w:customStyle="1" w:styleId="FieldCodes">
    <w:name w:val="FieldCodes"/>
    <w:basedOn w:val="BaseText"/>
    <w:rsid w:val="005335F0"/>
  </w:style>
  <w:style w:type="paragraph" w:customStyle="1" w:styleId="Legend">
    <w:name w:val="Legend"/>
    <w:basedOn w:val="BaseHeading"/>
    <w:rsid w:val="005335F0"/>
    <w:rPr>
      <w:sz w:val="24"/>
      <w:szCs w:val="24"/>
    </w:rPr>
  </w:style>
  <w:style w:type="paragraph" w:customStyle="1" w:styleId="FigureCopyright">
    <w:name w:val="FigureCopyright"/>
    <w:basedOn w:val="Legend"/>
    <w:rsid w:val="005335F0"/>
    <w:pPr>
      <w:spacing w:before="80"/>
    </w:pPr>
    <w:rPr>
      <w:lang w:bidi="he-IL"/>
    </w:rPr>
  </w:style>
  <w:style w:type="paragraph" w:customStyle="1" w:styleId="FigureCredit">
    <w:name w:val="FigureCredit"/>
    <w:basedOn w:val="FigureCopyright"/>
    <w:rsid w:val="005335F0"/>
  </w:style>
  <w:style w:type="character" w:styleId="FollowedHyperlink">
    <w:name w:val="FollowedHyperlink"/>
    <w:rsid w:val="005335F0"/>
    <w:rPr>
      <w:color w:val="800080"/>
      <w:u w:val="single"/>
    </w:rPr>
  </w:style>
  <w:style w:type="paragraph" w:styleId="Footer">
    <w:name w:val="footer"/>
    <w:basedOn w:val="Normal"/>
    <w:link w:val="FooterChar"/>
    <w:uiPriority w:val="99"/>
    <w:rsid w:val="005335F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5335F0"/>
    <w:rPr>
      <w:rFonts w:ascii="Times New Roman" w:eastAsia="Times New Roman" w:hAnsi="Times New Roman" w:cs="Times New Roman"/>
      <w:sz w:val="20"/>
      <w:szCs w:val="20"/>
      <w:lang w:val="en-US"/>
    </w:rPr>
  </w:style>
  <w:style w:type="character" w:styleId="FootnoteReference">
    <w:name w:val="footnote reference"/>
    <w:semiHidden/>
    <w:rsid w:val="005335F0"/>
    <w:rPr>
      <w:vertAlign w:val="superscript"/>
    </w:rPr>
  </w:style>
  <w:style w:type="paragraph" w:customStyle="1" w:styleId="Gloss">
    <w:name w:val="Gloss"/>
    <w:basedOn w:val="AbstractSummary"/>
    <w:rsid w:val="005335F0"/>
  </w:style>
  <w:style w:type="paragraph" w:customStyle="1" w:styleId="Glossary">
    <w:name w:val="Glossary"/>
    <w:basedOn w:val="BaseText"/>
    <w:rsid w:val="005335F0"/>
  </w:style>
  <w:style w:type="paragraph" w:customStyle="1" w:styleId="GlossHead">
    <w:name w:val="GlossHead"/>
    <w:basedOn w:val="AbstractHead"/>
    <w:rsid w:val="005335F0"/>
  </w:style>
  <w:style w:type="paragraph" w:customStyle="1" w:styleId="GraphicAltText">
    <w:name w:val="GraphicAltText"/>
    <w:basedOn w:val="Legend"/>
    <w:rsid w:val="005335F0"/>
  </w:style>
  <w:style w:type="paragraph" w:customStyle="1" w:styleId="GraphicCredit">
    <w:name w:val="GraphicCredit"/>
    <w:basedOn w:val="FigureCredit"/>
    <w:rsid w:val="005335F0"/>
  </w:style>
  <w:style w:type="paragraph" w:customStyle="1" w:styleId="Head">
    <w:name w:val="Head"/>
    <w:basedOn w:val="BaseHeading"/>
    <w:rsid w:val="005335F0"/>
    <w:pPr>
      <w:spacing w:before="120" w:after="120"/>
      <w:jc w:val="center"/>
    </w:pPr>
    <w:rPr>
      <w:b/>
      <w:bCs/>
    </w:rPr>
  </w:style>
  <w:style w:type="paragraph" w:styleId="Header">
    <w:name w:val="header"/>
    <w:basedOn w:val="Normal"/>
    <w:link w:val="HeaderChar"/>
    <w:rsid w:val="005335F0"/>
    <w:pPr>
      <w:tabs>
        <w:tab w:val="center" w:pos="4320"/>
        <w:tab w:val="right" w:pos="8640"/>
      </w:tabs>
    </w:pPr>
    <w:rPr>
      <w:rFonts w:eastAsia="Times New Roman"/>
    </w:rPr>
  </w:style>
  <w:style w:type="character" w:customStyle="1" w:styleId="HeaderChar">
    <w:name w:val="Header Char"/>
    <w:basedOn w:val="DefaultParagraphFont"/>
    <w:link w:val="Header"/>
    <w:rsid w:val="005335F0"/>
    <w:rPr>
      <w:rFonts w:ascii="Times New Roman" w:eastAsia="Times New Roman" w:hAnsi="Times New Roman" w:cs="Times New Roman"/>
      <w:sz w:val="20"/>
      <w:szCs w:val="20"/>
      <w:lang w:val="en-US"/>
    </w:rPr>
  </w:style>
  <w:style w:type="character" w:styleId="HTMLAcronym">
    <w:name w:val="HTML Acronym"/>
    <w:basedOn w:val="DefaultParagraphFont"/>
    <w:rsid w:val="005335F0"/>
  </w:style>
  <w:style w:type="character" w:styleId="HTMLCite">
    <w:name w:val="HTML Cite"/>
    <w:rsid w:val="005335F0"/>
    <w:rPr>
      <w:i/>
      <w:iCs/>
    </w:rPr>
  </w:style>
  <w:style w:type="character" w:styleId="HTMLCode">
    <w:name w:val="HTML Code"/>
    <w:rsid w:val="005335F0"/>
    <w:rPr>
      <w:rFonts w:ascii="Courier New" w:hAnsi="Courier New" w:cs="Courier New"/>
      <w:sz w:val="20"/>
      <w:szCs w:val="20"/>
    </w:rPr>
  </w:style>
  <w:style w:type="character" w:styleId="HTMLDefinition">
    <w:name w:val="HTML Definition"/>
    <w:rsid w:val="005335F0"/>
    <w:rPr>
      <w:i/>
      <w:iCs/>
    </w:rPr>
  </w:style>
  <w:style w:type="character" w:styleId="HTMLKeyboard">
    <w:name w:val="HTML Keyboard"/>
    <w:rsid w:val="005335F0"/>
    <w:rPr>
      <w:rFonts w:ascii="Courier New" w:hAnsi="Courier New" w:cs="Courier New"/>
      <w:sz w:val="20"/>
      <w:szCs w:val="20"/>
    </w:rPr>
  </w:style>
  <w:style w:type="paragraph" w:styleId="HTMLPreformatted">
    <w:name w:val="HTML Preformatted"/>
    <w:basedOn w:val="Normal"/>
    <w:link w:val="HTMLPreformattedChar"/>
    <w:rsid w:val="005335F0"/>
    <w:rPr>
      <w:rFonts w:ascii="Consolas" w:eastAsia="Times New Roman" w:hAnsi="Consolas"/>
    </w:rPr>
  </w:style>
  <w:style w:type="character" w:customStyle="1" w:styleId="HTMLPreformattedChar">
    <w:name w:val="HTML Preformatted Char"/>
    <w:basedOn w:val="DefaultParagraphFont"/>
    <w:link w:val="HTMLPreformatted"/>
    <w:rsid w:val="005335F0"/>
    <w:rPr>
      <w:rFonts w:ascii="Consolas" w:eastAsia="Times New Roman" w:hAnsi="Consolas" w:cs="Times New Roman"/>
      <w:sz w:val="20"/>
      <w:szCs w:val="20"/>
      <w:lang w:val="en-US"/>
    </w:rPr>
  </w:style>
  <w:style w:type="character" w:styleId="HTMLSample">
    <w:name w:val="HTML Sample"/>
    <w:rsid w:val="005335F0"/>
    <w:rPr>
      <w:rFonts w:ascii="Courier New" w:hAnsi="Courier New" w:cs="Courier New"/>
    </w:rPr>
  </w:style>
  <w:style w:type="character" w:styleId="HTMLTypewriter">
    <w:name w:val="HTML Typewriter"/>
    <w:rsid w:val="005335F0"/>
    <w:rPr>
      <w:rFonts w:ascii="Courier New" w:hAnsi="Courier New" w:cs="Courier New"/>
      <w:sz w:val="20"/>
      <w:szCs w:val="20"/>
    </w:rPr>
  </w:style>
  <w:style w:type="character" w:styleId="HTMLVariable">
    <w:name w:val="HTML Variable"/>
    <w:rsid w:val="005335F0"/>
    <w:rPr>
      <w:i/>
      <w:iCs/>
    </w:rPr>
  </w:style>
  <w:style w:type="character" w:styleId="Hyperlink">
    <w:name w:val="Hyperlink"/>
    <w:rsid w:val="005335F0"/>
    <w:rPr>
      <w:color w:val="0000FF"/>
      <w:u w:val="single"/>
    </w:rPr>
  </w:style>
  <w:style w:type="paragraph" w:customStyle="1" w:styleId="InstructionsText">
    <w:name w:val="Instructions Text"/>
    <w:basedOn w:val="BaseText"/>
    <w:rsid w:val="005335F0"/>
  </w:style>
  <w:style w:type="paragraph" w:customStyle="1" w:styleId="Overline">
    <w:name w:val="Overline"/>
    <w:basedOn w:val="BaseText"/>
    <w:rsid w:val="005335F0"/>
  </w:style>
  <w:style w:type="paragraph" w:customStyle="1" w:styleId="IssueName">
    <w:name w:val="IssueName"/>
    <w:basedOn w:val="Overline"/>
    <w:rsid w:val="005335F0"/>
  </w:style>
  <w:style w:type="paragraph" w:customStyle="1" w:styleId="Keywords">
    <w:name w:val="Keywords"/>
    <w:basedOn w:val="BaseText"/>
    <w:rsid w:val="005335F0"/>
  </w:style>
  <w:style w:type="paragraph" w:customStyle="1" w:styleId="Level3Head">
    <w:name w:val="Level 3 Head"/>
    <w:basedOn w:val="BaseHeading"/>
    <w:rsid w:val="005335F0"/>
    <w:pPr>
      <w:outlineLvl w:val="2"/>
    </w:pPr>
    <w:rPr>
      <w:sz w:val="24"/>
      <w:szCs w:val="24"/>
      <w:u w:val="single"/>
    </w:rPr>
  </w:style>
  <w:style w:type="paragraph" w:customStyle="1" w:styleId="Level4Head">
    <w:name w:val="Level 4 Head"/>
    <w:basedOn w:val="BaseHeading"/>
    <w:rsid w:val="005335F0"/>
    <w:pPr>
      <w:ind w:left="346"/>
    </w:pPr>
    <w:rPr>
      <w:sz w:val="24"/>
      <w:szCs w:val="24"/>
    </w:rPr>
  </w:style>
  <w:style w:type="character" w:styleId="LineNumber">
    <w:name w:val="line number"/>
    <w:basedOn w:val="DefaultParagraphFont"/>
    <w:rsid w:val="005335F0"/>
  </w:style>
  <w:style w:type="paragraph" w:customStyle="1" w:styleId="Literaryquote">
    <w:name w:val="Literary quote"/>
    <w:basedOn w:val="BaseText"/>
    <w:rsid w:val="005335F0"/>
    <w:pPr>
      <w:ind w:left="1440" w:right="1440"/>
    </w:pPr>
  </w:style>
  <w:style w:type="paragraph" w:customStyle="1" w:styleId="MaterialsText">
    <w:name w:val="Materials Text"/>
    <w:basedOn w:val="BaseText"/>
    <w:rsid w:val="005335F0"/>
  </w:style>
  <w:style w:type="paragraph" w:customStyle="1" w:styleId="NoteInProof">
    <w:name w:val="NoteInProof"/>
    <w:basedOn w:val="BaseText"/>
    <w:rsid w:val="005335F0"/>
  </w:style>
  <w:style w:type="paragraph" w:customStyle="1" w:styleId="Notes">
    <w:name w:val="Notes"/>
    <w:basedOn w:val="BaseText"/>
    <w:rsid w:val="005335F0"/>
    <w:rPr>
      <w:i/>
    </w:rPr>
  </w:style>
  <w:style w:type="paragraph" w:customStyle="1" w:styleId="Notes-Helvetica">
    <w:name w:val="Notes-Helvetica"/>
    <w:basedOn w:val="BaseText"/>
    <w:rsid w:val="005335F0"/>
    <w:rPr>
      <w:i/>
    </w:rPr>
  </w:style>
  <w:style w:type="paragraph" w:customStyle="1" w:styleId="NumberedInstructions">
    <w:name w:val="Numbered Instructions"/>
    <w:basedOn w:val="BaseText"/>
    <w:rsid w:val="005335F0"/>
  </w:style>
  <w:style w:type="paragraph" w:customStyle="1" w:styleId="OutlineLevel1">
    <w:name w:val="OutlineLevel1"/>
    <w:basedOn w:val="BaseHeading"/>
    <w:rsid w:val="005335F0"/>
    <w:rPr>
      <w:b/>
      <w:bCs/>
    </w:rPr>
  </w:style>
  <w:style w:type="paragraph" w:customStyle="1" w:styleId="OutlineLevel2">
    <w:name w:val="OutlineLevel2"/>
    <w:basedOn w:val="BaseHeading"/>
    <w:rsid w:val="005335F0"/>
    <w:pPr>
      <w:ind w:left="360"/>
      <w:outlineLvl w:val="1"/>
    </w:pPr>
    <w:rPr>
      <w:b/>
      <w:bCs/>
      <w:sz w:val="24"/>
      <w:szCs w:val="24"/>
    </w:rPr>
  </w:style>
  <w:style w:type="paragraph" w:customStyle="1" w:styleId="OutlineLevel3">
    <w:name w:val="OutlineLevel3"/>
    <w:basedOn w:val="BaseHeading"/>
    <w:rsid w:val="005335F0"/>
    <w:pPr>
      <w:ind w:left="720"/>
      <w:outlineLvl w:val="2"/>
    </w:pPr>
    <w:rPr>
      <w:b/>
      <w:bCs/>
      <w:sz w:val="24"/>
      <w:szCs w:val="24"/>
    </w:rPr>
  </w:style>
  <w:style w:type="character" w:styleId="PageNumber">
    <w:name w:val="page number"/>
    <w:basedOn w:val="DefaultParagraphFont"/>
    <w:rsid w:val="005335F0"/>
  </w:style>
  <w:style w:type="paragraph" w:customStyle="1" w:styleId="Preformat">
    <w:name w:val="Preformat"/>
    <w:basedOn w:val="BaseText"/>
    <w:rsid w:val="005335F0"/>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5335F0"/>
  </w:style>
  <w:style w:type="paragraph" w:customStyle="1" w:styleId="ProductInformation">
    <w:name w:val="ProductInformation"/>
    <w:basedOn w:val="BaseText"/>
    <w:rsid w:val="005335F0"/>
  </w:style>
  <w:style w:type="paragraph" w:customStyle="1" w:styleId="ProductTitle">
    <w:name w:val="ProductTitle"/>
    <w:basedOn w:val="BaseText"/>
    <w:rsid w:val="005335F0"/>
    <w:rPr>
      <w:b/>
      <w:bCs/>
    </w:rPr>
  </w:style>
  <w:style w:type="paragraph" w:customStyle="1" w:styleId="PublishedOnline">
    <w:name w:val="Published Online"/>
    <w:basedOn w:val="DateAccepted"/>
    <w:rsid w:val="005335F0"/>
  </w:style>
  <w:style w:type="paragraph" w:customStyle="1" w:styleId="RecipeMaterials">
    <w:name w:val="Recipe Materials"/>
    <w:basedOn w:val="BaseText"/>
    <w:rsid w:val="005335F0"/>
  </w:style>
  <w:style w:type="paragraph" w:customStyle="1" w:styleId="Refhead">
    <w:name w:val="Ref head"/>
    <w:basedOn w:val="BaseHeading"/>
    <w:rsid w:val="005335F0"/>
    <w:pPr>
      <w:spacing w:before="120" w:after="120"/>
    </w:pPr>
    <w:rPr>
      <w:b/>
      <w:bCs/>
      <w:sz w:val="24"/>
      <w:szCs w:val="24"/>
    </w:rPr>
  </w:style>
  <w:style w:type="paragraph" w:customStyle="1" w:styleId="ReferenceNote">
    <w:name w:val="Reference Note"/>
    <w:basedOn w:val="Referencesandnotes"/>
    <w:rsid w:val="005335F0"/>
  </w:style>
  <w:style w:type="paragraph" w:customStyle="1" w:styleId="ReferencesandnotesLong">
    <w:name w:val="References and notes Long"/>
    <w:basedOn w:val="BaseText"/>
    <w:rsid w:val="005335F0"/>
    <w:pPr>
      <w:ind w:left="720" w:hanging="720"/>
    </w:pPr>
  </w:style>
  <w:style w:type="paragraph" w:customStyle="1" w:styleId="region">
    <w:name w:val="region"/>
    <w:basedOn w:val="BaseText"/>
    <w:rsid w:val="005335F0"/>
    <w:pPr>
      <w:jc w:val="right"/>
    </w:pPr>
    <w:rPr>
      <w:color w:val="0000FF"/>
    </w:rPr>
  </w:style>
  <w:style w:type="paragraph" w:customStyle="1" w:styleId="RelatedArticle">
    <w:name w:val="RelatedArticle"/>
    <w:basedOn w:val="Referencesandnotes"/>
    <w:rsid w:val="005335F0"/>
  </w:style>
  <w:style w:type="paragraph" w:customStyle="1" w:styleId="RunHead">
    <w:name w:val="RunHead"/>
    <w:basedOn w:val="BaseText"/>
    <w:rsid w:val="005335F0"/>
  </w:style>
  <w:style w:type="paragraph" w:customStyle="1" w:styleId="SOMContent">
    <w:name w:val="SOMContent"/>
    <w:basedOn w:val="1stparatext"/>
    <w:rsid w:val="005335F0"/>
  </w:style>
  <w:style w:type="paragraph" w:customStyle="1" w:styleId="SOMHead">
    <w:name w:val="SOMHead"/>
    <w:basedOn w:val="BaseHeading"/>
    <w:rsid w:val="005335F0"/>
    <w:rPr>
      <w:b/>
      <w:sz w:val="24"/>
      <w:szCs w:val="24"/>
    </w:rPr>
  </w:style>
  <w:style w:type="paragraph" w:customStyle="1" w:styleId="Speaker">
    <w:name w:val="Speaker"/>
    <w:basedOn w:val="Paragraph"/>
    <w:rsid w:val="005335F0"/>
    <w:rPr>
      <w:b/>
      <w:lang w:bidi="he-IL"/>
    </w:rPr>
  </w:style>
  <w:style w:type="paragraph" w:customStyle="1" w:styleId="Speech">
    <w:name w:val="Speech"/>
    <w:basedOn w:val="Paragraph"/>
    <w:rsid w:val="005335F0"/>
    <w:rPr>
      <w:lang w:bidi="he-IL"/>
    </w:rPr>
  </w:style>
  <w:style w:type="character" w:styleId="Strong">
    <w:name w:val="Strong"/>
    <w:uiPriority w:val="22"/>
    <w:qFormat/>
    <w:rsid w:val="005335F0"/>
    <w:rPr>
      <w:b/>
      <w:bCs/>
    </w:rPr>
  </w:style>
  <w:style w:type="paragraph" w:customStyle="1" w:styleId="SX-Abstract">
    <w:name w:val="SX-Abstract"/>
    <w:basedOn w:val="Normal"/>
    <w:qFormat/>
    <w:rsid w:val="005335F0"/>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5335F0"/>
    <w:pPr>
      <w:spacing w:after="160" w:line="190" w:lineRule="exact"/>
    </w:pPr>
    <w:rPr>
      <w:rFonts w:ascii="BlissRegular" w:eastAsia="Times New Roman" w:hAnsi="BlissRegular"/>
      <w:sz w:val="16"/>
    </w:rPr>
  </w:style>
  <w:style w:type="paragraph" w:customStyle="1" w:styleId="SX-Articlehead">
    <w:name w:val="SX-Article head"/>
    <w:basedOn w:val="Normal"/>
    <w:qFormat/>
    <w:rsid w:val="005335F0"/>
    <w:pPr>
      <w:spacing w:before="210" w:line="210" w:lineRule="exact"/>
      <w:ind w:firstLine="288"/>
      <w:jc w:val="both"/>
    </w:pPr>
    <w:rPr>
      <w:rFonts w:eastAsia="Times New Roman"/>
      <w:b/>
      <w:sz w:val="18"/>
    </w:rPr>
  </w:style>
  <w:style w:type="paragraph" w:customStyle="1" w:styleId="SX-Authornames">
    <w:name w:val="SX-Author names"/>
    <w:basedOn w:val="Normal"/>
    <w:rsid w:val="005335F0"/>
    <w:pPr>
      <w:spacing w:after="120" w:line="210" w:lineRule="exact"/>
    </w:pPr>
    <w:rPr>
      <w:rFonts w:ascii="BlissMedium" w:eastAsia="Times New Roman" w:hAnsi="BlissMedium"/>
    </w:rPr>
  </w:style>
  <w:style w:type="paragraph" w:customStyle="1" w:styleId="SX-Bodytext">
    <w:name w:val="SX-Body text"/>
    <w:basedOn w:val="Normal"/>
    <w:next w:val="Normal"/>
    <w:rsid w:val="005335F0"/>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5335F0"/>
    <w:pPr>
      <w:ind w:firstLine="0"/>
    </w:pPr>
  </w:style>
  <w:style w:type="paragraph" w:customStyle="1" w:styleId="SX-Correspondence">
    <w:name w:val="SX-Correspondence"/>
    <w:basedOn w:val="SX-Affiliation"/>
    <w:qFormat/>
    <w:rsid w:val="005335F0"/>
    <w:pPr>
      <w:spacing w:after="80"/>
    </w:pPr>
  </w:style>
  <w:style w:type="paragraph" w:customStyle="1" w:styleId="SX-Date">
    <w:name w:val="SX-Date"/>
    <w:basedOn w:val="Normal"/>
    <w:qFormat/>
    <w:rsid w:val="005335F0"/>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5335F0"/>
    <w:pPr>
      <w:spacing w:line="240" w:lineRule="auto"/>
      <w:jc w:val="center"/>
    </w:pPr>
  </w:style>
  <w:style w:type="paragraph" w:customStyle="1" w:styleId="SX-Legend">
    <w:name w:val="SX-Legend"/>
    <w:basedOn w:val="SX-Authornames"/>
    <w:rsid w:val="005335F0"/>
    <w:pPr>
      <w:jc w:val="both"/>
    </w:pPr>
    <w:rPr>
      <w:sz w:val="18"/>
    </w:rPr>
  </w:style>
  <w:style w:type="paragraph" w:customStyle="1" w:styleId="SX-References">
    <w:name w:val="SX-References"/>
    <w:basedOn w:val="Normal"/>
    <w:rsid w:val="005335F0"/>
    <w:pPr>
      <w:spacing w:line="190" w:lineRule="exact"/>
      <w:ind w:left="245" w:hanging="245"/>
      <w:jc w:val="both"/>
    </w:pPr>
    <w:rPr>
      <w:rFonts w:eastAsia="Times New Roman"/>
      <w:sz w:val="16"/>
    </w:rPr>
  </w:style>
  <w:style w:type="paragraph" w:customStyle="1" w:styleId="SX-RefHead">
    <w:name w:val="SX-RefHead"/>
    <w:basedOn w:val="Normal"/>
    <w:rsid w:val="005335F0"/>
    <w:pPr>
      <w:spacing w:before="200" w:line="190" w:lineRule="exact"/>
    </w:pPr>
    <w:rPr>
      <w:rFonts w:eastAsia="Times New Roman"/>
      <w:b/>
      <w:sz w:val="16"/>
    </w:rPr>
  </w:style>
  <w:style w:type="character" w:customStyle="1" w:styleId="SX-reflink">
    <w:name w:val="SX-reflink"/>
    <w:uiPriority w:val="1"/>
    <w:qFormat/>
    <w:rsid w:val="005335F0"/>
    <w:rPr>
      <w:color w:val="0000FF"/>
      <w:sz w:val="16"/>
      <w:u w:val="single"/>
      <w:shd w:val="clear" w:color="auto" w:fill="FFFFFF"/>
    </w:rPr>
  </w:style>
  <w:style w:type="paragraph" w:customStyle="1" w:styleId="SX-SOMHead">
    <w:name w:val="SX-SOMHead"/>
    <w:basedOn w:val="SX-RefHead"/>
    <w:rsid w:val="005335F0"/>
  </w:style>
  <w:style w:type="paragraph" w:customStyle="1" w:styleId="SX-Tablehead">
    <w:name w:val="SX-Tablehead"/>
    <w:basedOn w:val="Normal"/>
    <w:qFormat/>
    <w:rsid w:val="005335F0"/>
    <w:rPr>
      <w:rFonts w:eastAsia="Times New Roman"/>
      <w:szCs w:val="24"/>
    </w:rPr>
  </w:style>
  <w:style w:type="paragraph" w:customStyle="1" w:styleId="SX-Tablelegend">
    <w:name w:val="SX-Tablelegend"/>
    <w:basedOn w:val="Normal"/>
    <w:qFormat/>
    <w:rsid w:val="005335F0"/>
    <w:pPr>
      <w:spacing w:line="190" w:lineRule="exact"/>
      <w:ind w:left="245" w:hanging="245"/>
      <w:jc w:val="both"/>
    </w:pPr>
    <w:rPr>
      <w:rFonts w:eastAsia="Times New Roman"/>
      <w:sz w:val="16"/>
    </w:rPr>
  </w:style>
  <w:style w:type="paragraph" w:customStyle="1" w:styleId="SX-Tabletext">
    <w:name w:val="SX-Tabletext"/>
    <w:basedOn w:val="Normal"/>
    <w:qFormat/>
    <w:rsid w:val="005335F0"/>
    <w:pPr>
      <w:spacing w:line="210" w:lineRule="exact"/>
      <w:jc w:val="center"/>
    </w:pPr>
    <w:rPr>
      <w:rFonts w:eastAsia="Times New Roman"/>
      <w:sz w:val="18"/>
    </w:rPr>
  </w:style>
  <w:style w:type="paragraph" w:customStyle="1" w:styleId="SX-Tabletitle">
    <w:name w:val="SX-Tabletitle"/>
    <w:basedOn w:val="Normal"/>
    <w:qFormat/>
    <w:rsid w:val="005335F0"/>
    <w:pPr>
      <w:spacing w:after="120" w:line="210" w:lineRule="exact"/>
      <w:jc w:val="both"/>
    </w:pPr>
    <w:rPr>
      <w:rFonts w:ascii="BlissMedium" w:eastAsia="Times New Roman" w:hAnsi="BlissMedium"/>
      <w:sz w:val="18"/>
    </w:rPr>
  </w:style>
  <w:style w:type="paragraph" w:customStyle="1" w:styleId="SX-Title">
    <w:name w:val="SX-Title"/>
    <w:basedOn w:val="Normal"/>
    <w:rsid w:val="005335F0"/>
    <w:pPr>
      <w:spacing w:after="240" w:line="500" w:lineRule="exact"/>
    </w:pPr>
    <w:rPr>
      <w:rFonts w:ascii="BlissBold" w:eastAsia="Times New Roman" w:hAnsi="BlissBold"/>
      <w:b/>
      <w:sz w:val="44"/>
    </w:rPr>
  </w:style>
  <w:style w:type="paragraph" w:customStyle="1" w:styleId="Tablecolumnhead">
    <w:name w:val="Table column head"/>
    <w:basedOn w:val="BaseText"/>
    <w:rsid w:val="005335F0"/>
    <w:pPr>
      <w:spacing w:before="0"/>
    </w:pPr>
  </w:style>
  <w:style w:type="paragraph" w:customStyle="1" w:styleId="Tabletext">
    <w:name w:val="Table text"/>
    <w:basedOn w:val="BaseText"/>
    <w:rsid w:val="005335F0"/>
    <w:pPr>
      <w:spacing w:before="0"/>
    </w:pPr>
  </w:style>
  <w:style w:type="paragraph" w:customStyle="1" w:styleId="TableLegend">
    <w:name w:val="TableLegend"/>
    <w:basedOn w:val="BaseText"/>
    <w:rsid w:val="005335F0"/>
    <w:pPr>
      <w:spacing w:before="0"/>
    </w:pPr>
  </w:style>
  <w:style w:type="paragraph" w:customStyle="1" w:styleId="TableTitle">
    <w:name w:val="TableTitle"/>
    <w:basedOn w:val="BaseHeading"/>
    <w:rsid w:val="005335F0"/>
  </w:style>
  <w:style w:type="paragraph" w:customStyle="1" w:styleId="Teaser">
    <w:name w:val="Teaser"/>
    <w:basedOn w:val="BaseText"/>
    <w:rsid w:val="005335F0"/>
  </w:style>
  <w:style w:type="paragraph" w:customStyle="1" w:styleId="TWIS">
    <w:name w:val="TWIS"/>
    <w:basedOn w:val="AbstractSummary"/>
    <w:rsid w:val="005335F0"/>
  </w:style>
  <w:style w:type="paragraph" w:customStyle="1" w:styleId="TWISorEC">
    <w:name w:val="TWIS or EC"/>
    <w:basedOn w:val="Normal"/>
    <w:rsid w:val="005335F0"/>
    <w:pPr>
      <w:spacing w:line="210" w:lineRule="exact"/>
    </w:pPr>
    <w:rPr>
      <w:rFonts w:ascii="BlissRegular" w:eastAsia="Times New Roman" w:hAnsi="BlissRegular"/>
      <w:sz w:val="19"/>
    </w:rPr>
  </w:style>
  <w:style w:type="paragraph" w:customStyle="1" w:styleId="work-sector">
    <w:name w:val="work-sector"/>
    <w:basedOn w:val="BaseText"/>
    <w:rsid w:val="005335F0"/>
    <w:pPr>
      <w:jc w:val="right"/>
    </w:pPr>
    <w:rPr>
      <w:color w:val="003300"/>
    </w:rPr>
  </w:style>
  <w:style w:type="paragraph" w:customStyle="1" w:styleId="DOI">
    <w:name w:val="DOI"/>
    <w:basedOn w:val="DateAccepted"/>
    <w:qFormat/>
    <w:rsid w:val="005335F0"/>
  </w:style>
  <w:style w:type="character" w:customStyle="1" w:styleId="custom-cit-author">
    <w:name w:val="custom-cit-author"/>
    <w:basedOn w:val="DefaultParagraphFont"/>
    <w:rsid w:val="005335F0"/>
  </w:style>
  <w:style w:type="character" w:customStyle="1" w:styleId="custom-cit-title">
    <w:name w:val="custom-cit-title"/>
    <w:basedOn w:val="DefaultParagraphFont"/>
    <w:rsid w:val="005335F0"/>
  </w:style>
  <w:style w:type="character" w:customStyle="1" w:styleId="custom-cit-jour-title">
    <w:name w:val="custom-cit-jour-title"/>
    <w:basedOn w:val="DefaultParagraphFont"/>
    <w:rsid w:val="005335F0"/>
  </w:style>
  <w:style w:type="character" w:customStyle="1" w:styleId="custom-cit-volume">
    <w:name w:val="custom-cit-volume"/>
    <w:basedOn w:val="DefaultParagraphFont"/>
    <w:rsid w:val="005335F0"/>
  </w:style>
  <w:style w:type="character" w:customStyle="1" w:styleId="custom-cit-volume-sep">
    <w:name w:val="custom-cit-volume-sep"/>
    <w:basedOn w:val="DefaultParagraphFont"/>
    <w:rsid w:val="005335F0"/>
  </w:style>
  <w:style w:type="character" w:customStyle="1" w:styleId="custom-cit-fpage">
    <w:name w:val="custom-cit-fpage"/>
    <w:basedOn w:val="DefaultParagraphFont"/>
    <w:rsid w:val="005335F0"/>
  </w:style>
  <w:style w:type="character" w:customStyle="1" w:styleId="custom-cit-date">
    <w:name w:val="custom-cit-date"/>
    <w:basedOn w:val="DefaultParagraphFont"/>
    <w:rsid w:val="005335F0"/>
  </w:style>
  <w:style w:type="paragraph" w:customStyle="1" w:styleId="MediumList2-Accent21">
    <w:name w:val="Medium List 2 - Accent 21"/>
    <w:hidden/>
    <w:uiPriority w:val="99"/>
    <w:semiHidden/>
    <w:rsid w:val="005335F0"/>
    <w:pPr>
      <w:spacing w:after="0" w:line="240" w:lineRule="auto"/>
    </w:pPr>
    <w:rPr>
      <w:rFonts w:ascii="Times New Roman" w:eastAsia="Calibri" w:hAnsi="Times New Roman" w:cs="Times New Roman"/>
      <w:sz w:val="20"/>
      <w:szCs w:val="20"/>
      <w:lang w:val="en-US"/>
    </w:rPr>
  </w:style>
  <w:style w:type="table" w:styleId="TableGrid">
    <w:name w:val="Table Grid"/>
    <w:basedOn w:val="TableNormal"/>
    <w:rsid w:val="005335F0"/>
    <w:pPr>
      <w:spacing w:after="0" w:line="240" w:lineRule="auto"/>
    </w:pPr>
    <w:rPr>
      <w:rFonts w:ascii="Times" w:eastAsia="Times New Roman" w:hAnsi="Times"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basedOn w:val="DefaultParagraphFont"/>
    <w:uiPriority w:val="99"/>
    <w:semiHidden/>
    <w:unhideWhenUsed/>
    <w:rsid w:val="005335F0"/>
    <w:rPr>
      <w:color w:val="605E5C"/>
      <w:shd w:val="clear" w:color="auto" w:fill="E1DFDD"/>
    </w:rPr>
  </w:style>
  <w:style w:type="character" w:customStyle="1" w:styleId="ng-binding">
    <w:name w:val="ng-binding"/>
    <w:basedOn w:val="DefaultParagraphFont"/>
    <w:rsid w:val="005335F0"/>
  </w:style>
  <w:style w:type="paragraph" w:styleId="ListParagraph">
    <w:name w:val="List Paragraph"/>
    <w:basedOn w:val="Normal"/>
    <w:uiPriority w:val="34"/>
    <w:qFormat/>
    <w:rsid w:val="005335F0"/>
    <w:pPr>
      <w:ind w:left="720"/>
      <w:contextualSpacing/>
    </w:pPr>
  </w:style>
  <w:style w:type="paragraph" w:styleId="Bibliography">
    <w:name w:val="Bibliography"/>
    <w:basedOn w:val="Normal"/>
    <w:next w:val="Normal"/>
    <w:uiPriority w:val="37"/>
    <w:unhideWhenUsed/>
    <w:rsid w:val="005335F0"/>
    <w:pPr>
      <w:tabs>
        <w:tab w:val="left" w:pos="384"/>
      </w:tabs>
      <w:spacing w:line="480" w:lineRule="auto"/>
      <w:ind w:left="384" w:hanging="384"/>
    </w:pPr>
  </w:style>
  <w:style w:type="paragraph" w:customStyle="1" w:styleId="SMSubheading">
    <w:name w:val="SM Subheading"/>
    <w:basedOn w:val="Normal"/>
    <w:qFormat/>
    <w:rsid w:val="005335F0"/>
    <w:rPr>
      <w:rFonts w:eastAsia="Times New Roman"/>
      <w:sz w:val="24"/>
      <w:u w:val="single"/>
    </w:rPr>
  </w:style>
  <w:style w:type="paragraph" w:customStyle="1" w:styleId="SMText">
    <w:name w:val="SM Text"/>
    <w:basedOn w:val="Normal"/>
    <w:qFormat/>
    <w:rsid w:val="005335F0"/>
    <w:pPr>
      <w:ind w:firstLine="480"/>
    </w:pPr>
    <w:rPr>
      <w:rFonts w:eastAsia="Times New Roman"/>
      <w:sz w:val="24"/>
    </w:rPr>
  </w:style>
  <w:style w:type="paragraph" w:customStyle="1" w:styleId="SMHeading">
    <w:name w:val="SM Heading"/>
    <w:basedOn w:val="Heading1"/>
    <w:qFormat/>
    <w:rsid w:val="005335F0"/>
    <w:pPr>
      <w:keepLines w:val="0"/>
      <w:spacing w:after="60"/>
    </w:pPr>
    <w:rPr>
      <w:rFonts w:ascii="Times New Roman" w:eastAsia="Times New Roman" w:hAnsi="Times New Roman" w:cs="Times New Roman"/>
      <w:b/>
      <w:bCs/>
      <w:color w:val="auto"/>
      <w:sz w:val="24"/>
      <w:szCs w:val="24"/>
    </w:rPr>
  </w:style>
  <w:style w:type="paragraph" w:customStyle="1" w:styleId="SMcaption">
    <w:name w:val="SM caption"/>
    <w:basedOn w:val="SMText"/>
    <w:qFormat/>
    <w:rsid w:val="005335F0"/>
    <w:pPr>
      <w:ind w:firstLine="0"/>
    </w:pPr>
  </w:style>
  <w:style w:type="paragraph" w:styleId="Revision">
    <w:name w:val="Revision"/>
    <w:hidden/>
    <w:uiPriority w:val="99"/>
    <w:semiHidden/>
    <w:rsid w:val="005335F0"/>
    <w:pPr>
      <w:spacing w:after="0" w:line="240" w:lineRule="auto"/>
    </w:pPr>
    <w:rPr>
      <w:rFonts w:ascii="Times New Roman" w:eastAsia="Calibri" w:hAnsi="Times New Roman" w:cs="Times New Roman"/>
      <w:sz w:val="20"/>
      <w:szCs w:val="20"/>
      <w:lang w:val="en-US"/>
    </w:rPr>
  </w:style>
  <w:style w:type="paragraph" w:customStyle="1" w:styleId="PubInfo">
    <w:name w:val="PubInfo"/>
    <w:basedOn w:val="Normal"/>
    <w:qFormat/>
    <w:rsid w:val="005335F0"/>
    <w:pPr>
      <w:jc w:val="center"/>
    </w:pPr>
    <w:rPr>
      <w:rFonts w:eastAsia="Times New Roman"/>
      <w:lang w:eastAsia="ar-SA"/>
    </w:rPr>
  </w:style>
  <w:style w:type="character" w:customStyle="1" w:styleId="A2">
    <w:name w:val="A2"/>
    <w:uiPriority w:val="99"/>
    <w:rsid w:val="005335F0"/>
    <w:rPr>
      <w:rFonts w:cs="ZEISS Frutiger Next W1G Lt"/>
      <w:color w:val="221E1F"/>
      <w:sz w:val="20"/>
      <w:szCs w:val="20"/>
    </w:rPr>
  </w:style>
  <w:style w:type="character" w:customStyle="1" w:styleId="markedcontent">
    <w:name w:val="markedcontent"/>
    <w:basedOn w:val="DefaultParagraphFont"/>
    <w:rsid w:val="005335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6630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81E455-84ED-4B00-B849-BC1806CF7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10731</Words>
  <Characters>61171</Characters>
  <Application>Microsoft Office Word</Application>
  <DocSecurity>0</DocSecurity>
  <Lines>509</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Reinke</dc:creator>
  <cp:keywords/>
  <dc:description/>
  <cp:lastModifiedBy>Patrick Reinke</cp:lastModifiedBy>
  <cp:revision>5</cp:revision>
  <dcterms:created xsi:type="dcterms:W3CDTF">2023-01-06T12:45:00Z</dcterms:created>
  <dcterms:modified xsi:type="dcterms:W3CDTF">2023-01-06T13:38:00Z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zotero-version="6.0.19"&gt;&lt;session id="IgabHyCf"/&gt;&lt;style id="http://www.zotero.org/styles/nature" hasBibliography="1" bibliographyStyleHasBeenSet="1"/&gt;&lt;prefs&gt;&lt;pref name="fieldType" value="Field"/&gt;&lt;/prefs&gt;&lt;/data&gt;</vt:lpwstr>
  </property>
</Properties>
</file>