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A926FA" w14:textId="589D9476" w:rsidR="00B830AB" w:rsidRDefault="00B830AB" w:rsidP="000740C6">
      <w:pPr>
        <w:contextualSpacing/>
        <w:rPr>
          <w:rFonts w:ascii="Arial" w:hAnsi="Arial" w:cs="Arial"/>
          <w:b/>
          <w:color w:val="000000"/>
          <w:sz w:val="24"/>
        </w:rPr>
      </w:pPr>
      <w:r>
        <w:rPr>
          <w:rFonts w:ascii="Arial" w:hAnsi="Arial" w:cs="Arial"/>
          <w:b/>
          <w:noProof/>
          <w:color w:val="000000"/>
          <w:sz w:val="24"/>
        </w:rPr>
        <w:drawing>
          <wp:inline distT="0" distB="0" distL="0" distR="0" wp14:anchorId="305555C6" wp14:editId="12E42B4A">
            <wp:extent cx="5398770" cy="3077052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2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3" b="24009"/>
                    <a:stretch/>
                  </pic:blipFill>
                  <pic:spPr bwMode="auto">
                    <a:xfrm>
                      <a:off x="0" y="0"/>
                      <a:ext cx="5400040" cy="30777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AC4781B" w14:textId="2C132E19" w:rsidR="00B830AB" w:rsidRDefault="000740C6" w:rsidP="00B830AB">
      <w:pPr>
        <w:spacing w:line="360" w:lineRule="auto"/>
        <w:contextualSpacing/>
        <w:rPr>
          <w:rFonts w:ascii="Arial" w:hAnsi="Arial" w:cs="Arial"/>
          <w:bCs/>
          <w:i/>
          <w:iCs/>
          <w:color w:val="000000"/>
          <w:sz w:val="22"/>
        </w:rPr>
      </w:pPr>
      <w:r w:rsidRPr="00114696">
        <w:rPr>
          <w:rFonts w:ascii="Arial" w:hAnsi="Arial" w:cs="Arial"/>
          <w:b/>
          <w:color w:val="000000"/>
          <w:sz w:val="24"/>
          <w:szCs w:val="24"/>
        </w:rPr>
        <w:t>Supplementary Fig</w:t>
      </w:r>
      <w:r>
        <w:rPr>
          <w:rFonts w:ascii="Arial" w:hAnsi="Arial" w:cs="Arial"/>
          <w:b/>
          <w:color w:val="000000"/>
          <w:sz w:val="24"/>
          <w:szCs w:val="24"/>
        </w:rPr>
        <w:t>.</w:t>
      </w:r>
      <w:r w:rsidRPr="00114696">
        <w:rPr>
          <w:rFonts w:ascii="Arial" w:hAnsi="Arial" w:cs="Arial"/>
          <w:b/>
          <w:color w:val="000000"/>
          <w:sz w:val="24"/>
          <w:szCs w:val="24"/>
        </w:rPr>
        <w:t xml:space="preserve">1. </w:t>
      </w:r>
      <w:r w:rsidR="00B830AB" w:rsidRPr="00A91F96">
        <w:rPr>
          <w:rFonts w:ascii="Arial" w:hAnsi="Arial" w:cs="Arial"/>
          <w:bCs/>
          <w:i/>
          <w:iCs/>
          <w:color w:val="000000"/>
          <w:sz w:val="22"/>
        </w:rPr>
        <w:t>The comparison of the TMB between WES and CCP</w:t>
      </w:r>
    </w:p>
    <w:p w14:paraId="014664C9" w14:textId="77777777" w:rsidR="00B830AB" w:rsidRDefault="00B830AB" w:rsidP="00B830AB">
      <w:pPr>
        <w:pStyle w:val="a3"/>
        <w:numPr>
          <w:ilvl w:val="0"/>
          <w:numId w:val="2"/>
        </w:numPr>
        <w:spacing w:line="360" w:lineRule="auto"/>
        <w:ind w:leftChars="0"/>
        <w:contextualSpacing/>
        <w:rPr>
          <w:rFonts w:ascii="Arial" w:hAnsi="Arial" w:cs="Arial"/>
          <w:color w:val="000000"/>
          <w:kern w:val="0"/>
          <w:sz w:val="22"/>
        </w:rPr>
      </w:pPr>
      <w:r w:rsidRPr="00B830AB">
        <w:rPr>
          <w:rFonts w:ascii="Arial" w:hAnsi="Arial" w:cs="Arial"/>
          <w:color w:val="000000"/>
          <w:kern w:val="0"/>
          <w:sz w:val="22"/>
        </w:rPr>
        <w:t xml:space="preserve">Scatter plots of the TMB from WES vs. the TMB from CCP </w:t>
      </w:r>
    </w:p>
    <w:p w14:paraId="4C217F01" w14:textId="77777777" w:rsidR="00B830AB" w:rsidRDefault="00B830AB" w:rsidP="00B830AB">
      <w:pPr>
        <w:pStyle w:val="a3"/>
        <w:numPr>
          <w:ilvl w:val="0"/>
          <w:numId w:val="2"/>
        </w:numPr>
        <w:spacing w:line="360" w:lineRule="auto"/>
        <w:ind w:leftChars="0"/>
        <w:contextualSpacing/>
        <w:rPr>
          <w:rFonts w:ascii="Arial" w:hAnsi="Arial" w:cs="Arial"/>
          <w:color w:val="000000"/>
          <w:kern w:val="0"/>
          <w:sz w:val="22"/>
        </w:rPr>
      </w:pPr>
      <w:r w:rsidRPr="00B830AB">
        <w:rPr>
          <w:rFonts w:ascii="Arial" w:hAnsi="Arial" w:cs="Arial"/>
          <w:color w:val="000000"/>
          <w:kern w:val="0"/>
          <w:sz w:val="22"/>
        </w:rPr>
        <w:t xml:space="preserve">A correlation analysis of tumor cellularity with the TMB from WES </w:t>
      </w:r>
    </w:p>
    <w:p w14:paraId="65524BAF" w14:textId="17C3248E" w:rsidR="00B830AB" w:rsidRPr="00B830AB" w:rsidRDefault="00B830AB" w:rsidP="000740C6">
      <w:pPr>
        <w:pStyle w:val="a3"/>
        <w:numPr>
          <w:ilvl w:val="0"/>
          <w:numId w:val="2"/>
        </w:numPr>
        <w:spacing w:line="360" w:lineRule="auto"/>
        <w:ind w:leftChars="0"/>
        <w:contextualSpacing/>
        <w:rPr>
          <w:rFonts w:ascii="Arial" w:hAnsi="Arial" w:cs="Arial"/>
          <w:bCs/>
          <w:iCs/>
          <w:color w:val="000000"/>
          <w:sz w:val="24"/>
          <w:szCs w:val="24"/>
        </w:rPr>
      </w:pPr>
      <w:r w:rsidRPr="00B830AB">
        <w:rPr>
          <w:rFonts w:ascii="Arial" w:hAnsi="Arial" w:cs="Arial"/>
          <w:color w:val="000000"/>
          <w:kern w:val="0"/>
          <w:sz w:val="22"/>
        </w:rPr>
        <w:t>A correlation analysis of tumor cellularity with the TMB from CCP</w:t>
      </w:r>
      <w:r w:rsidRPr="00B830AB">
        <w:rPr>
          <w:rFonts w:ascii="Arial" w:hAnsi="Arial" w:cs="Arial"/>
          <w:bCs/>
          <w:iCs/>
          <w:color w:val="000000"/>
          <w:sz w:val="24"/>
          <w:szCs w:val="24"/>
        </w:rPr>
        <w:br w:type="page"/>
      </w:r>
    </w:p>
    <w:p w14:paraId="358EAB32" w14:textId="15F32F99" w:rsidR="00765588" w:rsidRDefault="00B830AB">
      <w:r>
        <w:rPr>
          <w:noProof/>
        </w:rPr>
        <w:lastRenderedPageBreak/>
        <w:drawing>
          <wp:inline distT="0" distB="0" distL="0" distR="0" wp14:anchorId="2D75C25F" wp14:editId="26AF0702">
            <wp:extent cx="5400040" cy="3042139"/>
            <wp:effectExtent l="0" t="0" r="0" b="635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4886"/>
                    <a:stretch/>
                  </pic:blipFill>
                  <pic:spPr bwMode="auto">
                    <a:xfrm>
                      <a:off x="0" y="0"/>
                      <a:ext cx="5400040" cy="30421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FAC072" w14:textId="77777777" w:rsidR="00B830AB" w:rsidRPr="00A91F96" w:rsidRDefault="00B830AB" w:rsidP="00B830AB">
      <w:pPr>
        <w:spacing w:line="360" w:lineRule="auto"/>
        <w:rPr>
          <w:rFonts w:ascii="Arial" w:hAnsi="Arial" w:cs="Arial"/>
          <w:i/>
          <w:color w:val="000000"/>
          <w:sz w:val="22"/>
        </w:rPr>
      </w:pPr>
      <w:r w:rsidRPr="00114696">
        <w:rPr>
          <w:rFonts w:ascii="Arial" w:hAnsi="Arial" w:cs="Arial"/>
          <w:b/>
          <w:color w:val="000000"/>
          <w:sz w:val="24"/>
          <w:szCs w:val="24"/>
        </w:rPr>
        <w:t>Supplementary Fig</w:t>
      </w:r>
      <w:r>
        <w:rPr>
          <w:rFonts w:ascii="Arial" w:hAnsi="Arial" w:cs="Arial"/>
          <w:b/>
          <w:color w:val="000000"/>
          <w:sz w:val="24"/>
          <w:szCs w:val="24"/>
        </w:rPr>
        <w:t>.</w:t>
      </w:r>
      <w:r>
        <w:rPr>
          <w:rFonts w:ascii="Arial" w:hAnsi="Arial" w:cs="Arial"/>
          <w:b/>
          <w:color w:val="000000"/>
          <w:sz w:val="24"/>
          <w:szCs w:val="24"/>
        </w:rPr>
        <w:t>2</w:t>
      </w:r>
      <w:r w:rsidRPr="00114696">
        <w:rPr>
          <w:rFonts w:ascii="Arial" w:hAnsi="Arial" w:cs="Arial"/>
          <w:b/>
          <w:color w:val="000000"/>
          <w:sz w:val="24"/>
          <w:szCs w:val="24"/>
        </w:rPr>
        <w:t xml:space="preserve">. </w:t>
      </w:r>
      <w:r w:rsidRPr="00A91F96">
        <w:rPr>
          <w:rFonts w:ascii="Arial" w:hAnsi="Arial" w:cs="Arial"/>
          <w:i/>
          <w:color w:val="000000"/>
          <w:sz w:val="22"/>
        </w:rPr>
        <w:t>Response prediction of ICI in TMB-ultralow tumors</w:t>
      </w:r>
    </w:p>
    <w:p w14:paraId="36137050" w14:textId="77777777" w:rsidR="00B830AB" w:rsidRDefault="00B830AB" w:rsidP="00B830AB">
      <w:pPr>
        <w:pStyle w:val="a3"/>
        <w:numPr>
          <w:ilvl w:val="0"/>
          <w:numId w:val="3"/>
        </w:numPr>
        <w:spacing w:line="360" w:lineRule="auto"/>
        <w:ind w:leftChars="0"/>
        <w:contextualSpacing/>
        <w:rPr>
          <w:rFonts w:ascii="Arial" w:hAnsi="Arial" w:cs="Arial"/>
          <w:color w:val="000000"/>
          <w:kern w:val="0"/>
          <w:sz w:val="22"/>
        </w:rPr>
      </w:pPr>
      <w:r w:rsidRPr="00B830AB">
        <w:rPr>
          <w:rFonts w:ascii="Arial" w:hAnsi="Arial" w:cs="Arial"/>
          <w:color w:val="000000"/>
          <w:kern w:val="0"/>
          <w:sz w:val="22"/>
        </w:rPr>
        <w:t xml:space="preserve">Scatter plots of the TMB from WES vs. the TMB from CCP </w:t>
      </w:r>
    </w:p>
    <w:p w14:paraId="390BB00E" w14:textId="0B953F29" w:rsidR="00B830AB" w:rsidRPr="00B830AB" w:rsidRDefault="00B830AB" w:rsidP="00B830AB">
      <w:pPr>
        <w:pStyle w:val="a3"/>
        <w:numPr>
          <w:ilvl w:val="0"/>
          <w:numId w:val="3"/>
        </w:numPr>
        <w:spacing w:line="360" w:lineRule="auto"/>
        <w:ind w:leftChars="0"/>
        <w:contextualSpacing/>
        <w:rPr>
          <w:rFonts w:ascii="Arial" w:hAnsi="Arial" w:cs="Arial"/>
          <w:color w:val="000000"/>
          <w:kern w:val="0"/>
          <w:sz w:val="22"/>
        </w:rPr>
      </w:pPr>
      <w:r w:rsidRPr="00B830AB">
        <w:rPr>
          <w:rFonts w:ascii="Arial" w:hAnsi="Arial" w:cs="Arial"/>
          <w:color w:val="000000"/>
          <w:kern w:val="0"/>
          <w:sz w:val="22"/>
        </w:rPr>
        <w:t>A co</w:t>
      </w:r>
      <w:r w:rsidR="00F46B37">
        <w:rPr>
          <w:rFonts w:ascii="Arial" w:hAnsi="Arial" w:cs="Arial"/>
          <w:color w:val="000000"/>
          <w:kern w:val="0"/>
          <w:sz w:val="22"/>
        </w:rPr>
        <w:t>mparison of</w:t>
      </w:r>
      <w:r w:rsidRPr="00B830AB">
        <w:rPr>
          <w:rFonts w:ascii="Arial" w:hAnsi="Arial" w:cs="Arial"/>
          <w:color w:val="000000"/>
          <w:kern w:val="0"/>
          <w:sz w:val="22"/>
        </w:rPr>
        <w:t xml:space="preserve"> </w:t>
      </w:r>
      <w:r w:rsidR="00F46B37" w:rsidRPr="00A91F96">
        <w:rPr>
          <w:rFonts w:ascii="Arial" w:hAnsi="Arial" w:cs="Arial"/>
          <w:bCs/>
          <w:color w:val="000000"/>
          <w:sz w:val="22"/>
        </w:rPr>
        <w:t>T cell-inflamed GEP signature between TMB-ultra-low PC and TMB-low PC</w:t>
      </w:r>
    </w:p>
    <w:p w14:paraId="26CE455E" w14:textId="5AB5951A" w:rsidR="00B830AB" w:rsidRPr="00B830AB" w:rsidRDefault="00B830AB">
      <w:pPr>
        <w:contextualSpacing/>
        <w:rPr>
          <w:rFonts w:ascii="Arial" w:hAnsi="Arial" w:cs="Arial" w:hint="eastAsia"/>
          <w:bCs/>
          <w:iCs/>
          <w:color w:val="000000"/>
          <w:sz w:val="24"/>
          <w:szCs w:val="24"/>
        </w:rPr>
      </w:pPr>
    </w:p>
    <w:sectPr w:rsidR="00B830AB" w:rsidRPr="00B830A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DA5B1F"/>
    <w:multiLevelType w:val="hybridMultilevel"/>
    <w:tmpl w:val="6E449620"/>
    <w:lvl w:ilvl="0" w:tplc="1C6003F0">
      <w:start w:val="1"/>
      <w:numFmt w:val="lowerLetter"/>
      <w:lvlText w:val="(%1)"/>
      <w:lvlJc w:val="left"/>
      <w:pPr>
        <w:ind w:left="360" w:hanging="360"/>
      </w:pPr>
      <w:rPr>
        <w:rFonts w:hint="default"/>
        <w:i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0E93159"/>
    <w:multiLevelType w:val="hybridMultilevel"/>
    <w:tmpl w:val="EE561430"/>
    <w:lvl w:ilvl="0" w:tplc="4AA8869E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6761898"/>
    <w:multiLevelType w:val="hybridMultilevel"/>
    <w:tmpl w:val="D7764980"/>
    <w:lvl w:ilvl="0" w:tplc="45D2E58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673993401">
    <w:abstractNumId w:val="0"/>
  </w:num>
  <w:num w:numId="2" w16cid:durableId="1546022312">
    <w:abstractNumId w:val="2"/>
  </w:num>
  <w:num w:numId="3" w16cid:durableId="4496634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5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40C6"/>
    <w:rsid w:val="000740C6"/>
    <w:rsid w:val="00091F94"/>
    <w:rsid w:val="00765588"/>
    <w:rsid w:val="007E6360"/>
    <w:rsid w:val="008B4D22"/>
    <w:rsid w:val="00B830AB"/>
    <w:rsid w:val="00D47AA8"/>
    <w:rsid w:val="00E736D0"/>
    <w:rsid w:val="00F46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E9E85F"/>
  <w15:chartTrackingRefBased/>
  <w15:docId w15:val="{D9B34655-EB15-C84A-A93D-1B3B15E28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40C6"/>
    <w:pPr>
      <w:widowControl w:val="0"/>
      <w:spacing w:line="480" w:lineRule="auto"/>
      <w:jc w:val="both"/>
    </w:pPr>
    <w:rPr>
      <w:rFonts w:ascii="Century" w:eastAsia="ＭＳ 明朝" w:hAnsi="Century" w:cs="Times New Roman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830AB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70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Imamura Taisuke</dc:creator>
  <cp:keywords/>
  <dc:description/>
  <cp:lastModifiedBy>Imamura Taisuke</cp:lastModifiedBy>
  <cp:revision>3</cp:revision>
  <dcterms:created xsi:type="dcterms:W3CDTF">2022-04-12T00:45:00Z</dcterms:created>
  <dcterms:modified xsi:type="dcterms:W3CDTF">2022-10-25T12:20:00Z</dcterms:modified>
</cp:coreProperties>
</file>