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F95F5" w14:textId="30BED73E" w:rsidR="0076286A" w:rsidRDefault="00EF3126" w:rsidP="00EF3126">
      <w:pPr>
        <w:pStyle w:val="a3"/>
        <w:rPr>
          <w:rFonts w:ascii="Times New Roman" w:hAnsi="Times New Roman" w:cs="Times New Roman"/>
        </w:rPr>
      </w:pPr>
      <w:r w:rsidRPr="00EF3126">
        <w:rPr>
          <w:rFonts w:ascii="Times New Roman" w:hAnsi="Times New Roman" w:cs="Times New Roman"/>
        </w:rPr>
        <w:t>Trial protocol</w:t>
      </w:r>
    </w:p>
    <w:p w14:paraId="5D705453" w14:textId="77777777" w:rsidR="00C61547" w:rsidRPr="00C61547" w:rsidRDefault="00C61547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1547">
        <w:rPr>
          <w:rFonts w:ascii="Times New Roman" w:hAnsi="Times New Roman" w:cs="Times New Roman"/>
          <w:sz w:val="28"/>
          <w:szCs w:val="28"/>
        </w:rPr>
        <w:t>P</w:t>
      </w:r>
      <w:r w:rsidRPr="00C61547">
        <w:rPr>
          <w:rFonts w:ascii="Times New Roman" w:hAnsi="Times New Roman" w:cs="Times New Roman"/>
          <w:sz w:val="28"/>
          <w:szCs w:val="28"/>
        </w:rPr>
        <w:t>atients were admitted to the operating room, monitors were connected to monitors for oxygen saturation (SpO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61547">
        <w:rPr>
          <w:rFonts w:ascii="Times New Roman" w:hAnsi="Times New Roman" w:cs="Times New Roman"/>
          <w:sz w:val="28"/>
          <w:szCs w:val="28"/>
        </w:rPr>
        <w:t>), electrocardiogram (ECG), heart rate (HR), noninvasive blood pressure (NIBP), partial pressure of end-expiratory carbon dioxide (P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ET</w:t>
      </w:r>
      <w:r w:rsidRPr="00C61547">
        <w:rPr>
          <w:rFonts w:ascii="Times New Roman" w:hAnsi="Times New Roman" w:cs="Times New Roman"/>
          <w:sz w:val="28"/>
          <w:szCs w:val="28"/>
        </w:rPr>
        <w:t>CO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61547">
        <w:rPr>
          <w:rFonts w:ascii="Times New Roman" w:hAnsi="Times New Roman" w:cs="Times New Roman"/>
          <w:sz w:val="28"/>
          <w:szCs w:val="28"/>
        </w:rPr>
        <w:t xml:space="preserve">), and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Bispectral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index (BIS), and all patients underwent radial artery puncture for pressure measurement under local anesthesia, and mean arterial pressure (MAP) and HR before induction were recorded. </w:t>
      </w:r>
    </w:p>
    <w:p w14:paraId="557F3A39" w14:textId="41CC49C3" w:rsidR="00C61547" w:rsidRDefault="00C61547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1547">
        <w:rPr>
          <w:rFonts w:ascii="Times New Roman" w:hAnsi="Times New Roman" w:cs="Times New Roman"/>
          <w:b/>
          <w:bCs/>
          <w:sz w:val="28"/>
          <w:szCs w:val="28"/>
        </w:rPr>
        <w:t xml:space="preserve">Anesthesia induction: </w:t>
      </w:r>
      <w:r w:rsidRPr="00C61547">
        <w:rPr>
          <w:rFonts w:ascii="Times New Roman" w:hAnsi="Times New Roman" w:cs="Times New Roman"/>
          <w:sz w:val="28"/>
          <w:szCs w:val="28"/>
        </w:rPr>
        <w:t xml:space="preserve">intravenous access was opened, midazolam (0.03 mg/kg), etomidate (0.3 mg/kg) and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sufentanil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(0.5ug/kg) were injected, and after the patients lost consciousness and before the administration of cis-atracurium, neuromuscular monitoring was performed: the non-infusion test forearm and fingers were fixed and sterilized, displacement sensors were installed in the thumb and index finger,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Ohmeda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GEE-NMT-00 (E-NMT integrated neuromuscular transmission module, GE HealthCare FI-00510 Helsinki, Finland) piezoelectric method to monitor TOF changes in the thumb adductor muscl</w:t>
      </w:r>
      <w:bookmarkStart w:id="0" w:name="OLE_LINK6"/>
      <w:r w:rsidRPr="00C61547">
        <w:rPr>
          <w:rFonts w:ascii="Times New Roman" w:hAnsi="Times New Roman" w:cs="Times New Roman"/>
          <w:sz w:val="28"/>
          <w:szCs w:val="28"/>
        </w:rPr>
        <w:t xml:space="preserve">e. </w:t>
      </w:r>
      <w:r w:rsidR="00AA210D">
        <w:rPr>
          <w:rFonts w:ascii="Times New Roman" w:hAnsi="Times New Roman" w:cs="Times New Roman"/>
          <w:sz w:val="28"/>
          <w:szCs w:val="28"/>
        </w:rPr>
        <w:t>S</w:t>
      </w:r>
      <w:r w:rsidR="00AA210D">
        <w:rPr>
          <w:rFonts w:ascii="Times New Roman" w:hAnsi="Times New Roman" w:cs="Times New Roman" w:hint="eastAsia"/>
          <w:sz w:val="28"/>
          <w:szCs w:val="28"/>
        </w:rPr>
        <w:t>ee</w:t>
      </w:r>
      <w:r w:rsidR="00AA210D">
        <w:rPr>
          <w:rFonts w:ascii="Times New Roman" w:hAnsi="Times New Roman" w:cs="Times New Roman"/>
          <w:sz w:val="28"/>
          <w:szCs w:val="28"/>
        </w:rPr>
        <w:t xml:space="preserve"> </w:t>
      </w:r>
      <w:r w:rsidR="00AA210D">
        <w:rPr>
          <w:rFonts w:ascii="Times New Roman" w:hAnsi="Times New Roman" w:cs="Times New Roman" w:hint="eastAsia"/>
          <w:sz w:val="28"/>
          <w:szCs w:val="28"/>
        </w:rPr>
        <w:t>figure.</w:t>
      </w:r>
      <w:r w:rsidR="00AA210D">
        <w:rPr>
          <w:rFonts w:ascii="Times New Roman" w:hAnsi="Times New Roman" w:cs="Times New Roman"/>
          <w:sz w:val="28"/>
          <w:szCs w:val="28"/>
        </w:rPr>
        <w:t>1</w:t>
      </w:r>
    </w:p>
    <w:p w14:paraId="7621CBC0" w14:textId="55368BC4" w:rsidR="00C61547" w:rsidRDefault="00AA210D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09AC328" wp14:editId="6C88D320">
            <wp:extent cx="3505200" cy="262911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005" cy="264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7C7E5" w14:textId="282C4960" w:rsidR="00AA210D" w:rsidRPr="00AA210D" w:rsidRDefault="00AA210D" w:rsidP="00C61547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AA210D">
        <w:rPr>
          <w:rFonts w:ascii="Times New Roman" w:hAnsi="Times New Roman" w:cs="Times New Roman"/>
          <w:b/>
          <w:bCs/>
          <w:sz w:val="24"/>
          <w:szCs w:val="24"/>
        </w:rPr>
        <w:t>Figure.1</w:t>
      </w:r>
    </w:p>
    <w:p w14:paraId="186ED3CA" w14:textId="12229216" w:rsidR="00AA210D" w:rsidRDefault="00C61547" w:rsidP="00C61547">
      <w:pPr>
        <w:spacing w:line="360" w:lineRule="auto"/>
        <w:rPr>
          <w:rFonts w:ascii="Times New Roman" w:hAnsi="Times New Roman" w:cs="Times New Roman" w:hint="eastAsia"/>
          <w:sz w:val="28"/>
          <w:szCs w:val="28"/>
        </w:rPr>
      </w:pPr>
      <w:r w:rsidRPr="00C61547">
        <w:rPr>
          <w:rFonts w:ascii="Times New Roman" w:hAnsi="Times New Roman" w:cs="Times New Roman"/>
          <w:sz w:val="28"/>
          <w:szCs w:val="28"/>
        </w:rPr>
        <w:t xml:space="preserve">The signal was calibrated through supramaximal stimulation using the inbuilt function of the NMT module, the baseline of TOF stimuli were stabilized at least 2 minutes before cis-atracurium administration, then, frequency 2 Hz, wave width 0.2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>, current intensity 60 mA, 20s interval between each series of</w:t>
      </w:r>
      <w:r w:rsidRPr="00C61547">
        <w:rPr>
          <w:rFonts w:ascii="Times New Roman" w:hAnsi="Times New Roman" w:cs="Times New Roman"/>
          <w:sz w:val="28"/>
          <w:szCs w:val="28"/>
        </w:rPr>
        <w:t xml:space="preserve"> </w:t>
      </w:r>
      <w:r w:rsidRPr="00C61547">
        <w:rPr>
          <w:rFonts w:ascii="Times New Roman" w:hAnsi="Times New Roman" w:cs="Times New Roman"/>
          <w:sz w:val="28"/>
          <w:szCs w:val="28"/>
        </w:rPr>
        <w:t xml:space="preserve">stimuli. </w:t>
      </w:r>
      <w:r w:rsidR="00AA210D">
        <w:rPr>
          <w:rFonts w:ascii="Times New Roman" w:hAnsi="Times New Roman" w:cs="Times New Roman"/>
          <w:sz w:val="28"/>
          <w:szCs w:val="28"/>
        </w:rPr>
        <w:t>See</w:t>
      </w:r>
      <w:r w:rsidR="00AA210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AA210D">
        <w:rPr>
          <w:rFonts w:ascii="Times New Roman" w:hAnsi="Times New Roman" w:cs="Times New Roman"/>
          <w:sz w:val="28"/>
          <w:szCs w:val="28"/>
        </w:rPr>
        <w:t>figure.2</w:t>
      </w:r>
    </w:p>
    <w:p w14:paraId="742DC7EA" w14:textId="0F988424" w:rsidR="00AA210D" w:rsidRDefault="00AA210D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4A9544" wp14:editId="3CCBB1A8">
            <wp:extent cx="3530600" cy="3412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1902" cy="3433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21BFD" w14:textId="63AC4702" w:rsidR="00AA210D" w:rsidRPr="00AA210D" w:rsidRDefault="00AA210D" w:rsidP="00C61547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AA210D">
        <w:rPr>
          <w:rFonts w:ascii="Times New Roman" w:hAnsi="Times New Roman" w:cs="Times New Roman"/>
          <w:b/>
          <w:bCs/>
          <w:sz w:val="24"/>
          <w:szCs w:val="24"/>
        </w:rPr>
        <w:t>Figure.2</w:t>
      </w:r>
    </w:p>
    <w:p w14:paraId="698852BF" w14:textId="47571E2F" w:rsidR="00C61547" w:rsidRPr="00C61547" w:rsidRDefault="00C61547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1547">
        <w:rPr>
          <w:rFonts w:ascii="Times New Roman" w:hAnsi="Times New Roman" w:cs="Times New Roman"/>
          <w:sz w:val="28"/>
          <w:szCs w:val="28"/>
        </w:rPr>
        <w:lastRenderedPageBreak/>
        <w:t xml:space="preserve">Every patient received 0.15mg/kg cis-atracurium (3×ED95). When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TOFc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was 0, tracheal intubation and parallel mechanical ventilation were performed, respiratory parameters were set to tidal volume 6-8 ml/kg, inhaled </w:t>
      </w:r>
      <w:bookmarkStart w:id="1" w:name="OLE_LINK15"/>
      <w:r w:rsidRPr="00C61547">
        <w:rPr>
          <w:rFonts w:ascii="Times New Roman" w:hAnsi="Times New Roman" w:cs="Times New Roman"/>
          <w:sz w:val="28"/>
          <w:szCs w:val="28"/>
        </w:rPr>
        <w:t>Oxygen concentration was 60%, oxygen flow rate was 2 L/min, and respiratory rate was adjusted to maintain P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ET</w:t>
      </w:r>
      <w:r w:rsidRPr="00C61547">
        <w:rPr>
          <w:rFonts w:ascii="Times New Roman" w:hAnsi="Times New Roman" w:cs="Times New Roman"/>
          <w:sz w:val="28"/>
          <w:szCs w:val="28"/>
        </w:rPr>
        <w:t>CO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61547">
        <w:rPr>
          <w:rFonts w:ascii="Times New Roman" w:hAnsi="Times New Roman" w:cs="Times New Roman"/>
          <w:sz w:val="28"/>
          <w:szCs w:val="28"/>
        </w:rPr>
        <w:t xml:space="preserve"> at 35~45 mmHg.</w:t>
      </w:r>
      <w:bookmarkEnd w:id="0"/>
      <w:r w:rsidRPr="00C6154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0FE74E" w14:textId="77777777" w:rsidR="00C61547" w:rsidRPr="00C61547" w:rsidRDefault="00C61547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1547">
        <w:rPr>
          <w:rFonts w:ascii="Times New Roman" w:hAnsi="Times New Roman" w:cs="Times New Roman"/>
          <w:b/>
          <w:bCs/>
          <w:sz w:val="28"/>
          <w:szCs w:val="28"/>
        </w:rPr>
        <w:t>Anesthesia maintenance:</w:t>
      </w:r>
      <w:bookmarkStart w:id="2" w:name="OLE_LINK8"/>
      <w:r w:rsidRPr="00C6154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1547">
        <w:rPr>
          <w:rFonts w:ascii="Times New Roman" w:hAnsi="Times New Roman" w:cs="Times New Roman"/>
          <w:sz w:val="28"/>
          <w:szCs w:val="28"/>
        </w:rPr>
        <w:t>Intraoperative propofol 4~10 mg/(kg-h) and remifentanil 0.1~0.3</w:t>
      </w:r>
      <w:r w:rsidRPr="00C61547">
        <w:rPr>
          <w:rFonts w:ascii="Times New Roman" w:hAnsi="Times New Roman" w:cs="Times New Roman"/>
          <w:bCs/>
          <w:sz w:val="28"/>
          <w:szCs w:val="28"/>
        </w:rPr>
        <w:t>μg/</w:t>
      </w:r>
      <w:r w:rsidRPr="00C61547">
        <w:rPr>
          <w:rFonts w:ascii="Times New Roman" w:hAnsi="Times New Roman" w:cs="Times New Roman"/>
          <w:sz w:val="28"/>
          <w:szCs w:val="28"/>
        </w:rPr>
        <w:t>(kg-min) were used to maintain BIS value at 40~60. Vasoactive drugs were used according to blood pressure and heart rate changes to maintain HR and MAP fluctuated by no more than 20% of the basal value. All patients used ropivacaine injection (10 ml: 75 mg) diluted to 20 ml and performed ultrasound-guided bilateral transversus abdominis plane nerve blocks; medical warmers and heating blankets were used to maintain the nasopharyngeal temperature of patients at 36.0~37.2℃.</w:t>
      </w:r>
      <w:bookmarkEnd w:id="2"/>
      <w:r w:rsidRPr="00C61547">
        <w:rPr>
          <w:rFonts w:ascii="Times New Roman" w:hAnsi="Times New Roman" w:cs="Times New Roman"/>
          <w:sz w:val="28"/>
          <w:szCs w:val="28"/>
        </w:rPr>
        <w:t xml:space="preserve"> When the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TOFc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was 1, the microinjection pump was turned on and cis-atracurium 1.5μg/(kg-min) was continuously pumped to maintain the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TOFc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at 1~2</w:t>
      </w:r>
      <w:bookmarkEnd w:id="1"/>
      <w:r w:rsidRPr="00C6154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4542D75" w14:textId="2DDB6073" w:rsidR="00EF3126" w:rsidRPr="00C61547" w:rsidRDefault="00C61547" w:rsidP="00C615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1547">
        <w:rPr>
          <w:rFonts w:ascii="Times New Roman" w:hAnsi="Times New Roman" w:cs="Times New Roman"/>
          <w:b/>
          <w:bCs/>
          <w:sz w:val="28"/>
          <w:szCs w:val="28"/>
        </w:rPr>
        <w:t xml:space="preserve">Discontinuation and </w:t>
      </w:r>
      <w:proofErr w:type="spellStart"/>
      <w:r w:rsidRPr="00C61547">
        <w:rPr>
          <w:rFonts w:ascii="Times New Roman" w:hAnsi="Times New Roman" w:cs="Times New Roman"/>
          <w:b/>
          <w:bCs/>
          <w:sz w:val="28"/>
          <w:szCs w:val="28"/>
        </w:rPr>
        <w:t>extubation</w:t>
      </w:r>
      <w:proofErr w:type="spellEnd"/>
      <w:r w:rsidRPr="00C6154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C61547">
        <w:rPr>
          <w:rFonts w:ascii="Times New Roman" w:hAnsi="Times New Roman" w:cs="Times New Roman"/>
          <w:sz w:val="28"/>
          <w:szCs w:val="28"/>
        </w:rPr>
        <w:t xml:space="preserve"> 30 minutes before the end of surgery, stop the pumping of inotropic drugs, when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TOFc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>≥3, inject neostigmine 40μg/kg and atropine 20μg/kg, give calcium gluconate injection 5mg/kg in C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C61547">
        <w:rPr>
          <w:rFonts w:ascii="Times New Roman" w:hAnsi="Times New Roman" w:cs="Times New Roman"/>
          <w:sz w:val="28"/>
          <w:szCs w:val="28"/>
        </w:rPr>
        <w:t xml:space="preserve"> group</w:t>
      </w:r>
      <w:r w:rsidRPr="00C61547">
        <w:rPr>
          <w:rFonts w:ascii="Times New Roman" w:hAnsi="Times New Roman" w:cs="Times New Roman"/>
          <w:sz w:val="28"/>
          <w:szCs w:val="28"/>
        </w:rPr>
        <w:t>、</w:t>
      </w:r>
      <w:r w:rsidRPr="00C61547">
        <w:rPr>
          <w:rFonts w:ascii="Times New Roman" w:hAnsi="Times New Roman" w:cs="Times New Roman"/>
          <w:sz w:val="28"/>
          <w:szCs w:val="28"/>
        </w:rPr>
        <w:t>10mg/kg in C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10</w:t>
      </w:r>
      <w:r w:rsidRPr="00C61547">
        <w:rPr>
          <w:rFonts w:ascii="Times New Roman" w:hAnsi="Times New Roman" w:cs="Times New Roman"/>
          <w:sz w:val="28"/>
          <w:szCs w:val="28"/>
        </w:rPr>
        <w:t xml:space="preserve"> group</w:t>
      </w:r>
      <w:r w:rsidRPr="00C61547">
        <w:rPr>
          <w:rFonts w:ascii="Times New Roman" w:hAnsi="Times New Roman" w:cs="Times New Roman"/>
          <w:sz w:val="28"/>
          <w:szCs w:val="28"/>
        </w:rPr>
        <w:t>、</w:t>
      </w:r>
      <w:r w:rsidRPr="00C61547">
        <w:rPr>
          <w:rFonts w:ascii="Times New Roman" w:hAnsi="Times New Roman" w:cs="Times New Roman"/>
          <w:sz w:val="28"/>
          <w:szCs w:val="28"/>
        </w:rPr>
        <w:t>20mg/kg in C</w:t>
      </w:r>
      <w:r w:rsidRPr="00C61547">
        <w:rPr>
          <w:rFonts w:ascii="Times New Roman" w:hAnsi="Times New Roman" w:cs="Times New Roman"/>
          <w:sz w:val="28"/>
          <w:szCs w:val="28"/>
          <w:vertAlign w:val="subscript"/>
        </w:rPr>
        <w:t>20</w:t>
      </w:r>
      <w:r w:rsidRPr="00C61547">
        <w:rPr>
          <w:rFonts w:ascii="Times New Roman" w:hAnsi="Times New Roman" w:cs="Times New Roman"/>
          <w:sz w:val="28"/>
          <w:szCs w:val="28"/>
        </w:rPr>
        <w:t xml:space="preserve"> group</w:t>
      </w:r>
      <w:r w:rsidRPr="00C61547">
        <w:rPr>
          <w:rFonts w:ascii="Times New Roman" w:hAnsi="Times New Roman" w:cs="Times New Roman"/>
          <w:sz w:val="28"/>
          <w:szCs w:val="28"/>
        </w:rPr>
        <w:t>，</w:t>
      </w:r>
      <w:r w:rsidRPr="00C61547">
        <w:rPr>
          <w:rFonts w:ascii="Times New Roman" w:hAnsi="Times New Roman" w:cs="Times New Roman"/>
          <w:sz w:val="28"/>
          <w:szCs w:val="28"/>
        </w:rPr>
        <w:t>all diluted to 20ml and pumped at a rate of 5ml/min. The control group was given an equal volume of 0.9% sodium chloride injection at an equal rate.</w:t>
      </w:r>
      <w:bookmarkStart w:id="3" w:name="OLE_LINK16"/>
      <w:r w:rsidRPr="00C61547">
        <w:rPr>
          <w:rFonts w:ascii="Times New Roman" w:hAnsi="Times New Roman" w:cs="Times New Roman"/>
          <w:sz w:val="28"/>
          <w:szCs w:val="28"/>
        </w:rPr>
        <w:t xml:space="preserve">  At the end of surgery, remifentanil was discontinued, propofol was discontinued </w:t>
      </w:r>
      <w:r w:rsidRPr="00C61547">
        <w:rPr>
          <w:rFonts w:ascii="Times New Roman" w:hAnsi="Times New Roman" w:cs="Times New Roman"/>
          <w:sz w:val="28"/>
          <w:szCs w:val="28"/>
        </w:rPr>
        <w:lastRenderedPageBreak/>
        <w:t xml:space="preserve">after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TOFr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≥0.70, and the tracheal tube was removed after reaching the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extubation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 xml:space="preserve"> standard. When </w:t>
      </w:r>
      <w:proofErr w:type="spellStart"/>
      <w:r w:rsidRPr="00C61547">
        <w:rPr>
          <w:rFonts w:ascii="Times New Roman" w:hAnsi="Times New Roman" w:cs="Times New Roman"/>
          <w:sz w:val="28"/>
          <w:szCs w:val="28"/>
        </w:rPr>
        <w:t>TOFr</w:t>
      </w:r>
      <w:proofErr w:type="spellEnd"/>
      <w:r w:rsidRPr="00C61547">
        <w:rPr>
          <w:rFonts w:ascii="Times New Roman" w:hAnsi="Times New Roman" w:cs="Times New Roman"/>
          <w:sz w:val="28"/>
          <w:szCs w:val="28"/>
        </w:rPr>
        <w:t>≥0.90 send to</w:t>
      </w:r>
      <w:bookmarkEnd w:id="3"/>
      <w:r w:rsidRPr="00C61547">
        <w:rPr>
          <w:rFonts w:ascii="Times New Roman" w:hAnsi="Times New Roman" w:cs="Times New Roman"/>
          <w:sz w:val="28"/>
          <w:szCs w:val="28"/>
        </w:rPr>
        <w:t xml:space="preserve"> PACU. When Aldrete score≥9 send back to ward.</w:t>
      </w:r>
    </w:p>
    <w:sectPr w:rsidR="00EF3126" w:rsidRPr="00C61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126"/>
    <w:rsid w:val="0076286A"/>
    <w:rsid w:val="0080191E"/>
    <w:rsid w:val="00AA210D"/>
    <w:rsid w:val="00C61547"/>
    <w:rsid w:val="00EF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4757"/>
  <w15:chartTrackingRefBased/>
  <w15:docId w15:val="{666E35AA-AE09-431A-BB16-AECA6CED3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80191E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Title"/>
    <w:basedOn w:val="a"/>
    <w:next w:val="a"/>
    <w:link w:val="a4"/>
    <w:uiPriority w:val="10"/>
    <w:qFormat/>
    <w:rsid w:val="00EF312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EF312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蒿 梦潇</dc:creator>
  <cp:keywords/>
  <dc:description/>
  <cp:lastModifiedBy>蒿 梦潇</cp:lastModifiedBy>
  <cp:revision>2</cp:revision>
  <dcterms:created xsi:type="dcterms:W3CDTF">2023-01-06T00:07:00Z</dcterms:created>
  <dcterms:modified xsi:type="dcterms:W3CDTF">2023-01-06T00:22:00Z</dcterms:modified>
</cp:coreProperties>
</file>