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6C75" w14:textId="77777777" w:rsidR="00F96AA4" w:rsidRDefault="00F96AA4" w:rsidP="00F96AA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0" w:name="_Hlk120745071"/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upplementary</w:t>
      </w:r>
      <w:r>
        <w:rPr>
          <w:rFonts w:ascii="Times New Roman" w:hAnsi="Times New Roman" w:cs="Times New Roman"/>
          <w:b/>
          <w:bCs/>
          <w:szCs w:val="21"/>
          <w:lang w:val="en"/>
        </w:rPr>
        <w:t xml:space="preserve"> Table 1</w:t>
      </w:r>
      <w:bookmarkEnd w:id="0"/>
      <w:r>
        <w:rPr>
          <w:rFonts w:ascii="Times New Roman" w:hAnsi="Times New Roman" w:cs="Times New Roman"/>
          <w:szCs w:val="21"/>
          <w:lang w:val="en"/>
        </w:rPr>
        <w:t xml:space="preserve"> The consistency analysis of </w:t>
      </w:r>
      <w:r>
        <w:rPr>
          <w:rFonts w:ascii="Times New Roman" w:hAnsi="Times New Roman" w:cs="Times New Roman"/>
        </w:rPr>
        <w:t xml:space="preserve">CDU and histopathology hematoxylin eosin staining in evaluating </w:t>
      </w:r>
      <w:r>
        <w:rPr>
          <w:rFonts w:ascii="Times New Roman" w:hAnsi="Times New Roman" w:cs="Times New Roman"/>
          <w:kern w:val="0"/>
          <w:szCs w:val="21"/>
          <w:lang w:val="en"/>
        </w:rPr>
        <w:t>vulnerable</w:t>
      </w:r>
      <w:r>
        <w:rPr>
          <w:rFonts w:ascii="Times New Roman" w:hAnsi="Times New Roman" w:cs="Times New Roman"/>
        </w:rPr>
        <w:t xml:space="preserve"> plaques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79"/>
        <w:gridCol w:w="1701"/>
        <w:gridCol w:w="1134"/>
      </w:tblGrid>
      <w:tr w:rsidR="00F96AA4" w:rsidRPr="00596888" w14:paraId="61334F4D" w14:textId="77777777" w:rsidTr="00D95455">
        <w:trPr>
          <w:jc w:val="center"/>
        </w:trPr>
        <w:tc>
          <w:tcPr>
            <w:tcW w:w="2127" w:type="dxa"/>
            <w:vMerge w:val="restart"/>
            <w:tcBorders>
              <w:left w:val="nil"/>
              <w:right w:val="nil"/>
            </w:tcBorders>
            <w:vAlign w:val="center"/>
          </w:tcPr>
          <w:p w14:paraId="6F87A8AE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CDU</w:t>
            </w:r>
          </w:p>
        </w:tc>
        <w:tc>
          <w:tcPr>
            <w:tcW w:w="36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5F15CB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  <w:t>Pathology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54D3ECE1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  <w:t>Total</w:t>
            </w:r>
          </w:p>
        </w:tc>
      </w:tr>
      <w:tr w:rsidR="00F96AA4" w:rsidRPr="00596888" w14:paraId="569B7A04" w14:textId="77777777" w:rsidTr="00D95455">
        <w:trPr>
          <w:jc w:val="center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876157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9" w:type="dxa"/>
            <w:tcBorders>
              <w:left w:val="nil"/>
              <w:bottom w:val="single" w:sz="4" w:space="0" w:color="auto"/>
              <w:right w:val="nil"/>
            </w:tcBorders>
          </w:tcPr>
          <w:p w14:paraId="35223D90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vulnerable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 xml:space="preserve"> plaque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7DA0942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Stable plaque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608A0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AA4" w:rsidRPr="00596888" w14:paraId="5F9B1D91" w14:textId="77777777" w:rsidTr="00D95455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4DEFF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vulnerable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 xml:space="preserve"> plaque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B938F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8B441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8239D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F96AA4" w:rsidRPr="00596888" w14:paraId="5E156C45" w14:textId="77777777" w:rsidTr="00D95455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CA343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Stable plaque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4421B70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23826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DDC9D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96AA4" w:rsidRPr="00596888" w14:paraId="24F6A4D9" w14:textId="77777777" w:rsidTr="00D95455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76902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458AE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AD4DD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5115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</w:tbl>
    <w:p w14:paraId="251EF0E0" w14:textId="77777777" w:rsidR="00F96AA4" w:rsidRDefault="00F96AA4" w:rsidP="00231886">
      <w:pPr>
        <w:widowControl/>
        <w:ind w:left="210" w:hangingChars="100" w:hanging="210"/>
        <w:rPr>
          <w:rFonts w:ascii="Times New Roman" w:eastAsia="宋体" w:hAnsi="Times New Roman" w:cs="Times New Roman"/>
          <w:color w:val="000000"/>
          <w:kern w:val="0"/>
          <w:szCs w:val="21"/>
        </w:rPr>
      </w:pPr>
      <w:bookmarkStart w:id="1" w:name="_Hlk120745014"/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There was good consistency between CDU and histopathological HE in assessing </w:t>
      </w:r>
      <w:r>
        <w:rPr>
          <w:rFonts w:ascii="Times New Roman" w:hAnsi="Times New Roman" w:cs="Times New Roman"/>
          <w:kern w:val="0"/>
          <w:szCs w:val="21"/>
          <w:lang w:val="en"/>
        </w:rPr>
        <w:t>vulnerable</w:t>
      </w:r>
      <w:r>
        <w:rPr>
          <w:rFonts w:ascii="Times New Roman" w:hAnsi="Times New Roman" w:cs="Times New Roman"/>
        </w:rPr>
        <w:t xml:space="preserve"> plaques.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(Kappa = 0. 790</w:t>
      </w:r>
      <w:r>
        <w:rPr>
          <w:rFonts w:ascii="Times New Roman" w:eastAsia="方正书宋_GBK" w:hAnsi="Times New Roman" w:cs="Times New Roman"/>
          <w:color w:val="000000"/>
          <w:kern w:val="0"/>
          <w:szCs w:val="21"/>
        </w:rPr>
        <w:t>，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＜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0.001).</w:t>
      </w:r>
    </w:p>
    <w:bookmarkEnd w:id="1"/>
    <w:p w14:paraId="2F0B8543" w14:textId="77777777" w:rsidR="00F96AA4" w:rsidRDefault="00F96AA4" w:rsidP="00F96AA4">
      <w:pPr>
        <w:widowControl/>
        <w:jc w:val="left"/>
        <w:rPr>
          <w:rFonts w:ascii="Times New Roman" w:hAnsi="Times New Roman" w:cs="Times New Roman"/>
        </w:rPr>
      </w:pPr>
    </w:p>
    <w:p w14:paraId="6804248B" w14:textId="77777777" w:rsidR="00F96AA4" w:rsidRDefault="00F96AA4" w:rsidP="00F96AA4">
      <w:pPr>
        <w:widowControl/>
        <w:jc w:val="left"/>
        <w:rPr>
          <w:rFonts w:ascii="Times New Roman" w:hAnsi="Times New Roman" w:cs="Times New Roman"/>
          <w:szCs w:val="21"/>
          <w:lang w:val="en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upplementary</w:t>
      </w:r>
      <w:r>
        <w:rPr>
          <w:rFonts w:ascii="Times New Roman" w:hAnsi="Times New Roman" w:cs="Times New Roman"/>
          <w:b/>
          <w:bCs/>
          <w:szCs w:val="21"/>
          <w:lang w:val="en"/>
        </w:rPr>
        <w:t xml:space="preserve"> Table 2</w:t>
      </w:r>
      <w:r>
        <w:rPr>
          <w:rFonts w:ascii="Times New Roman" w:hAnsi="Times New Roman" w:cs="Times New Roman"/>
          <w:szCs w:val="21"/>
          <w:lang w:val="en"/>
        </w:rPr>
        <w:t xml:space="preserve"> The consistency analysis of plaque echo judged by two experienced ultrasound doctors in the control group (</w:t>
      </w:r>
      <w:r>
        <w:rPr>
          <w:rFonts w:ascii="Times New Roman" w:hAnsi="Times New Roman" w:cs="Times New Roman"/>
          <w:kern w:val="0"/>
          <w:szCs w:val="21"/>
          <w:lang w:val="en"/>
        </w:rPr>
        <w:t>neurosurgery group</w:t>
      </w:r>
      <w:r>
        <w:rPr>
          <w:rFonts w:ascii="Times New Roman" w:hAnsi="Times New Roman" w:cs="Times New Roman"/>
          <w:szCs w:val="21"/>
          <w:lang w:val="en"/>
        </w:rPr>
        <w:t>)</w:t>
      </w:r>
    </w:p>
    <w:tbl>
      <w:tblPr>
        <w:tblStyle w:val="a3"/>
        <w:tblW w:w="90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42"/>
        <w:gridCol w:w="1441"/>
        <w:gridCol w:w="1464"/>
        <w:gridCol w:w="1276"/>
        <w:gridCol w:w="992"/>
      </w:tblGrid>
      <w:tr w:rsidR="00F96AA4" w:rsidRPr="00596888" w14:paraId="0AC9F3E3" w14:textId="77777777" w:rsidTr="00D95455">
        <w:tc>
          <w:tcPr>
            <w:tcW w:w="2552" w:type="dxa"/>
            <w:vMerge w:val="restart"/>
          </w:tcPr>
          <w:p w14:paraId="01FAD419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EA77044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Doctor A</w:t>
            </w:r>
          </w:p>
        </w:tc>
        <w:tc>
          <w:tcPr>
            <w:tcW w:w="5523" w:type="dxa"/>
            <w:gridSpan w:val="4"/>
          </w:tcPr>
          <w:p w14:paraId="488AA87D" w14:textId="77777777" w:rsidR="00F96AA4" w:rsidRPr="00596888" w:rsidRDefault="00F96AA4" w:rsidP="00D95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Doctor B</w:t>
            </w:r>
          </w:p>
        </w:tc>
        <w:tc>
          <w:tcPr>
            <w:tcW w:w="992" w:type="dxa"/>
            <w:vMerge w:val="restart"/>
          </w:tcPr>
          <w:p w14:paraId="0A6E8E58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</w:pPr>
          </w:p>
          <w:p w14:paraId="4E576BA8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"/>
              </w:rPr>
              <w:t>Total</w:t>
            </w:r>
          </w:p>
        </w:tc>
      </w:tr>
      <w:tr w:rsidR="00F96AA4" w:rsidRPr="00596888" w14:paraId="7DFF1957" w14:textId="77777777" w:rsidTr="00D95455">
        <w:tc>
          <w:tcPr>
            <w:tcW w:w="2552" w:type="dxa"/>
            <w:vMerge/>
          </w:tcPr>
          <w:p w14:paraId="009DF581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2" w:type="dxa"/>
          </w:tcPr>
          <w:p w14:paraId="46E00585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uniformly hypoechoic</w:t>
            </w:r>
          </w:p>
        </w:tc>
        <w:tc>
          <w:tcPr>
            <w:tcW w:w="1441" w:type="dxa"/>
          </w:tcPr>
          <w:p w14:paraId="1B4086E0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predominantly hypoechoic</w:t>
            </w:r>
          </w:p>
        </w:tc>
        <w:tc>
          <w:tcPr>
            <w:tcW w:w="1464" w:type="dxa"/>
          </w:tcPr>
          <w:p w14:paraId="1583103A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predominantly hyperechoic</w:t>
            </w:r>
          </w:p>
        </w:tc>
        <w:tc>
          <w:tcPr>
            <w:tcW w:w="1276" w:type="dxa"/>
          </w:tcPr>
          <w:p w14:paraId="6012342B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uniformly hyperechoic</w:t>
            </w:r>
          </w:p>
        </w:tc>
        <w:tc>
          <w:tcPr>
            <w:tcW w:w="992" w:type="dxa"/>
            <w:vMerge/>
          </w:tcPr>
          <w:p w14:paraId="3568512E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AA4" w:rsidRPr="00596888" w14:paraId="52546190" w14:textId="77777777" w:rsidTr="00D95455">
        <w:tc>
          <w:tcPr>
            <w:tcW w:w="2552" w:type="dxa"/>
            <w:tcBorders>
              <w:bottom w:val="nil"/>
            </w:tcBorders>
          </w:tcPr>
          <w:p w14:paraId="3E7C1152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uniformly hypoechoic</w:t>
            </w:r>
          </w:p>
        </w:tc>
        <w:tc>
          <w:tcPr>
            <w:tcW w:w="1342" w:type="dxa"/>
            <w:tcBorders>
              <w:bottom w:val="nil"/>
            </w:tcBorders>
          </w:tcPr>
          <w:p w14:paraId="38B1543A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1" w:type="dxa"/>
            <w:tcBorders>
              <w:bottom w:val="nil"/>
            </w:tcBorders>
          </w:tcPr>
          <w:p w14:paraId="05F8FBF5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bottom w:val="nil"/>
            </w:tcBorders>
          </w:tcPr>
          <w:p w14:paraId="3BE6930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</w:tcPr>
          <w:p w14:paraId="17A3A07B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14:paraId="7B504AD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96AA4" w:rsidRPr="00596888" w14:paraId="2AD99911" w14:textId="77777777" w:rsidTr="00D95455">
        <w:tc>
          <w:tcPr>
            <w:tcW w:w="2552" w:type="dxa"/>
            <w:tcBorders>
              <w:top w:val="nil"/>
              <w:bottom w:val="nil"/>
            </w:tcBorders>
          </w:tcPr>
          <w:p w14:paraId="0A2FBF8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predominantly hypoechoic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4D3A5A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26873BC2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0C428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608EE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5722A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96AA4" w:rsidRPr="00596888" w14:paraId="7C2E2D0C" w14:textId="77777777" w:rsidTr="00D95455">
        <w:tc>
          <w:tcPr>
            <w:tcW w:w="2552" w:type="dxa"/>
            <w:tcBorders>
              <w:top w:val="nil"/>
              <w:bottom w:val="nil"/>
            </w:tcBorders>
          </w:tcPr>
          <w:p w14:paraId="78D1FBC3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predominantly hyperechoic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AB458D5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63C0B9EB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3A964B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8942A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CEE4D8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96AA4" w:rsidRPr="00596888" w14:paraId="782C0330" w14:textId="77777777" w:rsidTr="00D95455">
        <w:tc>
          <w:tcPr>
            <w:tcW w:w="2552" w:type="dxa"/>
            <w:tcBorders>
              <w:top w:val="nil"/>
              <w:bottom w:val="nil"/>
            </w:tcBorders>
          </w:tcPr>
          <w:p w14:paraId="12832BDC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  <w:lang w:val="en"/>
              </w:rPr>
              <w:t>uniformly hyperechoic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D364C32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14:paraId="3715F9A0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1163256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95E476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6A46D4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96AA4" w:rsidRPr="00596888" w14:paraId="01F5ECA2" w14:textId="77777777" w:rsidTr="00D95455">
        <w:tc>
          <w:tcPr>
            <w:tcW w:w="2552" w:type="dxa"/>
            <w:tcBorders>
              <w:top w:val="nil"/>
            </w:tcBorders>
          </w:tcPr>
          <w:p w14:paraId="4B832FEA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1342" w:type="dxa"/>
            <w:tcBorders>
              <w:top w:val="nil"/>
            </w:tcBorders>
          </w:tcPr>
          <w:p w14:paraId="02D1F802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41" w:type="dxa"/>
            <w:tcBorders>
              <w:top w:val="nil"/>
            </w:tcBorders>
          </w:tcPr>
          <w:p w14:paraId="4C240997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nil"/>
            </w:tcBorders>
          </w:tcPr>
          <w:p w14:paraId="1D90CDC9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nil"/>
            </w:tcBorders>
          </w:tcPr>
          <w:p w14:paraId="57336006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</w:tcBorders>
          </w:tcPr>
          <w:p w14:paraId="68F7B55F" w14:textId="77777777" w:rsidR="00F96AA4" w:rsidRPr="00596888" w:rsidRDefault="00F96AA4" w:rsidP="00D9545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9688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96888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</w:tbl>
    <w:p w14:paraId="5283C4A3" w14:textId="77777777" w:rsidR="00F96AA4" w:rsidRDefault="00F96AA4" w:rsidP="00231886">
      <w:pPr>
        <w:widowControl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There was strong consistency between the two </w:t>
      </w:r>
      <w:r>
        <w:rPr>
          <w:rFonts w:ascii="Times New Roman" w:hAnsi="Times New Roman" w:cs="Times New Roman"/>
          <w:color w:val="000000" w:themeColor="text1"/>
          <w:szCs w:val="21"/>
        </w:rPr>
        <w:t>experienced ultrasound doctors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in their judgment of plaque </w:t>
      </w:r>
      <w:r>
        <w:rPr>
          <w:rFonts w:ascii="Times New Roman" w:hAnsi="Times New Roman" w:cs="Times New Roman"/>
          <w:szCs w:val="21"/>
          <w:lang w:val="en"/>
        </w:rPr>
        <w:t>echogenicity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(Kappa = 0. 827</w:t>
      </w:r>
      <w:r>
        <w:rPr>
          <w:rFonts w:ascii="Times New Roman" w:eastAsia="方正书宋_GBK" w:hAnsi="Times New Roman" w:cs="Times New Roman"/>
          <w:color w:val="000000"/>
          <w:kern w:val="0"/>
          <w:szCs w:val="21"/>
        </w:rPr>
        <w:t>，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＜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0.001).</w:t>
      </w:r>
    </w:p>
    <w:p w14:paraId="108A0829" w14:textId="77777777" w:rsidR="00F96AA4" w:rsidRDefault="00F96AA4"/>
    <w:sectPr w:rsidR="00F96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A4"/>
    <w:rsid w:val="00231886"/>
    <w:rsid w:val="00F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B02F"/>
  <w15:chartTrackingRefBased/>
  <w15:docId w15:val="{35128B87-4093-4374-A29C-B47A8286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96AA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忻懿</dc:creator>
  <cp:keywords/>
  <dc:description/>
  <cp:lastModifiedBy>蔡 忻懿</cp:lastModifiedBy>
  <cp:revision>2</cp:revision>
  <dcterms:created xsi:type="dcterms:W3CDTF">2023-01-05T12:22:00Z</dcterms:created>
  <dcterms:modified xsi:type="dcterms:W3CDTF">2023-01-05T12:24:00Z</dcterms:modified>
</cp:coreProperties>
</file>