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A4992" w14:textId="1C75EC20" w:rsidR="00056D04" w:rsidRPr="009857A6" w:rsidRDefault="0034216E" w:rsidP="00056D04">
      <w:pPr>
        <w:rPr>
          <w:rFonts w:ascii="Times New Roman" w:hAnsi="Times New Roman" w:cs="Times New Roman"/>
          <w:b/>
          <w:lang w:val="en-US"/>
        </w:rPr>
      </w:pPr>
      <w:r>
        <w:rPr>
          <w:rFonts w:ascii="Times New Roman" w:hAnsi="Times New Roman" w:cs="Times New Roman"/>
          <w:b/>
          <w:lang w:val="en-US"/>
        </w:rPr>
        <w:t>Additional file</w:t>
      </w:r>
      <w:r w:rsidR="00056D04" w:rsidRPr="00E94428">
        <w:rPr>
          <w:rFonts w:ascii="Times New Roman" w:hAnsi="Times New Roman" w:cs="Times New Roman"/>
          <w:b/>
          <w:lang w:val="en-US"/>
        </w:rPr>
        <w:t xml:space="preserve"> </w:t>
      </w:r>
      <w:r w:rsidR="00F01C5C">
        <w:rPr>
          <w:rFonts w:ascii="Times New Roman" w:hAnsi="Times New Roman" w:cs="Times New Roman"/>
          <w:b/>
          <w:lang w:val="en-US"/>
        </w:rPr>
        <w:t>4</w:t>
      </w:r>
      <w:bookmarkStart w:id="0" w:name="_GoBack"/>
      <w:bookmarkEnd w:id="0"/>
      <w:r w:rsidR="009857A6">
        <w:rPr>
          <w:rFonts w:ascii="Times New Roman" w:hAnsi="Times New Roman" w:cs="Times New Roman"/>
          <w:b/>
          <w:lang w:val="en-US"/>
        </w:rPr>
        <w:t xml:space="preserve">. </w:t>
      </w:r>
      <w:r w:rsidR="00056D04" w:rsidRPr="00E94428">
        <w:rPr>
          <w:rFonts w:ascii="Times New Roman" w:hAnsi="Times New Roman" w:cs="Times New Roman"/>
        </w:rPr>
        <w:t>Identified Behaviour Change Techniques with illustrative quotations</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43"/>
      </w:tblGrid>
      <w:tr w:rsidR="00056D04" w:rsidRPr="00E94428" w14:paraId="2AEFE1ED" w14:textId="77777777" w:rsidTr="00D16B30">
        <w:trPr>
          <w:trHeight w:val="438"/>
          <w:tblHeader/>
        </w:trPr>
        <w:tc>
          <w:tcPr>
            <w:tcW w:w="4673" w:type="dxa"/>
            <w:shd w:val="clear" w:color="auto" w:fill="D9D9D9" w:themeFill="background1" w:themeFillShade="D9"/>
            <w:vAlign w:val="center"/>
          </w:tcPr>
          <w:p w14:paraId="61A52175" w14:textId="77777777" w:rsidR="00056D04" w:rsidRPr="00E94428" w:rsidRDefault="00056D04" w:rsidP="00262745">
            <w:pPr>
              <w:jc w:val="center"/>
              <w:rPr>
                <w:rFonts w:ascii="Times New Roman" w:hAnsi="Times New Roman" w:cs="Times New Roman"/>
                <w:b/>
                <w:bCs/>
                <w:sz w:val="22"/>
                <w:szCs w:val="22"/>
              </w:rPr>
            </w:pPr>
            <w:r w:rsidRPr="00E94428">
              <w:rPr>
                <w:rFonts w:ascii="Times New Roman" w:hAnsi="Times New Roman" w:cs="Times New Roman"/>
                <w:b/>
                <w:bCs/>
                <w:sz w:val="22"/>
                <w:szCs w:val="22"/>
              </w:rPr>
              <w:t>Behaviour Change Techniques</w:t>
            </w:r>
          </w:p>
        </w:tc>
        <w:tc>
          <w:tcPr>
            <w:tcW w:w="4343" w:type="dxa"/>
            <w:shd w:val="clear" w:color="auto" w:fill="D9D9D9" w:themeFill="background1" w:themeFillShade="D9"/>
            <w:vAlign w:val="center"/>
          </w:tcPr>
          <w:p w14:paraId="170160EB" w14:textId="77777777" w:rsidR="00056D04" w:rsidRPr="00E94428" w:rsidRDefault="00056D04" w:rsidP="00262745">
            <w:pPr>
              <w:jc w:val="center"/>
              <w:rPr>
                <w:rFonts w:ascii="Times New Roman" w:hAnsi="Times New Roman" w:cs="Times New Roman"/>
                <w:b/>
                <w:bCs/>
                <w:sz w:val="22"/>
                <w:szCs w:val="22"/>
              </w:rPr>
            </w:pPr>
            <w:r w:rsidRPr="00E94428">
              <w:rPr>
                <w:rFonts w:ascii="Times New Roman" w:hAnsi="Times New Roman" w:cs="Times New Roman"/>
                <w:b/>
                <w:bCs/>
                <w:sz w:val="22"/>
                <w:szCs w:val="22"/>
              </w:rPr>
              <w:t>Illustrative quotations</w:t>
            </w:r>
          </w:p>
        </w:tc>
      </w:tr>
      <w:tr w:rsidR="00D16B30" w:rsidRPr="00E94428" w14:paraId="5801384A" w14:textId="77777777" w:rsidTr="00646B5E">
        <w:tc>
          <w:tcPr>
            <w:tcW w:w="9016" w:type="dxa"/>
            <w:gridSpan w:val="2"/>
            <w:shd w:val="clear" w:color="auto" w:fill="auto"/>
          </w:tcPr>
          <w:p w14:paraId="567B6C93" w14:textId="0A906047" w:rsidR="00D16B30" w:rsidRPr="00E94428" w:rsidRDefault="00D16B30" w:rsidP="00262745">
            <w:pPr>
              <w:rPr>
                <w:rFonts w:ascii="Times New Roman" w:hAnsi="Times New Roman" w:cs="Times New Roman"/>
                <w:b/>
                <w:bCs/>
                <w:sz w:val="22"/>
                <w:szCs w:val="22"/>
              </w:rPr>
            </w:pPr>
            <w:r w:rsidRPr="00E94428">
              <w:rPr>
                <w:rFonts w:ascii="Times New Roman" w:hAnsi="Times New Roman" w:cs="Times New Roman"/>
                <w:b/>
                <w:bCs/>
                <w:sz w:val="22"/>
                <w:szCs w:val="22"/>
              </w:rPr>
              <w:t>Goals and planning</w:t>
            </w:r>
          </w:p>
        </w:tc>
      </w:tr>
      <w:tr w:rsidR="00056D04" w:rsidRPr="00E94428" w14:paraId="50288EBB" w14:textId="77777777" w:rsidTr="00262745">
        <w:tc>
          <w:tcPr>
            <w:tcW w:w="4673" w:type="dxa"/>
            <w:shd w:val="clear" w:color="auto" w:fill="auto"/>
          </w:tcPr>
          <w:p w14:paraId="41D95682"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t>1.4 Action planning</w:t>
            </w:r>
          </w:p>
          <w:p w14:paraId="49D89B15" w14:textId="77777777" w:rsidR="00056D04" w:rsidRPr="00E94428" w:rsidRDefault="00056D04" w:rsidP="00262745">
            <w:pPr>
              <w:rPr>
                <w:rFonts w:ascii="Times New Roman" w:hAnsi="Times New Roman" w:cs="Times New Roman"/>
                <w:sz w:val="22"/>
                <w:szCs w:val="22"/>
              </w:rPr>
            </w:pPr>
          </w:p>
          <w:p w14:paraId="15C25703"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Prompt details planning of performance of the behaviour (i.e. health check attendance) (must include at least one of context, frequency, duration and intensity)</w:t>
            </w:r>
          </w:p>
          <w:p w14:paraId="5B90D485"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5E35E8A0"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“…by adding a tear-off slip with space for patients to record the date, time and location of their NHS HC …”</w:t>
            </w:r>
          </w:p>
          <w:p w14:paraId="552A3B0F"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Sallis et al. (2016)</w:t>
            </w:r>
          </w:p>
        </w:tc>
      </w:tr>
      <w:tr w:rsidR="00D16B30" w:rsidRPr="00E94428" w14:paraId="7A12A67B" w14:textId="77777777" w:rsidTr="001B3D5A">
        <w:tc>
          <w:tcPr>
            <w:tcW w:w="9016" w:type="dxa"/>
            <w:gridSpan w:val="2"/>
            <w:shd w:val="clear" w:color="auto" w:fill="auto"/>
          </w:tcPr>
          <w:p w14:paraId="5F23C392" w14:textId="676AD796" w:rsidR="00D16B30" w:rsidRPr="00E94428" w:rsidRDefault="00D16B30" w:rsidP="00262745">
            <w:pPr>
              <w:rPr>
                <w:rFonts w:ascii="Times New Roman" w:hAnsi="Times New Roman" w:cs="Times New Roman"/>
                <w:b/>
                <w:bCs/>
                <w:sz w:val="22"/>
                <w:szCs w:val="22"/>
              </w:rPr>
            </w:pPr>
            <w:r w:rsidRPr="00E94428">
              <w:rPr>
                <w:rFonts w:ascii="Times New Roman" w:hAnsi="Times New Roman" w:cs="Times New Roman"/>
                <w:b/>
                <w:bCs/>
                <w:sz w:val="22"/>
                <w:szCs w:val="22"/>
              </w:rPr>
              <w:t>Social support</w:t>
            </w:r>
          </w:p>
        </w:tc>
      </w:tr>
      <w:tr w:rsidR="00056D04" w:rsidRPr="00E94428" w14:paraId="7C37989F" w14:textId="77777777" w:rsidTr="00262745">
        <w:tc>
          <w:tcPr>
            <w:tcW w:w="4673" w:type="dxa"/>
            <w:shd w:val="clear" w:color="auto" w:fill="auto"/>
          </w:tcPr>
          <w:p w14:paraId="3889B2D9"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t>3.2 Social support (practical)</w:t>
            </w:r>
          </w:p>
          <w:p w14:paraId="159EF38B" w14:textId="77777777" w:rsidR="00056D04" w:rsidRPr="00E94428" w:rsidRDefault="00056D04" w:rsidP="00262745">
            <w:pPr>
              <w:rPr>
                <w:rFonts w:ascii="Times New Roman" w:hAnsi="Times New Roman" w:cs="Times New Roman"/>
                <w:sz w:val="22"/>
                <w:szCs w:val="22"/>
              </w:rPr>
            </w:pPr>
          </w:p>
          <w:p w14:paraId="0DF1E4A1"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Advise on, arrange, or provide practical help (from friends, relatives, colleagues, ‘buddies’ or staff) for performance of the behaviour (health check attendance)</w:t>
            </w:r>
          </w:p>
          <w:p w14:paraId="13DCB2C2"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14C26DC8"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i/>
                <w:sz w:val="22"/>
                <w:szCs w:val="22"/>
              </w:rPr>
              <w:t xml:space="preserve">“Can I book you in for an appointment?” </w:t>
            </w:r>
          </w:p>
          <w:p w14:paraId="01FA5911"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Gidlow et al. (2019)</w:t>
            </w:r>
            <w:r w:rsidRPr="00E94428">
              <w:rPr>
                <w:rFonts w:ascii="Times New Roman" w:hAnsi="Times New Roman" w:cs="Times New Roman"/>
                <w:sz w:val="22"/>
                <w:szCs w:val="22"/>
              </w:rPr>
              <w:t xml:space="preserve"> additional file </w:t>
            </w:r>
          </w:p>
        </w:tc>
      </w:tr>
      <w:tr w:rsidR="00D16B30" w:rsidRPr="00E94428" w14:paraId="3B49ADFB" w14:textId="77777777" w:rsidTr="006B55F6">
        <w:tc>
          <w:tcPr>
            <w:tcW w:w="9016" w:type="dxa"/>
            <w:gridSpan w:val="2"/>
            <w:shd w:val="clear" w:color="auto" w:fill="auto"/>
          </w:tcPr>
          <w:p w14:paraId="66649233" w14:textId="0357A7C8" w:rsidR="00D16B30" w:rsidRPr="00E94428" w:rsidRDefault="00D16B30" w:rsidP="00262745">
            <w:pPr>
              <w:rPr>
                <w:rFonts w:ascii="Times New Roman" w:hAnsi="Times New Roman" w:cs="Times New Roman"/>
                <w:b/>
                <w:bCs/>
                <w:sz w:val="22"/>
                <w:szCs w:val="22"/>
              </w:rPr>
            </w:pPr>
            <w:r w:rsidRPr="00E94428">
              <w:rPr>
                <w:rFonts w:ascii="Times New Roman" w:hAnsi="Times New Roman" w:cs="Times New Roman"/>
                <w:b/>
                <w:bCs/>
                <w:sz w:val="22"/>
                <w:szCs w:val="22"/>
              </w:rPr>
              <w:t>Shaping knowledge</w:t>
            </w:r>
          </w:p>
        </w:tc>
      </w:tr>
      <w:tr w:rsidR="00056D04" w:rsidRPr="00E94428" w14:paraId="607324CA" w14:textId="77777777" w:rsidTr="00262745">
        <w:tc>
          <w:tcPr>
            <w:tcW w:w="4673" w:type="dxa"/>
            <w:shd w:val="clear" w:color="auto" w:fill="auto"/>
          </w:tcPr>
          <w:p w14:paraId="14A44EE7"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t xml:space="preserve">4.1 Instruction on how to perform the behaviour </w:t>
            </w:r>
          </w:p>
          <w:p w14:paraId="7E73A9CA" w14:textId="77777777" w:rsidR="00056D04" w:rsidRPr="00E94428" w:rsidRDefault="00056D04" w:rsidP="00262745">
            <w:pPr>
              <w:rPr>
                <w:rFonts w:ascii="Times New Roman" w:hAnsi="Times New Roman" w:cs="Times New Roman"/>
                <w:sz w:val="22"/>
                <w:szCs w:val="22"/>
              </w:rPr>
            </w:pPr>
          </w:p>
          <w:p w14:paraId="36459B3A"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Advise or agree on how to perform the behaviour (includes ‘skills training’)</w:t>
            </w:r>
          </w:p>
          <w:p w14:paraId="2760C8D4"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47052ECD"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 xml:space="preserve">“… The letter included behaviour instruction asking patients to call and book an appointment’, design to instruct the individual as to what action they needed to take…” </w:t>
            </w:r>
          </w:p>
          <w:p w14:paraId="2CE15ABF"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Sallis, Sherlock, et al. (2019)</w:t>
            </w:r>
          </w:p>
          <w:p w14:paraId="5C6316EB" w14:textId="77777777" w:rsidR="00056D04" w:rsidRPr="00E94428" w:rsidRDefault="00056D04" w:rsidP="00262745">
            <w:pPr>
              <w:rPr>
                <w:rFonts w:ascii="Times New Roman" w:hAnsi="Times New Roman" w:cs="Times New Roman"/>
                <w:sz w:val="22"/>
                <w:szCs w:val="22"/>
              </w:rPr>
            </w:pPr>
          </w:p>
        </w:tc>
      </w:tr>
      <w:tr w:rsidR="00D16B30" w:rsidRPr="00E94428" w14:paraId="63AAF20D" w14:textId="77777777" w:rsidTr="005E0430">
        <w:tc>
          <w:tcPr>
            <w:tcW w:w="9016" w:type="dxa"/>
            <w:gridSpan w:val="2"/>
            <w:shd w:val="clear" w:color="auto" w:fill="auto"/>
          </w:tcPr>
          <w:p w14:paraId="78E77CC8" w14:textId="5AD9B6B0" w:rsidR="00D16B30" w:rsidRPr="00E94428" w:rsidRDefault="00D16B30" w:rsidP="00262745">
            <w:pPr>
              <w:rPr>
                <w:rFonts w:ascii="Times New Roman" w:hAnsi="Times New Roman" w:cs="Times New Roman"/>
                <w:b/>
                <w:bCs/>
                <w:sz w:val="22"/>
                <w:szCs w:val="22"/>
              </w:rPr>
            </w:pPr>
            <w:r w:rsidRPr="00E94428">
              <w:rPr>
                <w:rFonts w:ascii="Times New Roman" w:hAnsi="Times New Roman" w:cs="Times New Roman"/>
                <w:b/>
                <w:bCs/>
                <w:sz w:val="22"/>
                <w:szCs w:val="22"/>
              </w:rPr>
              <w:t>Natural consequences</w:t>
            </w:r>
          </w:p>
        </w:tc>
      </w:tr>
      <w:tr w:rsidR="00056D04" w:rsidRPr="00E94428" w14:paraId="046CDB0A" w14:textId="77777777" w:rsidTr="00262745">
        <w:tc>
          <w:tcPr>
            <w:tcW w:w="4673" w:type="dxa"/>
            <w:shd w:val="clear" w:color="auto" w:fill="auto"/>
          </w:tcPr>
          <w:p w14:paraId="3014BE0E"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t xml:space="preserve">5.1 Information about health consequences </w:t>
            </w:r>
          </w:p>
          <w:p w14:paraId="26CBF70E" w14:textId="77777777" w:rsidR="00056D04" w:rsidRPr="00E94428" w:rsidRDefault="00056D04" w:rsidP="00262745">
            <w:pPr>
              <w:rPr>
                <w:rFonts w:ascii="Times New Roman" w:hAnsi="Times New Roman" w:cs="Times New Roman"/>
                <w:sz w:val="22"/>
                <w:szCs w:val="22"/>
              </w:rPr>
            </w:pPr>
          </w:p>
          <w:p w14:paraId="79D19100"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Provide information (e.g. written, verbal, visual) about health consequences of performing the behaviour</w:t>
            </w:r>
          </w:p>
        </w:tc>
        <w:tc>
          <w:tcPr>
            <w:tcW w:w="4343" w:type="dxa"/>
            <w:shd w:val="clear" w:color="auto" w:fill="auto"/>
          </w:tcPr>
          <w:p w14:paraId="77B4A0B0"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“NHS Health Check aim to prevent 1,600 people from heart attacks and stroke per year… reduce your risk of developing Dementia… could prevent you from developing type 2 diabetes”</w:t>
            </w:r>
          </w:p>
          <w:p w14:paraId="67856B28"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Gold et al. (2019)</w:t>
            </w:r>
            <w:r w:rsidRPr="00E94428">
              <w:rPr>
                <w:rFonts w:ascii="Times New Roman" w:hAnsi="Times New Roman" w:cs="Times New Roman"/>
                <w:sz w:val="22"/>
                <w:szCs w:val="22"/>
              </w:rPr>
              <w:t xml:space="preserve"> </w:t>
            </w:r>
          </w:p>
        </w:tc>
      </w:tr>
      <w:tr w:rsidR="00056D04" w:rsidRPr="00E94428" w14:paraId="3B171099" w14:textId="77777777" w:rsidTr="00262745">
        <w:tc>
          <w:tcPr>
            <w:tcW w:w="4673" w:type="dxa"/>
            <w:shd w:val="clear" w:color="auto" w:fill="auto"/>
          </w:tcPr>
          <w:p w14:paraId="5F1BCB9F"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t>5.3 Information about social and environmental consequences</w:t>
            </w:r>
          </w:p>
          <w:p w14:paraId="485F8D6B" w14:textId="77777777" w:rsidR="00056D04" w:rsidRPr="00E94428" w:rsidRDefault="00056D04" w:rsidP="00262745">
            <w:pPr>
              <w:rPr>
                <w:rFonts w:ascii="Times New Roman" w:hAnsi="Times New Roman" w:cs="Times New Roman"/>
                <w:sz w:val="22"/>
                <w:szCs w:val="22"/>
              </w:rPr>
            </w:pPr>
          </w:p>
          <w:p w14:paraId="14C128FA"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Provide information (e.g. written, verbal, visual) about social and environmental consequences of performing the behaviour</w:t>
            </w:r>
          </w:p>
          <w:p w14:paraId="514DAFE6"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2C61E36C"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“…explaining that the NHSHC can help to prevent the development of serious health conditions which take up lots of NHS resource…”</w:t>
            </w:r>
          </w:p>
          <w:p w14:paraId="425E6A0B"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Sallis, Gold, et al. (2019)</w:t>
            </w:r>
          </w:p>
        </w:tc>
      </w:tr>
      <w:tr w:rsidR="00056D04" w:rsidRPr="00E94428" w14:paraId="4DB8FE6C" w14:textId="77777777" w:rsidTr="00262745">
        <w:tc>
          <w:tcPr>
            <w:tcW w:w="4673" w:type="dxa"/>
            <w:shd w:val="clear" w:color="auto" w:fill="auto"/>
          </w:tcPr>
          <w:p w14:paraId="7EE486EF"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t xml:space="preserve">5.5 Anticipated regret </w:t>
            </w:r>
          </w:p>
          <w:p w14:paraId="2019785C" w14:textId="77777777" w:rsidR="00056D04" w:rsidRPr="00E94428" w:rsidRDefault="00056D04" w:rsidP="00262745">
            <w:pPr>
              <w:rPr>
                <w:rFonts w:ascii="Times New Roman" w:hAnsi="Times New Roman" w:cs="Times New Roman"/>
                <w:sz w:val="22"/>
                <w:szCs w:val="22"/>
              </w:rPr>
            </w:pPr>
          </w:p>
          <w:p w14:paraId="0C2B2CE1"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Induce or raise awareness of expectations of future regret about performance of the unwanted behaviour</w:t>
            </w:r>
          </w:p>
          <w:p w14:paraId="6F6563D7"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1FB42079" w14:textId="77777777" w:rsidR="00056D04" w:rsidRPr="00E94428" w:rsidRDefault="00056D04" w:rsidP="00262745">
            <w:pPr>
              <w:autoSpaceDE w:val="0"/>
              <w:autoSpaceDN w:val="0"/>
              <w:adjustRightInd w:val="0"/>
              <w:rPr>
                <w:rFonts w:ascii="Times New Roman" w:hAnsi="Times New Roman" w:cs="Times New Roman"/>
                <w:i/>
                <w:sz w:val="22"/>
                <w:szCs w:val="22"/>
              </w:rPr>
            </w:pPr>
            <w:r w:rsidRPr="00E94428">
              <w:rPr>
                <w:rFonts w:ascii="Times New Roman" w:hAnsi="Times New Roman" w:cs="Times New Roman"/>
                <w:i/>
                <w:sz w:val="22"/>
                <w:szCs w:val="22"/>
              </w:rPr>
              <w:t>“It was also decided to add items assessing anticipated regret because a previous QBE study45 found that, among participants who returned completed questionnaires, those who completed a TPB with anticipated regret questionnaire had a significantly higher cervical cancer screening attendance rate … than those who received a TPB-only questionnaire ...”</w:t>
            </w:r>
          </w:p>
          <w:p w14:paraId="5C4E950D" w14:textId="77777777" w:rsidR="00056D04" w:rsidRPr="00E94428" w:rsidRDefault="00056D04" w:rsidP="00262745">
            <w:pPr>
              <w:autoSpaceDE w:val="0"/>
              <w:autoSpaceDN w:val="0"/>
              <w:adjustRightInd w:val="0"/>
              <w:jc w:val="right"/>
              <w:rPr>
                <w:rFonts w:ascii="Times New Roman" w:hAnsi="Times New Roman" w:cs="Times New Roman"/>
                <w:sz w:val="22"/>
                <w:szCs w:val="22"/>
              </w:rPr>
            </w:pPr>
            <w:r w:rsidRPr="00E94428">
              <w:rPr>
                <w:rFonts w:ascii="Times New Roman" w:hAnsi="Times New Roman" w:cs="Times New Roman"/>
                <w:noProof/>
                <w:sz w:val="22"/>
                <w:szCs w:val="22"/>
              </w:rPr>
              <w:t>McDermott et al. (2016)</w:t>
            </w:r>
          </w:p>
        </w:tc>
      </w:tr>
      <w:tr w:rsidR="00D16B30" w:rsidRPr="00E94428" w14:paraId="4824DD09" w14:textId="77777777" w:rsidTr="006727DD">
        <w:tc>
          <w:tcPr>
            <w:tcW w:w="9016" w:type="dxa"/>
            <w:gridSpan w:val="2"/>
            <w:shd w:val="clear" w:color="auto" w:fill="auto"/>
          </w:tcPr>
          <w:p w14:paraId="5DBD7456" w14:textId="250B0E86" w:rsidR="00D16B30" w:rsidRPr="00E94428" w:rsidRDefault="00D16B30" w:rsidP="00262745">
            <w:pPr>
              <w:rPr>
                <w:rFonts w:ascii="Times New Roman" w:hAnsi="Times New Roman" w:cs="Times New Roman"/>
                <w:b/>
                <w:bCs/>
                <w:sz w:val="22"/>
                <w:szCs w:val="22"/>
              </w:rPr>
            </w:pPr>
            <w:r w:rsidRPr="00E94428">
              <w:rPr>
                <w:rFonts w:ascii="Times New Roman" w:hAnsi="Times New Roman" w:cs="Times New Roman"/>
                <w:b/>
                <w:bCs/>
                <w:sz w:val="22"/>
                <w:szCs w:val="22"/>
              </w:rPr>
              <w:t>Comparison of behaviour</w:t>
            </w:r>
          </w:p>
        </w:tc>
      </w:tr>
      <w:tr w:rsidR="00056D04" w:rsidRPr="00E94428" w14:paraId="234FF341" w14:textId="77777777" w:rsidTr="00262745">
        <w:tc>
          <w:tcPr>
            <w:tcW w:w="4673" w:type="dxa"/>
            <w:shd w:val="clear" w:color="auto" w:fill="auto"/>
          </w:tcPr>
          <w:p w14:paraId="49407B49"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lastRenderedPageBreak/>
              <w:t xml:space="preserve">6.2 Social comparison </w:t>
            </w:r>
          </w:p>
          <w:p w14:paraId="49C67144" w14:textId="77777777" w:rsidR="00056D04" w:rsidRPr="00E94428" w:rsidRDefault="00056D04" w:rsidP="00262745">
            <w:pPr>
              <w:rPr>
                <w:rFonts w:ascii="Times New Roman" w:hAnsi="Times New Roman" w:cs="Times New Roman"/>
                <w:sz w:val="22"/>
                <w:szCs w:val="22"/>
              </w:rPr>
            </w:pPr>
          </w:p>
          <w:p w14:paraId="5CF41E0F"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Draw attention to others’ performance to allow comparison with the person’s own performance</w:t>
            </w:r>
          </w:p>
          <w:p w14:paraId="1C3215EB"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487FA480"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i/>
                <w:iCs/>
                <w:sz w:val="22"/>
                <w:szCs w:val="22"/>
              </w:rPr>
              <w:t>“Make the most of life. Book your NHS Health Check. 6 million people have already attended”</w:t>
            </w:r>
          </w:p>
          <w:p w14:paraId="63D68AF4"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Gold et al. (2019)</w:t>
            </w:r>
          </w:p>
          <w:p w14:paraId="389DA548" w14:textId="77777777" w:rsidR="00056D04" w:rsidRPr="00E94428" w:rsidRDefault="00056D04" w:rsidP="00262745">
            <w:pPr>
              <w:jc w:val="right"/>
              <w:rPr>
                <w:rFonts w:ascii="Times New Roman" w:hAnsi="Times New Roman" w:cs="Times New Roman"/>
                <w:sz w:val="22"/>
                <w:szCs w:val="22"/>
              </w:rPr>
            </w:pPr>
          </w:p>
          <w:p w14:paraId="12DA918D"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“similarity was emphasised – ‘thousands of people like you have attended their health check’”</w:t>
            </w:r>
          </w:p>
          <w:p w14:paraId="660E9241"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Sallis, Sherlock, et al. (2019)</w:t>
            </w:r>
          </w:p>
          <w:p w14:paraId="580DC51E" w14:textId="77777777" w:rsidR="00056D04" w:rsidRPr="00E94428" w:rsidRDefault="00056D04" w:rsidP="00262745">
            <w:pPr>
              <w:jc w:val="right"/>
              <w:rPr>
                <w:rFonts w:ascii="Times New Roman" w:hAnsi="Times New Roman" w:cs="Times New Roman"/>
                <w:sz w:val="22"/>
                <w:szCs w:val="22"/>
              </w:rPr>
            </w:pPr>
          </w:p>
        </w:tc>
      </w:tr>
      <w:tr w:rsidR="00056D04" w:rsidRPr="00E94428" w14:paraId="48E67625" w14:textId="77777777" w:rsidTr="00262745">
        <w:tc>
          <w:tcPr>
            <w:tcW w:w="4673" w:type="dxa"/>
            <w:shd w:val="clear" w:color="auto" w:fill="auto"/>
          </w:tcPr>
          <w:p w14:paraId="4D33D8E8"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t>6.3 Information about others’ approval</w:t>
            </w:r>
          </w:p>
          <w:p w14:paraId="59152362" w14:textId="77777777" w:rsidR="00056D04" w:rsidRPr="00E94428" w:rsidRDefault="00056D04" w:rsidP="00262745">
            <w:pPr>
              <w:rPr>
                <w:rFonts w:ascii="Times New Roman" w:hAnsi="Times New Roman" w:cs="Times New Roman"/>
                <w:sz w:val="22"/>
                <w:szCs w:val="22"/>
              </w:rPr>
            </w:pPr>
          </w:p>
          <w:p w14:paraId="1AFB3E0C"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Provide information about what other people think about the behaviour. The information clarifies whether others will like, approve or disapprove of what the person is doing or will do</w:t>
            </w:r>
          </w:p>
        </w:tc>
        <w:tc>
          <w:tcPr>
            <w:tcW w:w="4343" w:type="dxa"/>
            <w:shd w:val="clear" w:color="auto" w:fill="auto"/>
          </w:tcPr>
          <w:p w14:paraId="338804DD"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“Many people find it beneficial”</w:t>
            </w:r>
          </w:p>
          <w:p w14:paraId="042F5619"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Gold et al. (2019)</w:t>
            </w:r>
          </w:p>
          <w:p w14:paraId="2706BF52" w14:textId="77777777" w:rsidR="00056D04" w:rsidRPr="00E94428" w:rsidRDefault="00056D04" w:rsidP="00262745">
            <w:pPr>
              <w:jc w:val="right"/>
              <w:rPr>
                <w:rFonts w:ascii="Times New Roman" w:hAnsi="Times New Roman" w:cs="Times New Roman"/>
                <w:sz w:val="22"/>
                <w:szCs w:val="22"/>
              </w:rPr>
            </w:pPr>
          </w:p>
        </w:tc>
      </w:tr>
      <w:tr w:rsidR="00D16B30" w:rsidRPr="00E94428" w14:paraId="08F9B824" w14:textId="77777777" w:rsidTr="004812ED">
        <w:tc>
          <w:tcPr>
            <w:tcW w:w="9016" w:type="dxa"/>
            <w:gridSpan w:val="2"/>
            <w:shd w:val="clear" w:color="auto" w:fill="auto"/>
          </w:tcPr>
          <w:p w14:paraId="16D51E57" w14:textId="29979F58" w:rsidR="00D16B30" w:rsidRPr="00E94428" w:rsidRDefault="00D16B30" w:rsidP="00262745">
            <w:pPr>
              <w:rPr>
                <w:rFonts w:ascii="Times New Roman" w:hAnsi="Times New Roman" w:cs="Times New Roman"/>
                <w:b/>
                <w:bCs/>
                <w:sz w:val="22"/>
                <w:szCs w:val="22"/>
              </w:rPr>
            </w:pPr>
            <w:r w:rsidRPr="00E94428">
              <w:rPr>
                <w:rFonts w:ascii="Times New Roman" w:hAnsi="Times New Roman" w:cs="Times New Roman"/>
                <w:b/>
                <w:bCs/>
                <w:sz w:val="22"/>
                <w:szCs w:val="22"/>
              </w:rPr>
              <w:t>Association</w:t>
            </w:r>
          </w:p>
        </w:tc>
      </w:tr>
      <w:tr w:rsidR="00056D04" w:rsidRPr="00E94428" w14:paraId="78B48742" w14:textId="77777777" w:rsidTr="00262745">
        <w:tc>
          <w:tcPr>
            <w:tcW w:w="4673" w:type="dxa"/>
            <w:shd w:val="clear" w:color="auto" w:fill="auto"/>
          </w:tcPr>
          <w:p w14:paraId="6F19E9F5"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t xml:space="preserve">7.1 Prompts/ cues </w:t>
            </w:r>
          </w:p>
          <w:p w14:paraId="503154A3" w14:textId="77777777" w:rsidR="00056D04" w:rsidRPr="00E94428" w:rsidRDefault="00056D04" w:rsidP="00262745">
            <w:pPr>
              <w:rPr>
                <w:rFonts w:ascii="Times New Roman" w:hAnsi="Times New Roman" w:cs="Times New Roman"/>
                <w:sz w:val="22"/>
                <w:szCs w:val="22"/>
              </w:rPr>
            </w:pPr>
          </w:p>
          <w:p w14:paraId="0F88DC24"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Introduce or define environmental or social stimulus with the purpose of prompting or cueing the behaviour. The prompt or cue would normally occur at the time or place of performance</w:t>
            </w:r>
          </w:p>
          <w:p w14:paraId="10720C46"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024D9FF1"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“adding a tear-off slip …. With an instruction to stick it to their fridge, the letter intended to address the intention-behaviour gap… through planning prompts.”</w:t>
            </w:r>
          </w:p>
          <w:p w14:paraId="76FD911A"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Sallis et al. (2016)</w:t>
            </w:r>
          </w:p>
        </w:tc>
      </w:tr>
      <w:tr w:rsidR="00D16B30" w:rsidRPr="00E94428" w14:paraId="343C0654" w14:textId="77777777" w:rsidTr="00C500CE">
        <w:tc>
          <w:tcPr>
            <w:tcW w:w="9016" w:type="dxa"/>
            <w:gridSpan w:val="2"/>
            <w:shd w:val="clear" w:color="auto" w:fill="auto"/>
          </w:tcPr>
          <w:p w14:paraId="1D5DD834" w14:textId="570E7E89" w:rsidR="00D16B30" w:rsidRPr="00E94428" w:rsidRDefault="00D16B30" w:rsidP="00262745">
            <w:pPr>
              <w:rPr>
                <w:rFonts w:ascii="Times New Roman" w:hAnsi="Times New Roman" w:cs="Times New Roman"/>
                <w:sz w:val="22"/>
                <w:szCs w:val="22"/>
              </w:rPr>
            </w:pPr>
            <w:r w:rsidRPr="00E94428">
              <w:rPr>
                <w:rFonts w:ascii="Times New Roman" w:hAnsi="Times New Roman" w:cs="Times New Roman"/>
                <w:b/>
                <w:color w:val="000000"/>
                <w:sz w:val="22"/>
                <w:szCs w:val="22"/>
              </w:rPr>
              <w:t>Comparison of outcomes</w:t>
            </w:r>
          </w:p>
        </w:tc>
      </w:tr>
      <w:tr w:rsidR="00056D04" w:rsidRPr="00E94428" w14:paraId="3E65BE4B" w14:textId="77777777" w:rsidTr="00262745">
        <w:tc>
          <w:tcPr>
            <w:tcW w:w="4673" w:type="dxa"/>
            <w:shd w:val="clear" w:color="auto" w:fill="auto"/>
          </w:tcPr>
          <w:p w14:paraId="7DCB8A45"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color w:val="000000"/>
                <w:sz w:val="22"/>
                <w:szCs w:val="22"/>
              </w:rPr>
              <w:t>9.1. Credible sources</w:t>
            </w:r>
            <w:r w:rsidRPr="00E94428">
              <w:rPr>
                <w:rFonts w:ascii="Times New Roman" w:hAnsi="Times New Roman" w:cs="Times New Roman"/>
                <w:sz w:val="22"/>
                <w:szCs w:val="22"/>
              </w:rPr>
              <w:t xml:space="preserve"> </w:t>
            </w:r>
          </w:p>
          <w:p w14:paraId="04847D65" w14:textId="77777777" w:rsidR="00056D04" w:rsidRPr="00E94428" w:rsidRDefault="00056D04" w:rsidP="00262745">
            <w:pPr>
              <w:rPr>
                <w:rFonts w:ascii="Times New Roman" w:hAnsi="Times New Roman" w:cs="Times New Roman"/>
                <w:sz w:val="22"/>
                <w:szCs w:val="22"/>
              </w:rPr>
            </w:pPr>
          </w:p>
          <w:p w14:paraId="69CB36C6" w14:textId="77777777" w:rsidR="00056D04" w:rsidRPr="00E94428" w:rsidRDefault="00056D04" w:rsidP="00262745">
            <w:pPr>
              <w:ind w:left="720"/>
              <w:rPr>
                <w:rFonts w:ascii="Times New Roman" w:hAnsi="Times New Roman" w:cs="Times New Roman"/>
                <w:color w:val="000000"/>
                <w:sz w:val="22"/>
                <w:szCs w:val="22"/>
              </w:rPr>
            </w:pPr>
            <w:r w:rsidRPr="00E94428">
              <w:rPr>
                <w:rFonts w:ascii="Times New Roman" w:hAnsi="Times New Roman" w:cs="Times New Roman"/>
                <w:color w:val="000000"/>
                <w:sz w:val="22"/>
                <w:szCs w:val="22"/>
              </w:rPr>
              <w:t>Present verbal or visual communication from a credible source in favour of or against the behaviour (e.g. from the general practitioner)</w:t>
            </w:r>
          </w:p>
          <w:p w14:paraId="340134C7"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2D5290E2"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“…the letter detailing ‘excuses’ for not attending an NHSHC alongside a reply from the GP to counter this excuse”</w:t>
            </w:r>
          </w:p>
          <w:p w14:paraId="538CF8BB" w14:textId="77777777" w:rsidR="00056D04" w:rsidRPr="00E94428" w:rsidRDefault="00056D04" w:rsidP="00262745">
            <w:pPr>
              <w:rPr>
                <w:rFonts w:ascii="Times New Roman" w:hAnsi="Times New Roman" w:cs="Times New Roman"/>
                <w:i/>
                <w:iCs/>
                <w:sz w:val="22"/>
                <w:szCs w:val="22"/>
              </w:rPr>
            </w:pPr>
          </w:p>
          <w:p w14:paraId="622EF479"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Sallis, Gold, et al. (2019)</w:t>
            </w:r>
          </w:p>
        </w:tc>
      </w:tr>
      <w:tr w:rsidR="00056D04" w:rsidRPr="00E94428" w14:paraId="5D44C5BB" w14:textId="77777777" w:rsidTr="00262745">
        <w:tc>
          <w:tcPr>
            <w:tcW w:w="4673" w:type="dxa"/>
            <w:shd w:val="clear" w:color="auto" w:fill="auto"/>
          </w:tcPr>
          <w:p w14:paraId="60421225"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color w:val="000000"/>
                <w:sz w:val="22"/>
                <w:szCs w:val="22"/>
              </w:rPr>
              <w:t>9.3 Comparative imagining of future outcomes</w:t>
            </w:r>
            <w:r w:rsidRPr="00E94428">
              <w:rPr>
                <w:rFonts w:ascii="Times New Roman" w:hAnsi="Times New Roman" w:cs="Times New Roman"/>
                <w:sz w:val="22"/>
                <w:szCs w:val="22"/>
              </w:rPr>
              <w:t xml:space="preserve"> </w:t>
            </w:r>
          </w:p>
          <w:p w14:paraId="61BEF98B" w14:textId="77777777" w:rsidR="00056D04" w:rsidRPr="00E94428" w:rsidRDefault="00056D04" w:rsidP="00262745">
            <w:pPr>
              <w:rPr>
                <w:rFonts w:ascii="Times New Roman" w:hAnsi="Times New Roman" w:cs="Times New Roman"/>
                <w:sz w:val="22"/>
                <w:szCs w:val="22"/>
              </w:rPr>
            </w:pPr>
          </w:p>
          <w:p w14:paraId="76783D1C"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color w:val="000000"/>
                <w:sz w:val="22"/>
                <w:szCs w:val="22"/>
              </w:rPr>
              <w:t>Prompt or advise the imagining and comparing of future outcomes of changed versus unchanged behaviour</w:t>
            </w:r>
          </w:p>
        </w:tc>
        <w:tc>
          <w:tcPr>
            <w:tcW w:w="4343" w:type="dxa"/>
            <w:shd w:val="clear" w:color="auto" w:fill="auto"/>
          </w:tcPr>
          <w:p w14:paraId="7DCD3F6C"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 xml:space="preserve">“the loss-framed leaflet…had traffic-light coloured faces with appropriate emotional expressions to reinforce the personalised consequence of the NHS Health Check: ‘Not attending: You might be at risk of stroke, </w:t>
            </w:r>
            <w:proofErr w:type="gramStart"/>
            <w:r w:rsidRPr="00E94428">
              <w:rPr>
                <w:rFonts w:ascii="Times New Roman" w:hAnsi="Times New Roman" w:cs="Times New Roman"/>
                <w:i/>
                <w:iCs/>
                <w:sz w:val="22"/>
                <w:szCs w:val="22"/>
              </w:rPr>
              <w:t>If</w:t>
            </w:r>
            <w:proofErr w:type="gramEnd"/>
            <w:r w:rsidRPr="00E94428">
              <w:rPr>
                <w:rFonts w:ascii="Times New Roman" w:hAnsi="Times New Roman" w:cs="Times New Roman"/>
                <w:i/>
                <w:iCs/>
                <w:sz w:val="22"/>
                <w:szCs w:val="22"/>
              </w:rPr>
              <w:t xml:space="preserve"> you don’t know, you can’t do anything about it, ‘Ignoring: You can’t ignore diabetes. Don’t ignore your NHS Health Check’, and ‘Attending Your NHS Health Check could help prevent dementia, type 2 diabetes and more’</w:t>
            </w:r>
          </w:p>
          <w:p w14:paraId="460713EF" w14:textId="77777777" w:rsidR="00056D04" w:rsidRPr="00E94428" w:rsidRDefault="00056D04" w:rsidP="00262745">
            <w:pPr>
              <w:rPr>
                <w:rFonts w:ascii="Times New Roman" w:hAnsi="Times New Roman" w:cs="Times New Roman"/>
                <w:i/>
                <w:iCs/>
                <w:sz w:val="22"/>
                <w:szCs w:val="22"/>
              </w:rPr>
            </w:pPr>
          </w:p>
          <w:p w14:paraId="1894A1DA"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Gold et al. (2019)</w:t>
            </w:r>
          </w:p>
          <w:p w14:paraId="1911DC7F" w14:textId="77777777" w:rsidR="00056D04" w:rsidRPr="00E94428" w:rsidRDefault="00056D04" w:rsidP="00262745">
            <w:pPr>
              <w:jc w:val="right"/>
              <w:rPr>
                <w:rFonts w:ascii="Times New Roman" w:hAnsi="Times New Roman" w:cs="Times New Roman"/>
                <w:sz w:val="22"/>
                <w:szCs w:val="22"/>
              </w:rPr>
            </w:pPr>
          </w:p>
        </w:tc>
      </w:tr>
      <w:tr w:rsidR="00D16B30" w:rsidRPr="00E94428" w14:paraId="7BB41B2D" w14:textId="77777777" w:rsidTr="00D44ECB">
        <w:tc>
          <w:tcPr>
            <w:tcW w:w="9016" w:type="dxa"/>
            <w:gridSpan w:val="2"/>
            <w:shd w:val="clear" w:color="auto" w:fill="auto"/>
          </w:tcPr>
          <w:p w14:paraId="0A305832" w14:textId="1F44CC45" w:rsidR="00D16B30" w:rsidRPr="00E94428" w:rsidRDefault="00D16B30" w:rsidP="00262745">
            <w:pPr>
              <w:rPr>
                <w:rFonts w:ascii="Times New Roman" w:hAnsi="Times New Roman" w:cs="Times New Roman"/>
                <w:b/>
                <w:bCs/>
                <w:sz w:val="22"/>
                <w:szCs w:val="22"/>
              </w:rPr>
            </w:pPr>
            <w:r w:rsidRPr="00E94428">
              <w:rPr>
                <w:rFonts w:ascii="Times New Roman" w:hAnsi="Times New Roman" w:cs="Times New Roman"/>
                <w:b/>
                <w:bCs/>
                <w:color w:val="000000"/>
                <w:sz w:val="22"/>
                <w:szCs w:val="22"/>
              </w:rPr>
              <w:t>Reward and threat</w:t>
            </w:r>
          </w:p>
        </w:tc>
      </w:tr>
      <w:tr w:rsidR="00056D04" w:rsidRPr="00E94428" w14:paraId="307052F9" w14:textId="77777777" w:rsidTr="00262745">
        <w:tc>
          <w:tcPr>
            <w:tcW w:w="4673" w:type="dxa"/>
            <w:shd w:val="clear" w:color="auto" w:fill="auto"/>
          </w:tcPr>
          <w:p w14:paraId="47838336" w14:textId="77777777" w:rsidR="00056D04" w:rsidRPr="00E94428" w:rsidRDefault="00056D04" w:rsidP="00262745">
            <w:pPr>
              <w:rPr>
                <w:rFonts w:ascii="Times New Roman" w:hAnsi="Times New Roman" w:cs="Times New Roman"/>
                <w:color w:val="000000"/>
                <w:sz w:val="22"/>
                <w:szCs w:val="22"/>
              </w:rPr>
            </w:pPr>
            <w:r w:rsidRPr="00E94428">
              <w:rPr>
                <w:rFonts w:ascii="Times New Roman" w:hAnsi="Times New Roman" w:cs="Times New Roman"/>
                <w:color w:val="000000"/>
                <w:sz w:val="22"/>
                <w:szCs w:val="22"/>
              </w:rPr>
              <w:t>10.1 Material incentive (behaviour)</w:t>
            </w:r>
          </w:p>
          <w:p w14:paraId="1B4D7DD2" w14:textId="77777777" w:rsidR="00056D04" w:rsidRPr="00E94428" w:rsidRDefault="00056D04" w:rsidP="00262745">
            <w:pPr>
              <w:rPr>
                <w:rFonts w:ascii="Times New Roman" w:hAnsi="Times New Roman" w:cs="Times New Roman"/>
                <w:color w:val="000000"/>
                <w:sz w:val="22"/>
                <w:szCs w:val="22"/>
              </w:rPr>
            </w:pPr>
          </w:p>
          <w:p w14:paraId="06E0948B"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color w:val="000000"/>
                <w:sz w:val="22"/>
                <w:szCs w:val="22"/>
              </w:rPr>
              <w:t xml:space="preserve">Inform that money, vouchers or other valued objects will be delivered if and only if there has been effort and/or </w:t>
            </w:r>
            <w:r w:rsidRPr="00E94428">
              <w:rPr>
                <w:rFonts w:ascii="Times New Roman" w:hAnsi="Times New Roman" w:cs="Times New Roman"/>
                <w:color w:val="000000"/>
                <w:sz w:val="22"/>
                <w:szCs w:val="22"/>
              </w:rPr>
              <w:lastRenderedPageBreak/>
              <w:t>progress in performing the behaviour (include ‘Positive reinforcement’)</w:t>
            </w:r>
          </w:p>
        </w:tc>
        <w:tc>
          <w:tcPr>
            <w:tcW w:w="4343" w:type="dxa"/>
            <w:shd w:val="clear" w:color="auto" w:fill="auto"/>
          </w:tcPr>
          <w:p w14:paraId="70AF5543" w14:textId="77777777" w:rsidR="00056D04" w:rsidRPr="00E94428" w:rsidRDefault="00056D04" w:rsidP="00262745">
            <w:pPr>
              <w:autoSpaceDE w:val="0"/>
              <w:autoSpaceDN w:val="0"/>
              <w:adjustRightInd w:val="0"/>
              <w:rPr>
                <w:rFonts w:ascii="Times New Roman" w:hAnsi="Times New Roman" w:cs="Times New Roman"/>
                <w:i/>
                <w:sz w:val="22"/>
                <w:szCs w:val="22"/>
              </w:rPr>
            </w:pPr>
            <w:r w:rsidRPr="00E94428">
              <w:rPr>
                <w:rFonts w:ascii="Times New Roman" w:hAnsi="Times New Roman" w:cs="Times New Roman"/>
                <w:i/>
                <w:sz w:val="22"/>
                <w:szCs w:val="22"/>
              </w:rPr>
              <w:lastRenderedPageBreak/>
              <w:t>“The covering letter in this trial arm offered the £5 retail voucher as an incentive to return the questionnaire.</w:t>
            </w:r>
            <w:r w:rsidRPr="00E94428">
              <w:rPr>
                <w:rFonts w:ascii="Times New Roman" w:hAnsi="Times New Roman" w:cs="Times New Roman"/>
                <w:i/>
                <w:iCs/>
                <w:sz w:val="22"/>
                <w:szCs w:val="22"/>
              </w:rPr>
              <w:t>”</w:t>
            </w:r>
          </w:p>
          <w:p w14:paraId="1166D118"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McDermott et al. (2016)</w:t>
            </w:r>
          </w:p>
        </w:tc>
      </w:tr>
      <w:tr w:rsidR="00D16B30" w:rsidRPr="00E94428" w14:paraId="5FCF2F54" w14:textId="77777777" w:rsidTr="009C16EC">
        <w:tc>
          <w:tcPr>
            <w:tcW w:w="9016" w:type="dxa"/>
            <w:gridSpan w:val="2"/>
            <w:shd w:val="clear" w:color="auto" w:fill="auto"/>
          </w:tcPr>
          <w:p w14:paraId="0D17A986" w14:textId="7565305C" w:rsidR="00D16B30" w:rsidRPr="00E94428" w:rsidRDefault="00D16B30" w:rsidP="00262745">
            <w:pPr>
              <w:rPr>
                <w:rFonts w:ascii="Times New Roman" w:hAnsi="Times New Roman" w:cs="Times New Roman"/>
                <w:b/>
                <w:bCs/>
                <w:sz w:val="22"/>
                <w:szCs w:val="22"/>
              </w:rPr>
            </w:pPr>
            <w:r w:rsidRPr="00E94428">
              <w:rPr>
                <w:rFonts w:ascii="Times New Roman" w:hAnsi="Times New Roman" w:cs="Times New Roman"/>
                <w:b/>
                <w:bCs/>
                <w:color w:val="000000"/>
                <w:sz w:val="22"/>
                <w:szCs w:val="22"/>
              </w:rPr>
              <w:t>Identity</w:t>
            </w:r>
          </w:p>
        </w:tc>
      </w:tr>
      <w:tr w:rsidR="00056D04" w:rsidRPr="00E94428" w14:paraId="517ECA16" w14:textId="77777777" w:rsidTr="00262745">
        <w:tc>
          <w:tcPr>
            <w:tcW w:w="4673" w:type="dxa"/>
            <w:shd w:val="clear" w:color="auto" w:fill="auto"/>
          </w:tcPr>
          <w:p w14:paraId="2A578574"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color w:val="000000"/>
                <w:sz w:val="22"/>
                <w:szCs w:val="22"/>
              </w:rPr>
              <w:t>13.2 Framing/ reframing</w:t>
            </w:r>
            <w:r w:rsidRPr="00E94428">
              <w:rPr>
                <w:rFonts w:ascii="Times New Roman" w:hAnsi="Times New Roman" w:cs="Times New Roman"/>
                <w:sz w:val="22"/>
                <w:szCs w:val="22"/>
              </w:rPr>
              <w:t xml:space="preserve"> </w:t>
            </w:r>
          </w:p>
          <w:p w14:paraId="7AA7881B" w14:textId="77777777" w:rsidR="00056D04" w:rsidRPr="00E94428" w:rsidRDefault="00056D04" w:rsidP="00262745">
            <w:pPr>
              <w:rPr>
                <w:rFonts w:ascii="Times New Roman" w:hAnsi="Times New Roman" w:cs="Times New Roman"/>
                <w:sz w:val="22"/>
                <w:szCs w:val="22"/>
              </w:rPr>
            </w:pPr>
          </w:p>
          <w:p w14:paraId="081D7344" w14:textId="77777777" w:rsidR="00056D04" w:rsidRPr="00E94428" w:rsidRDefault="00056D04" w:rsidP="00262745">
            <w:pPr>
              <w:ind w:left="720"/>
              <w:rPr>
                <w:rFonts w:ascii="Times New Roman" w:hAnsi="Times New Roman" w:cs="Times New Roman"/>
                <w:color w:val="000000"/>
                <w:sz w:val="22"/>
                <w:szCs w:val="22"/>
              </w:rPr>
            </w:pPr>
            <w:r w:rsidRPr="00E94428">
              <w:rPr>
                <w:rFonts w:ascii="Times New Roman" w:hAnsi="Times New Roman" w:cs="Times New Roman"/>
                <w:color w:val="000000"/>
                <w:sz w:val="22"/>
                <w:szCs w:val="22"/>
              </w:rPr>
              <w:t>Suggest the deliberate adoption of a perspective or new perspective on behaviour (e.g. its purpose) in order to change cognitions or emotions about performing the behaviour (include ‘cognitive structuring’)</w:t>
            </w:r>
          </w:p>
          <w:p w14:paraId="6CDBAA21"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421A9732" w14:textId="77777777" w:rsidR="00056D04" w:rsidRPr="00E94428" w:rsidRDefault="00056D04" w:rsidP="00262745">
            <w:pPr>
              <w:rPr>
                <w:rFonts w:ascii="Times New Roman" w:hAnsi="Times New Roman" w:cs="Times New Roman"/>
                <w:i/>
                <w:sz w:val="22"/>
                <w:szCs w:val="22"/>
              </w:rPr>
            </w:pPr>
            <w:r w:rsidRPr="00E94428">
              <w:rPr>
                <w:rFonts w:ascii="Times New Roman" w:hAnsi="Times New Roman" w:cs="Times New Roman"/>
                <w:i/>
                <w:sz w:val="22"/>
                <w:szCs w:val="22"/>
              </w:rPr>
              <w:t>“The second argument explains that family history plays only a small role in the cause of heart attacks and that looking after your body is also important; this aimed to overcome the belief that family history dictates their future health outcomes.”</w:t>
            </w:r>
          </w:p>
          <w:p w14:paraId="11271F86" w14:textId="77777777" w:rsidR="00056D04" w:rsidRPr="00E94428" w:rsidRDefault="00056D04" w:rsidP="00262745">
            <w:pPr>
              <w:rPr>
                <w:rFonts w:ascii="Times New Roman" w:hAnsi="Times New Roman" w:cs="Times New Roman"/>
                <w:i/>
                <w:sz w:val="22"/>
                <w:szCs w:val="22"/>
              </w:rPr>
            </w:pPr>
          </w:p>
          <w:p w14:paraId="24F120A9"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Sallis, Gold, et al. (2019)</w:t>
            </w:r>
          </w:p>
        </w:tc>
      </w:tr>
      <w:tr w:rsidR="00056D04" w:rsidRPr="00E94428" w14:paraId="3C257DBE" w14:textId="77777777" w:rsidTr="00262745">
        <w:tc>
          <w:tcPr>
            <w:tcW w:w="4673" w:type="dxa"/>
            <w:shd w:val="clear" w:color="auto" w:fill="auto"/>
          </w:tcPr>
          <w:p w14:paraId="081B8DE7"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color w:val="000000"/>
                <w:sz w:val="22"/>
                <w:szCs w:val="22"/>
              </w:rPr>
              <w:t>13.3 Incompatible belief</w:t>
            </w:r>
            <w:r w:rsidRPr="00E94428">
              <w:rPr>
                <w:rFonts w:ascii="Times New Roman" w:hAnsi="Times New Roman" w:cs="Times New Roman"/>
                <w:sz w:val="22"/>
                <w:szCs w:val="22"/>
              </w:rPr>
              <w:t xml:space="preserve"> </w:t>
            </w:r>
          </w:p>
          <w:p w14:paraId="241F9D94" w14:textId="77777777" w:rsidR="00056D04" w:rsidRPr="00E94428" w:rsidRDefault="00056D04" w:rsidP="00262745">
            <w:pPr>
              <w:rPr>
                <w:rFonts w:ascii="Times New Roman" w:hAnsi="Times New Roman" w:cs="Times New Roman"/>
                <w:sz w:val="22"/>
                <w:szCs w:val="22"/>
              </w:rPr>
            </w:pPr>
          </w:p>
          <w:p w14:paraId="6BECF541" w14:textId="77777777" w:rsidR="00056D04" w:rsidRPr="00E94428" w:rsidRDefault="00056D04" w:rsidP="00262745">
            <w:pPr>
              <w:ind w:left="720"/>
              <w:rPr>
                <w:rFonts w:ascii="Times New Roman" w:hAnsi="Times New Roman" w:cs="Times New Roman"/>
                <w:color w:val="000000"/>
                <w:sz w:val="22"/>
                <w:szCs w:val="22"/>
              </w:rPr>
            </w:pPr>
            <w:r w:rsidRPr="00E94428">
              <w:rPr>
                <w:rFonts w:ascii="Times New Roman" w:hAnsi="Times New Roman" w:cs="Times New Roman"/>
                <w:color w:val="000000"/>
                <w:sz w:val="22"/>
                <w:szCs w:val="22"/>
              </w:rPr>
              <w:t>Draw attention to discrepancies between current or past behaviour and self-image, in order to create discomfort (include ‘cognitive dissonance’).</w:t>
            </w:r>
          </w:p>
          <w:p w14:paraId="7C89AB2E" w14:textId="77777777" w:rsidR="00056D04" w:rsidRPr="00E94428" w:rsidRDefault="00056D04" w:rsidP="00262745">
            <w:pPr>
              <w:ind w:left="720"/>
              <w:rPr>
                <w:rFonts w:ascii="Times New Roman" w:hAnsi="Times New Roman" w:cs="Times New Roman"/>
                <w:sz w:val="22"/>
                <w:szCs w:val="22"/>
              </w:rPr>
            </w:pPr>
          </w:p>
        </w:tc>
        <w:tc>
          <w:tcPr>
            <w:tcW w:w="4343" w:type="dxa"/>
            <w:shd w:val="clear" w:color="auto" w:fill="auto"/>
          </w:tcPr>
          <w:p w14:paraId="48790B8E" w14:textId="77777777" w:rsidR="00056D04" w:rsidRPr="00E94428" w:rsidRDefault="00056D04" w:rsidP="00262745">
            <w:pPr>
              <w:autoSpaceDE w:val="0"/>
              <w:autoSpaceDN w:val="0"/>
              <w:adjustRightInd w:val="0"/>
              <w:rPr>
                <w:rFonts w:ascii="Times New Roman" w:hAnsi="Times New Roman" w:cs="Times New Roman"/>
                <w:i/>
                <w:sz w:val="22"/>
                <w:szCs w:val="22"/>
              </w:rPr>
            </w:pPr>
            <w:r w:rsidRPr="00E94428">
              <w:rPr>
                <w:rFonts w:ascii="Times New Roman" w:hAnsi="Times New Roman" w:cs="Times New Roman"/>
                <w:i/>
                <w:sz w:val="22"/>
                <w:szCs w:val="22"/>
              </w:rPr>
              <w:t xml:space="preserve">“In terms of the QBE, </w:t>
            </w:r>
            <w:r w:rsidRPr="00E94428">
              <w:rPr>
                <w:rFonts w:ascii="Times New Roman" w:hAnsi="Times New Roman" w:cs="Times New Roman"/>
                <w:b/>
                <w:i/>
                <w:sz w:val="22"/>
                <w:szCs w:val="22"/>
              </w:rPr>
              <w:t>cognitive dissonance</w:t>
            </w:r>
            <w:r w:rsidRPr="00E94428">
              <w:rPr>
                <w:rFonts w:ascii="Times New Roman" w:hAnsi="Times New Roman" w:cs="Times New Roman"/>
                <w:i/>
                <w:sz w:val="22"/>
                <w:szCs w:val="22"/>
              </w:rPr>
              <w:t xml:space="preserve"> can arise when completing a questionnaire leads individuals to realise that their current or past actions are incompatible with their beliefs about how they should act.”</w:t>
            </w:r>
          </w:p>
          <w:p w14:paraId="66BD2C90" w14:textId="77777777" w:rsidR="00056D04" w:rsidRPr="00E94428" w:rsidRDefault="00056D04" w:rsidP="00262745">
            <w:pPr>
              <w:autoSpaceDE w:val="0"/>
              <w:autoSpaceDN w:val="0"/>
              <w:adjustRightInd w:val="0"/>
              <w:rPr>
                <w:rFonts w:ascii="Times New Roman" w:hAnsi="Times New Roman" w:cs="Times New Roman"/>
                <w:i/>
                <w:sz w:val="22"/>
                <w:szCs w:val="22"/>
              </w:rPr>
            </w:pPr>
          </w:p>
          <w:p w14:paraId="02637253"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McDermott et al. (2016)</w:t>
            </w:r>
          </w:p>
        </w:tc>
      </w:tr>
      <w:tr w:rsidR="00056D04" w:rsidRPr="00E94428" w14:paraId="6981D50E" w14:textId="77777777" w:rsidTr="00262745">
        <w:tc>
          <w:tcPr>
            <w:tcW w:w="4673" w:type="dxa"/>
            <w:shd w:val="clear" w:color="auto" w:fill="auto"/>
          </w:tcPr>
          <w:p w14:paraId="0555C695" w14:textId="77777777" w:rsidR="00056D04" w:rsidRPr="00E94428" w:rsidRDefault="00056D04" w:rsidP="00262745">
            <w:pPr>
              <w:rPr>
                <w:rFonts w:ascii="Times New Roman" w:hAnsi="Times New Roman" w:cs="Times New Roman"/>
                <w:b/>
                <w:bCs/>
                <w:sz w:val="22"/>
                <w:szCs w:val="22"/>
              </w:rPr>
            </w:pPr>
            <w:r w:rsidRPr="00E94428">
              <w:rPr>
                <w:rFonts w:ascii="Times New Roman" w:hAnsi="Times New Roman" w:cs="Times New Roman"/>
                <w:b/>
                <w:bCs/>
                <w:sz w:val="22"/>
                <w:szCs w:val="22"/>
              </w:rPr>
              <w:t>Self-belief</w:t>
            </w:r>
          </w:p>
        </w:tc>
        <w:tc>
          <w:tcPr>
            <w:tcW w:w="4343" w:type="dxa"/>
            <w:shd w:val="clear" w:color="auto" w:fill="auto"/>
          </w:tcPr>
          <w:p w14:paraId="46B00377" w14:textId="77777777" w:rsidR="00056D04" w:rsidRPr="00E94428" w:rsidRDefault="00056D04" w:rsidP="00262745">
            <w:pPr>
              <w:rPr>
                <w:rFonts w:ascii="Times New Roman" w:hAnsi="Times New Roman" w:cs="Times New Roman"/>
                <w:b/>
                <w:bCs/>
                <w:sz w:val="22"/>
                <w:szCs w:val="22"/>
              </w:rPr>
            </w:pPr>
          </w:p>
        </w:tc>
      </w:tr>
      <w:tr w:rsidR="00056D04" w:rsidRPr="00E94428" w14:paraId="3140F190" w14:textId="77777777" w:rsidTr="00262745">
        <w:trPr>
          <w:trHeight w:val="1060"/>
        </w:trPr>
        <w:tc>
          <w:tcPr>
            <w:tcW w:w="4673" w:type="dxa"/>
            <w:shd w:val="clear" w:color="auto" w:fill="auto"/>
          </w:tcPr>
          <w:p w14:paraId="34D75859"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sz w:val="22"/>
                <w:szCs w:val="22"/>
              </w:rPr>
              <w:t xml:space="preserve">15.1 Verbal persuasion about capability </w:t>
            </w:r>
          </w:p>
          <w:p w14:paraId="44651524" w14:textId="77777777" w:rsidR="00056D04" w:rsidRPr="00E94428" w:rsidRDefault="00056D04" w:rsidP="00262745">
            <w:pPr>
              <w:rPr>
                <w:rFonts w:ascii="Times New Roman" w:hAnsi="Times New Roman" w:cs="Times New Roman"/>
                <w:sz w:val="22"/>
                <w:szCs w:val="22"/>
              </w:rPr>
            </w:pPr>
          </w:p>
          <w:p w14:paraId="74E8D281" w14:textId="77777777" w:rsidR="00056D04" w:rsidRPr="00E94428" w:rsidRDefault="00056D04" w:rsidP="00262745">
            <w:pPr>
              <w:ind w:left="720"/>
              <w:rPr>
                <w:rFonts w:ascii="Times New Roman" w:hAnsi="Times New Roman" w:cs="Times New Roman"/>
                <w:sz w:val="22"/>
                <w:szCs w:val="22"/>
              </w:rPr>
            </w:pPr>
            <w:r w:rsidRPr="00E94428">
              <w:rPr>
                <w:rFonts w:ascii="Times New Roman" w:hAnsi="Times New Roman" w:cs="Times New Roman"/>
                <w:sz w:val="22"/>
                <w:szCs w:val="22"/>
              </w:rPr>
              <w:t>Tell the person that they can successfully perform the wanted behaviour, arguing against self-doubts and asserting that they can and will succeed.</w:t>
            </w:r>
          </w:p>
        </w:tc>
        <w:tc>
          <w:tcPr>
            <w:tcW w:w="4343" w:type="dxa"/>
            <w:shd w:val="clear" w:color="auto" w:fill="auto"/>
          </w:tcPr>
          <w:p w14:paraId="22E08332" w14:textId="77777777" w:rsidR="00056D04" w:rsidRPr="00E94428" w:rsidRDefault="00056D04" w:rsidP="00262745">
            <w:pPr>
              <w:rPr>
                <w:rFonts w:ascii="Times New Roman" w:hAnsi="Times New Roman" w:cs="Times New Roman"/>
                <w:i/>
                <w:iCs/>
                <w:sz w:val="22"/>
                <w:szCs w:val="22"/>
              </w:rPr>
            </w:pPr>
            <w:r w:rsidRPr="00E94428">
              <w:rPr>
                <w:rFonts w:ascii="Times New Roman" w:hAnsi="Times New Roman" w:cs="Times New Roman"/>
                <w:i/>
                <w:iCs/>
                <w:sz w:val="22"/>
                <w:szCs w:val="22"/>
              </w:rPr>
              <w:t>“Although you feel fine, you could get diabetes, heart disease, kidney disease or dementia. Did you know they can be prevented, even if they run in your family? Doing nothing could lead to complications. Getting check could help you and help the NHS...”</w:t>
            </w:r>
          </w:p>
          <w:p w14:paraId="1A15D109"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Gold et al. (2019)</w:t>
            </w:r>
          </w:p>
          <w:p w14:paraId="5200FEC4" w14:textId="77777777" w:rsidR="00056D04" w:rsidRPr="00E94428" w:rsidRDefault="00056D04" w:rsidP="00262745">
            <w:pPr>
              <w:jc w:val="right"/>
              <w:rPr>
                <w:rFonts w:ascii="Times New Roman" w:hAnsi="Times New Roman" w:cs="Times New Roman"/>
                <w:sz w:val="22"/>
                <w:szCs w:val="22"/>
              </w:rPr>
            </w:pPr>
          </w:p>
          <w:p w14:paraId="0B3A7D66" w14:textId="77777777" w:rsidR="00056D04" w:rsidRPr="00E94428" w:rsidRDefault="00056D04" w:rsidP="00262745">
            <w:pPr>
              <w:jc w:val="right"/>
              <w:rPr>
                <w:rFonts w:ascii="Times New Roman" w:hAnsi="Times New Roman" w:cs="Times New Roman"/>
                <w:sz w:val="22"/>
                <w:szCs w:val="22"/>
              </w:rPr>
            </w:pPr>
          </w:p>
          <w:p w14:paraId="5DE95D83" w14:textId="77777777" w:rsidR="00056D04" w:rsidRPr="00E94428" w:rsidRDefault="00056D04" w:rsidP="00262745">
            <w:pPr>
              <w:rPr>
                <w:rFonts w:ascii="Times New Roman" w:hAnsi="Times New Roman" w:cs="Times New Roman"/>
                <w:sz w:val="22"/>
                <w:szCs w:val="22"/>
              </w:rPr>
            </w:pPr>
            <w:r w:rsidRPr="00E94428">
              <w:rPr>
                <w:rFonts w:ascii="Times New Roman" w:hAnsi="Times New Roman" w:cs="Times New Roman"/>
                <w:i/>
                <w:iCs/>
                <w:sz w:val="22"/>
                <w:szCs w:val="22"/>
              </w:rPr>
              <w:t>“Even if you’re feeling well, you will receive useful personalised advice on how to look after yourself and make simple changes that will help you feel better. Using your NHS Health Check to stay healthy helps you and the NHS.”</w:t>
            </w:r>
          </w:p>
          <w:p w14:paraId="5CB551EA" w14:textId="77777777" w:rsidR="00056D04" w:rsidRPr="00E94428" w:rsidRDefault="00056D04" w:rsidP="00262745">
            <w:pPr>
              <w:jc w:val="right"/>
              <w:rPr>
                <w:rFonts w:ascii="Times New Roman" w:hAnsi="Times New Roman" w:cs="Times New Roman"/>
                <w:sz w:val="22"/>
                <w:szCs w:val="22"/>
              </w:rPr>
            </w:pPr>
            <w:r w:rsidRPr="00E94428">
              <w:rPr>
                <w:rFonts w:ascii="Times New Roman" w:hAnsi="Times New Roman" w:cs="Times New Roman"/>
                <w:noProof/>
                <w:sz w:val="22"/>
                <w:szCs w:val="22"/>
              </w:rPr>
              <w:t>Gold et al. (2019)</w:t>
            </w:r>
          </w:p>
          <w:p w14:paraId="33146A5B" w14:textId="77777777" w:rsidR="00056D04" w:rsidRPr="00E94428" w:rsidRDefault="00056D04" w:rsidP="00262745">
            <w:pPr>
              <w:jc w:val="right"/>
              <w:rPr>
                <w:rFonts w:ascii="Times New Roman" w:hAnsi="Times New Roman" w:cs="Times New Roman"/>
                <w:sz w:val="22"/>
                <w:szCs w:val="22"/>
              </w:rPr>
            </w:pPr>
          </w:p>
        </w:tc>
      </w:tr>
    </w:tbl>
    <w:p w14:paraId="237FE640" w14:textId="77777777" w:rsidR="00056D04" w:rsidRPr="00E94428" w:rsidRDefault="00056D04" w:rsidP="00056D04">
      <w:pPr>
        <w:rPr>
          <w:rFonts w:ascii="Times New Roman" w:hAnsi="Times New Roman" w:cs="Times New Roman"/>
          <w:b/>
          <w:bCs/>
          <w:sz w:val="28"/>
          <w:szCs w:val="28"/>
        </w:rPr>
      </w:pPr>
      <w:r w:rsidRPr="00E94428">
        <w:rPr>
          <w:rFonts w:ascii="Times New Roman" w:hAnsi="Times New Roman" w:cs="Times New Roman"/>
          <w:i/>
          <w:iCs/>
        </w:rPr>
        <w:t>Note</w:t>
      </w:r>
      <w:r w:rsidRPr="00E94428">
        <w:rPr>
          <w:rFonts w:ascii="Times New Roman" w:hAnsi="Times New Roman" w:cs="Times New Roman"/>
        </w:rPr>
        <w:t xml:space="preserve">. All the definitions were extracted from </w:t>
      </w:r>
      <w:r w:rsidRPr="00E94428">
        <w:rPr>
          <w:rFonts w:ascii="Times New Roman" w:hAnsi="Times New Roman" w:cs="Times New Roman"/>
          <w:noProof/>
        </w:rPr>
        <w:t>Michie et al. (2014)</w:t>
      </w:r>
      <w:r w:rsidRPr="00E94428">
        <w:rPr>
          <w:rFonts w:ascii="Times New Roman" w:hAnsi="Times New Roman" w:cs="Times New Roman"/>
        </w:rPr>
        <w:t xml:space="preserve"> designing guide.</w:t>
      </w:r>
    </w:p>
    <w:p w14:paraId="7CB0DCEB" w14:textId="77777777" w:rsidR="00056D04" w:rsidRPr="00E94428" w:rsidRDefault="00056D04">
      <w:pPr>
        <w:rPr>
          <w:rFonts w:ascii="Times New Roman" w:hAnsi="Times New Roman" w:cs="Times New Roman"/>
          <w:lang w:val="en-US"/>
        </w:rPr>
      </w:pPr>
    </w:p>
    <w:sectPr w:rsidR="00056D04" w:rsidRPr="00E944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B4792" w14:textId="77777777" w:rsidR="0034216E" w:rsidRDefault="0034216E" w:rsidP="0034216E">
      <w:pPr>
        <w:spacing w:after="0" w:line="240" w:lineRule="auto"/>
      </w:pPr>
      <w:r>
        <w:separator/>
      </w:r>
    </w:p>
  </w:endnote>
  <w:endnote w:type="continuationSeparator" w:id="0">
    <w:p w14:paraId="747821C9" w14:textId="77777777" w:rsidR="0034216E" w:rsidRDefault="0034216E" w:rsidP="00342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7E047" w14:textId="77777777" w:rsidR="0034216E" w:rsidRDefault="0034216E" w:rsidP="0034216E">
      <w:pPr>
        <w:spacing w:after="0" w:line="240" w:lineRule="auto"/>
      </w:pPr>
      <w:r>
        <w:separator/>
      </w:r>
    </w:p>
  </w:footnote>
  <w:footnote w:type="continuationSeparator" w:id="0">
    <w:p w14:paraId="1BBFA564" w14:textId="77777777" w:rsidR="0034216E" w:rsidRDefault="0034216E" w:rsidP="003421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1NzcztzS2NDQEkko6SsGpxcWZ+XkgBca1APnASLcsAAAA"/>
  </w:docVars>
  <w:rsids>
    <w:rsidRoot w:val="00056D04"/>
    <w:rsid w:val="00056D04"/>
    <w:rsid w:val="000E4996"/>
    <w:rsid w:val="0034216E"/>
    <w:rsid w:val="00765481"/>
    <w:rsid w:val="009857A6"/>
    <w:rsid w:val="00BC3B6D"/>
    <w:rsid w:val="00C24994"/>
    <w:rsid w:val="00D16B30"/>
    <w:rsid w:val="00D72B70"/>
    <w:rsid w:val="00E94428"/>
    <w:rsid w:val="00F01C5C"/>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56EB8E"/>
  <w15:chartTrackingRefBased/>
  <w15:docId w15:val="{6F186D6B-A975-4719-BF85-5B5C10CC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056D04"/>
    <w:pPr>
      <w:spacing w:after="0" w:line="240" w:lineRule="auto"/>
    </w:pPr>
    <w:rPr>
      <w:sz w:val="24"/>
      <w:szCs w:val="24"/>
      <w:lang w:eastAsia="zh-TW"/>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42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216E"/>
    <w:rPr>
      <w:lang w:val="en-GB"/>
    </w:rPr>
  </w:style>
  <w:style w:type="paragraph" w:styleId="Footer">
    <w:name w:val="footer"/>
    <w:basedOn w:val="Normal"/>
    <w:link w:val="FooterChar"/>
    <w:uiPriority w:val="99"/>
    <w:unhideWhenUsed/>
    <w:rsid w:val="00342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216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CDF455CE55774398FA7CF5972C26F2" ma:contentTypeVersion="13" ma:contentTypeDescription="Create a new document." ma:contentTypeScope="" ma:versionID="4e2281067a94abc96115b42dedf9c93f">
  <xsd:schema xmlns:xsd="http://www.w3.org/2001/XMLSchema" xmlns:xs="http://www.w3.org/2001/XMLSchema" xmlns:p="http://schemas.microsoft.com/office/2006/metadata/properties" xmlns:ns3="f0a64ffe-0b22-484c-b004-c1a76a233508" xmlns:ns4="3b3a78b1-6395-4a14-81fb-692699dfe18e" targetNamespace="http://schemas.microsoft.com/office/2006/metadata/properties" ma:root="true" ma:fieldsID="e24f95241de3407d4bbd29fea9bf7435" ns3:_="" ns4:_="">
    <xsd:import namespace="f0a64ffe-0b22-484c-b004-c1a76a233508"/>
    <xsd:import namespace="3b3a78b1-6395-4a14-81fb-692699dfe1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64ffe-0b22-484c-b004-c1a76a233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3a78b1-6395-4a14-81fb-692699dfe1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CC2B99-A185-4DCE-B903-ECC648AD3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a64ffe-0b22-484c-b004-c1a76a233508"/>
    <ds:schemaRef ds:uri="3b3a78b1-6395-4a14-81fb-692699dfe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9FE19-D4BA-4EF9-BAA5-25CC36B4F499}">
  <ds:schemaRefs>
    <ds:schemaRef ds:uri="http://schemas.microsoft.com/sharepoint/v3/contenttype/forms"/>
  </ds:schemaRefs>
</ds:datastoreItem>
</file>

<file path=customXml/itemProps3.xml><?xml version="1.0" encoding="utf-8"?>
<ds:datastoreItem xmlns:ds="http://schemas.openxmlformats.org/officeDocument/2006/customXml" ds:itemID="{4563009D-13F4-4B2C-833F-AB0CE46381A2}">
  <ds:schemaRefs>
    <ds:schemaRef ds:uri="http://purl.org/dc/elements/1.1/"/>
    <ds:schemaRef ds:uri="http://purl.org/dc/terms/"/>
    <ds:schemaRef ds:uri="http://schemas.microsoft.com/office/2006/metadata/properties"/>
    <ds:schemaRef ds:uri="http://schemas.openxmlformats.org/package/2006/metadata/core-properties"/>
    <ds:schemaRef ds:uri="http://purl.org/dc/dcmitype/"/>
    <ds:schemaRef ds:uri="f0a64ffe-0b22-484c-b004-c1a76a233508"/>
    <ds:schemaRef ds:uri="http://schemas.microsoft.com/office/2006/documentManagement/types"/>
    <ds:schemaRef ds:uri="http://www.w3.org/XML/1998/namespace"/>
    <ds:schemaRef ds:uri="http://schemas.microsoft.com/office/infopath/2007/PartnerControls"/>
    <ds:schemaRef ds:uri="3b3a78b1-6395-4a14-81fb-692699dfe18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Ingrid WY [Student]</dc:creator>
  <cp:keywords/>
  <dc:description/>
  <cp:lastModifiedBy>LAU, Ingrid WY [Student]</cp:lastModifiedBy>
  <cp:revision>7</cp:revision>
  <dcterms:created xsi:type="dcterms:W3CDTF">2022-07-06T10:41:00Z</dcterms:created>
  <dcterms:modified xsi:type="dcterms:W3CDTF">2023-01-12T09:39:00Z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0x01010080CDF455CE55774398FA7CF5972C26F2</vt:lpwstr>
  </property>
</Properties>
</file>