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BA84CB" w14:textId="107334BB" w:rsidR="006B6F50" w:rsidRPr="009F7BC8" w:rsidRDefault="009F7BC8" w:rsidP="009F7BC8">
      <w:pPr>
        <w:spacing w:line="480" w:lineRule="auto"/>
        <w:jc w:val="center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9F7BC8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Supplementary Material </w:t>
      </w:r>
    </w:p>
    <w:p w14:paraId="53F69565" w14:textId="3B2D8396" w:rsidR="009F7BC8" w:rsidRDefault="009F7BC8" w:rsidP="001A3A6D">
      <w:pPr>
        <w:spacing w:line="480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en-GB"/>
        </w:rPr>
      </w:pPr>
    </w:p>
    <w:p w14:paraId="70B649D7" w14:textId="261871A3" w:rsidR="009F7BC8" w:rsidRPr="009F7BC8" w:rsidRDefault="009F7BC8" w:rsidP="009F7BC8">
      <w:pPr>
        <w:spacing w:line="480" w:lineRule="auto"/>
        <w:jc w:val="both"/>
        <w:rPr>
          <w:rFonts w:asciiTheme="majorHAnsi" w:hAnsiTheme="majorHAnsi" w:cstheme="majorHAnsi"/>
          <w:b/>
          <w:sz w:val="22"/>
          <w:szCs w:val="22"/>
          <w:lang w:val="en-GB"/>
        </w:rPr>
      </w:pPr>
      <w:r w:rsidRPr="009F7BC8">
        <w:rPr>
          <w:rFonts w:asciiTheme="majorHAnsi" w:hAnsiTheme="majorHAnsi" w:cstheme="majorHAnsi"/>
          <w:b/>
          <w:sz w:val="22"/>
          <w:szCs w:val="22"/>
          <w:lang w:val="en-GB"/>
        </w:rPr>
        <w:t>Effect of the glucagon-like peptide-1 receptor (GLP-1R) agonists on autonomic function in subjects with diabetes: a systematic review and meta-analysis.</w:t>
      </w:r>
    </w:p>
    <w:p w14:paraId="39A11009" w14:textId="16E1B49B" w:rsidR="009F7BC8" w:rsidRPr="002E1B7B" w:rsidRDefault="009F7BC8" w:rsidP="009F7BC8">
      <w:pPr>
        <w:spacing w:line="480" w:lineRule="auto"/>
        <w:jc w:val="both"/>
        <w:rPr>
          <w:rFonts w:asciiTheme="majorHAnsi" w:hAnsiTheme="majorHAnsi" w:cstheme="majorHAnsi"/>
          <w:bCs/>
          <w:sz w:val="22"/>
          <w:szCs w:val="22"/>
        </w:rPr>
      </w:pPr>
      <w:bookmarkStart w:id="0" w:name="_Hlk62118202"/>
      <w:r>
        <w:rPr>
          <w:rFonts w:asciiTheme="majorHAnsi" w:hAnsiTheme="majorHAnsi" w:cstheme="majorHAnsi"/>
          <w:bCs/>
          <w:sz w:val="22"/>
          <w:szCs w:val="22"/>
        </w:rPr>
        <w:t>Carla Greco</w:t>
      </w:r>
      <w:r w:rsidRPr="003F47F7">
        <w:rPr>
          <w:rFonts w:asciiTheme="majorHAnsi" w:hAnsiTheme="majorHAnsi" w:cstheme="majorHAnsi"/>
          <w:bCs/>
          <w:sz w:val="22"/>
          <w:szCs w:val="22"/>
          <w:vertAlign w:val="superscript"/>
        </w:rPr>
        <w:t>1,2</w:t>
      </w:r>
      <w:r>
        <w:rPr>
          <w:rFonts w:asciiTheme="majorHAnsi" w:hAnsiTheme="majorHAnsi" w:cstheme="majorHAnsi"/>
          <w:bCs/>
          <w:sz w:val="22"/>
          <w:szCs w:val="22"/>
          <w:vertAlign w:val="superscript"/>
        </w:rPr>
        <w:t xml:space="preserve"> </w:t>
      </w:r>
      <w:r w:rsidRPr="00F23786">
        <w:rPr>
          <w:rFonts w:asciiTheme="majorHAnsi" w:hAnsiTheme="majorHAnsi" w:cstheme="majorHAnsi"/>
          <w:b/>
          <w:bCs/>
          <w:sz w:val="22"/>
          <w:szCs w:val="22"/>
        </w:rPr>
        <w:t>*</w:t>
      </w:r>
      <w:r w:rsidRPr="003F47F7">
        <w:rPr>
          <w:rFonts w:asciiTheme="majorHAnsi" w:hAnsiTheme="majorHAnsi" w:cstheme="majorHAnsi"/>
          <w:bCs/>
          <w:sz w:val="22"/>
          <w:szCs w:val="22"/>
        </w:rPr>
        <w:t xml:space="preserve">, </w:t>
      </w:r>
      <w:r>
        <w:rPr>
          <w:rFonts w:asciiTheme="majorHAnsi" w:hAnsiTheme="majorHAnsi" w:cstheme="majorHAnsi"/>
          <w:bCs/>
          <w:sz w:val="22"/>
          <w:szCs w:val="22"/>
        </w:rPr>
        <w:t>Daniele Santi</w:t>
      </w:r>
      <w:r w:rsidRPr="003F47F7">
        <w:rPr>
          <w:rFonts w:asciiTheme="majorHAnsi" w:hAnsiTheme="majorHAnsi" w:cstheme="majorHAnsi"/>
          <w:bCs/>
          <w:sz w:val="22"/>
          <w:szCs w:val="22"/>
          <w:vertAlign w:val="superscript"/>
        </w:rPr>
        <w:t>1,2</w:t>
      </w:r>
      <w:r w:rsidRPr="003F47F7">
        <w:rPr>
          <w:rFonts w:asciiTheme="majorHAnsi" w:hAnsiTheme="majorHAnsi" w:cstheme="majorHAnsi"/>
          <w:bCs/>
          <w:sz w:val="22"/>
          <w:szCs w:val="22"/>
        </w:rPr>
        <w:t xml:space="preserve">, </w:t>
      </w:r>
      <w:r>
        <w:rPr>
          <w:rFonts w:asciiTheme="majorHAnsi" w:hAnsiTheme="majorHAnsi" w:cstheme="majorHAnsi"/>
          <w:bCs/>
          <w:sz w:val="22"/>
          <w:szCs w:val="22"/>
        </w:rPr>
        <w:t>Giulia Brigante</w:t>
      </w:r>
      <w:r w:rsidRPr="003F47F7">
        <w:rPr>
          <w:rFonts w:asciiTheme="majorHAnsi" w:hAnsiTheme="majorHAnsi" w:cstheme="majorHAnsi"/>
          <w:bCs/>
          <w:sz w:val="22"/>
          <w:szCs w:val="22"/>
          <w:vertAlign w:val="superscript"/>
        </w:rPr>
        <w:t>1,2</w:t>
      </w:r>
      <w:r w:rsidRPr="003F47F7">
        <w:rPr>
          <w:rFonts w:asciiTheme="majorHAnsi" w:hAnsiTheme="majorHAnsi" w:cstheme="majorHAnsi"/>
          <w:bCs/>
          <w:sz w:val="22"/>
          <w:szCs w:val="22"/>
        </w:rPr>
        <w:t xml:space="preserve">, </w:t>
      </w:r>
      <w:r>
        <w:rPr>
          <w:rFonts w:asciiTheme="majorHAnsi" w:hAnsiTheme="majorHAnsi" w:cstheme="majorHAnsi"/>
          <w:bCs/>
          <w:sz w:val="22"/>
          <w:szCs w:val="22"/>
        </w:rPr>
        <w:t>Chiara Pacchioni</w:t>
      </w:r>
      <w:r w:rsidRPr="003F47F7">
        <w:rPr>
          <w:rFonts w:asciiTheme="majorHAnsi" w:hAnsiTheme="majorHAnsi" w:cstheme="majorHAnsi"/>
          <w:bCs/>
          <w:sz w:val="22"/>
          <w:szCs w:val="22"/>
          <w:vertAlign w:val="superscript"/>
        </w:rPr>
        <w:t>2</w:t>
      </w:r>
      <w:r w:rsidRPr="003F47F7">
        <w:rPr>
          <w:rFonts w:asciiTheme="majorHAnsi" w:hAnsiTheme="majorHAnsi" w:cstheme="majorHAnsi"/>
          <w:bCs/>
          <w:sz w:val="22"/>
          <w:szCs w:val="22"/>
        </w:rPr>
        <w:t xml:space="preserve">, </w:t>
      </w:r>
      <w:r>
        <w:rPr>
          <w:rFonts w:asciiTheme="majorHAnsi" w:hAnsiTheme="majorHAnsi" w:cstheme="majorHAnsi"/>
          <w:bCs/>
          <w:sz w:val="22"/>
          <w:szCs w:val="22"/>
        </w:rPr>
        <w:t>Manuela Simoni</w:t>
      </w:r>
      <w:r w:rsidRPr="003F47F7">
        <w:rPr>
          <w:rFonts w:asciiTheme="majorHAnsi" w:hAnsiTheme="majorHAnsi" w:cstheme="majorHAnsi"/>
          <w:bCs/>
          <w:sz w:val="22"/>
          <w:szCs w:val="22"/>
          <w:vertAlign w:val="superscript"/>
        </w:rPr>
        <w:t>1,2</w:t>
      </w:r>
      <w:r>
        <w:rPr>
          <w:rFonts w:asciiTheme="majorHAnsi" w:hAnsiTheme="majorHAnsi" w:cstheme="majorHAnsi"/>
          <w:bCs/>
          <w:sz w:val="22"/>
          <w:szCs w:val="22"/>
        </w:rPr>
        <w:t>.</w:t>
      </w:r>
    </w:p>
    <w:p w14:paraId="21031283" w14:textId="39B5BC63" w:rsidR="009F7BC8" w:rsidRPr="002E1B7B" w:rsidRDefault="009F7BC8" w:rsidP="009F7BC8">
      <w:pPr>
        <w:spacing w:line="480" w:lineRule="auto"/>
        <w:jc w:val="both"/>
        <w:rPr>
          <w:rFonts w:asciiTheme="majorHAnsi" w:hAnsiTheme="majorHAnsi" w:cstheme="majorHAnsi"/>
          <w:bCs/>
          <w:sz w:val="22"/>
          <w:szCs w:val="22"/>
          <w:lang w:val="en-GB"/>
        </w:rPr>
      </w:pPr>
      <w:r w:rsidRPr="004E42F5">
        <w:rPr>
          <w:rFonts w:asciiTheme="majorHAnsi" w:hAnsiTheme="majorHAnsi" w:cstheme="majorHAnsi"/>
          <w:bCs/>
          <w:sz w:val="22"/>
          <w:szCs w:val="22"/>
          <w:lang w:val="en-US"/>
        </w:rPr>
        <w:br/>
      </w:r>
      <w:r w:rsidRPr="003C199C">
        <w:rPr>
          <w:rFonts w:asciiTheme="majorHAnsi" w:hAnsiTheme="majorHAnsi" w:cstheme="majorHAnsi"/>
          <w:bCs/>
          <w:sz w:val="22"/>
          <w:szCs w:val="22"/>
          <w:vertAlign w:val="superscript"/>
          <w:lang w:val="en-GB"/>
        </w:rPr>
        <w:t>1</w:t>
      </w:r>
      <w:r w:rsidRPr="008A3199">
        <w:rPr>
          <w:rFonts w:asciiTheme="majorHAnsi" w:hAnsiTheme="majorHAnsi" w:cstheme="majorHAnsi"/>
          <w:bCs/>
          <w:sz w:val="22"/>
          <w:szCs w:val="22"/>
          <w:lang w:val="en-GB"/>
        </w:rPr>
        <w:t>Department of Biomedical, Metabolic and Neural Sciences, University of Modena and Reggio Emilia, Modena, Italy.</w:t>
      </w:r>
    </w:p>
    <w:p w14:paraId="0DE9F7F2" w14:textId="77777777" w:rsidR="009F7BC8" w:rsidRPr="008A3199" w:rsidRDefault="009F7BC8" w:rsidP="009F7BC8">
      <w:pPr>
        <w:spacing w:line="480" w:lineRule="auto"/>
        <w:jc w:val="both"/>
        <w:rPr>
          <w:rFonts w:asciiTheme="majorHAnsi" w:hAnsiTheme="majorHAnsi" w:cs="Arial"/>
          <w:vanish/>
          <w:color w:val="000000"/>
          <w:sz w:val="22"/>
          <w:szCs w:val="22"/>
        </w:rPr>
      </w:pPr>
      <w:r w:rsidRPr="003C199C">
        <w:rPr>
          <w:rFonts w:asciiTheme="majorHAnsi" w:hAnsiTheme="majorHAnsi" w:cstheme="majorHAnsi"/>
          <w:bCs/>
          <w:sz w:val="22"/>
          <w:szCs w:val="22"/>
          <w:vertAlign w:val="superscript"/>
        </w:rPr>
        <w:t>2</w:t>
      </w:r>
      <w:r w:rsidRPr="002E1B7B">
        <w:rPr>
          <w:rFonts w:asciiTheme="majorHAnsi" w:hAnsiTheme="majorHAnsi" w:cstheme="majorHAnsi"/>
          <w:bCs/>
          <w:sz w:val="22"/>
          <w:szCs w:val="22"/>
        </w:rPr>
        <w:t xml:space="preserve">Unit of </w:t>
      </w:r>
      <w:proofErr w:type="spellStart"/>
      <w:r w:rsidRPr="002E1B7B">
        <w:rPr>
          <w:rFonts w:asciiTheme="majorHAnsi" w:hAnsiTheme="majorHAnsi" w:cstheme="majorHAnsi"/>
          <w:bCs/>
          <w:sz w:val="22"/>
          <w:szCs w:val="22"/>
        </w:rPr>
        <w:t>Endocrinology</w:t>
      </w:r>
      <w:proofErr w:type="spellEnd"/>
      <w:r w:rsidRPr="002E1B7B">
        <w:rPr>
          <w:rFonts w:asciiTheme="majorHAnsi" w:hAnsiTheme="majorHAnsi" w:cstheme="majorHAnsi"/>
          <w:bCs/>
          <w:sz w:val="22"/>
          <w:szCs w:val="22"/>
        </w:rPr>
        <w:t xml:space="preserve">, Department of </w:t>
      </w:r>
      <w:proofErr w:type="spellStart"/>
      <w:r w:rsidRPr="002E1B7B">
        <w:rPr>
          <w:rFonts w:asciiTheme="majorHAnsi" w:hAnsiTheme="majorHAnsi" w:cstheme="majorHAnsi"/>
          <w:bCs/>
          <w:sz w:val="22"/>
          <w:szCs w:val="22"/>
        </w:rPr>
        <w:t>Medical</w:t>
      </w:r>
      <w:proofErr w:type="spellEnd"/>
      <w:r w:rsidRPr="002E1B7B">
        <w:rPr>
          <w:rFonts w:asciiTheme="majorHAnsi" w:hAnsiTheme="majorHAnsi" w:cstheme="majorHAnsi"/>
          <w:bCs/>
          <w:sz w:val="22"/>
          <w:szCs w:val="22"/>
        </w:rPr>
        <w:t xml:space="preserve"> </w:t>
      </w:r>
      <w:proofErr w:type="spellStart"/>
      <w:r w:rsidRPr="002E1B7B">
        <w:rPr>
          <w:rFonts w:asciiTheme="majorHAnsi" w:hAnsiTheme="majorHAnsi" w:cstheme="majorHAnsi"/>
          <w:bCs/>
          <w:sz w:val="22"/>
          <w:szCs w:val="22"/>
        </w:rPr>
        <w:t>Specialties</w:t>
      </w:r>
      <w:proofErr w:type="spellEnd"/>
      <w:r w:rsidRPr="002E1B7B">
        <w:rPr>
          <w:rFonts w:asciiTheme="majorHAnsi" w:hAnsiTheme="majorHAnsi" w:cstheme="majorHAnsi"/>
          <w:bCs/>
          <w:sz w:val="22"/>
          <w:szCs w:val="22"/>
        </w:rPr>
        <w:t xml:space="preserve">, Azienda Ospedaliero-Universitaria di Modena, Ospedale Civile di Baggiovara, Modena, </w:t>
      </w:r>
      <w:proofErr w:type="spellStart"/>
      <w:r w:rsidRPr="002E1B7B">
        <w:rPr>
          <w:rFonts w:asciiTheme="majorHAnsi" w:hAnsiTheme="majorHAnsi" w:cstheme="majorHAnsi"/>
          <w:bCs/>
          <w:sz w:val="22"/>
          <w:szCs w:val="22"/>
        </w:rPr>
        <w:t>Italy</w:t>
      </w:r>
      <w:proofErr w:type="spellEnd"/>
      <w:r w:rsidRPr="002E1B7B">
        <w:rPr>
          <w:rFonts w:asciiTheme="majorHAnsi" w:hAnsiTheme="majorHAnsi" w:cstheme="majorHAnsi"/>
          <w:bCs/>
          <w:sz w:val="22"/>
          <w:szCs w:val="22"/>
        </w:rPr>
        <w:t>.</w:t>
      </w:r>
      <w:r w:rsidRPr="008A3199" w:rsidDel="00A533E3">
        <w:rPr>
          <w:rFonts w:asciiTheme="majorHAnsi" w:hAnsiTheme="majorHAnsi" w:cs="Arial"/>
          <w:vanish/>
          <w:color w:val="000000"/>
          <w:sz w:val="22"/>
          <w:szCs w:val="22"/>
          <w:vertAlign w:val="superscript"/>
        </w:rPr>
        <w:t xml:space="preserve"> </w:t>
      </w:r>
    </w:p>
    <w:bookmarkEnd w:id="0"/>
    <w:p w14:paraId="63D9B5E9" w14:textId="77777777" w:rsidR="009F7BC8" w:rsidRPr="00F13356" w:rsidRDefault="009F7BC8" w:rsidP="009F7BC8">
      <w:pPr>
        <w:shd w:val="clear" w:color="auto" w:fill="FFFFFF"/>
        <w:spacing w:line="480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FFEE240" w14:textId="7C36C0EF" w:rsidR="009F7BC8" w:rsidRDefault="009F7BC8" w:rsidP="009F7BC8">
      <w:pPr>
        <w:shd w:val="clear" w:color="auto" w:fill="FFFFFF"/>
        <w:spacing w:line="480" w:lineRule="auto"/>
        <w:rPr>
          <w:rFonts w:asciiTheme="majorHAnsi" w:hAnsiTheme="majorHAnsi" w:cstheme="majorHAnsi"/>
          <w:bCs/>
          <w:sz w:val="22"/>
          <w:szCs w:val="22"/>
          <w:lang w:val="en-GB"/>
        </w:rPr>
      </w:pPr>
      <w:r w:rsidRPr="00172539">
        <w:rPr>
          <w:rFonts w:asciiTheme="majorHAnsi" w:hAnsiTheme="majorHAnsi" w:cstheme="majorHAnsi"/>
          <w:b/>
          <w:bCs/>
          <w:sz w:val="22"/>
          <w:szCs w:val="22"/>
          <w:lang w:val="en-GB"/>
        </w:rPr>
        <w:t>Corresponding author</w:t>
      </w:r>
      <w:r w:rsidRPr="002E1B7B">
        <w:rPr>
          <w:rFonts w:asciiTheme="majorHAnsi" w:hAnsiTheme="majorHAnsi" w:cstheme="majorHAnsi"/>
          <w:bCs/>
          <w:sz w:val="22"/>
          <w:szCs w:val="22"/>
          <w:lang w:val="en-GB"/>
        </w:rPr>
        <w:t>: Greco Carla</w:t>
      </w:r>
      <w:r w:rsidRPr="006A5D60">
        <w:rPr>
          <w:rFonts w:asciiTheme="majorHAnsi" w:hAnsiTheme="majorHAnsi" w:cstheme="majorHAnsi"/>
          <w:b/>
          <w:bCs/>
          <w:sz w:val="22"/>
          <w:szCs w:val="22"/>
          <w:lang w:val="en-US"/>
        </w:rPr>
        <w:t>*</w:t>
      </w:r>
      <w:r w:rsidRPr="002E1B7B">
        <w:rPr>
          <w:rFonts w:asciiTheme="majorHAnsi" w:hAnsiTheme="majorHAnsi" w:cstheme="majorHAnsi"/>
          <w:bCs/>
          <w:sz w:val="22"/>
          <w:szCs w:val="22"/>
          <w:lang w:val="en-GB"/>
        </w:rPr>
        <w:t xml:space="preserve">, </w:t>
      </w:r>
      <w:r>
        <w:rPr>
          <w:rFonts w:asciiTheme="majorHAnsi" w:hAnsiTheme="majorHAnsi" w:cstheme="majorHAnsi"/>
          <w:bCs/>
          <w:sz w:val="22"/>
          <w:szCs w:val="22"/>
          <w:lang w:val="en-GB"/>
        </w:rPr>
        <w:t>MD</w:t>
      </w:r>
    </w:p>
    <w:p w14:paraId="303A9116" w14:textId="77777777" w:rsidR="009F7BC8" w:rsidRPr="00F13356" w:rsidRDefault="009F7BC8" w:rsidP="009F7BC8">
      <w:pPr>
        <w:shd w:val="clear" w:color="auto" w:fill="FFFFFF"/>
        <w:spacing w:line="480" w:lineRule="auto"/>
        <w:rPr>
          <w:rFonts w:asciiTheme="majorHAnsi" w:hAnsiTheme="majorHAnsi" w:cstheme="majorHAnsi"/>
          <w:bCs/>
          <w:sz w:val="22"/>
          <w:szCs w:val="22"/>
          <w:lang w:val="en-GB"/>
        </w:rPr>
      </w:pPr>
      <w:r w:rsidRPr="00F13356">
        <w:rPr>
          <w:rFonts w:asciiTheme="majorHAnsi" w:hAnsiTheme="majorHAnsi" w:cstheme="majorHAnsi"/>
          <w:bCs/>
          <w:sz w:val="22"/>
          <w:szCs w:val="22"/>
          <w:lang w:val="en-GB"/>
        </w:rPr>
        <w:t xml:space="preserve">Mail: </w:t>
      </w:r>
      <w:hyperlink r:id="rId8" w:history="1">
        <w:r w:rsidRPr="00F13356">
          <w:rPr>
            <w:rStyle w:val="Collegamentoipertestuale"/>
            <w:rFonts w:asciiTheme="majorHAnsi" w:hAnsiTheme="majorHAnsi" w:cstheme="majorHAnsi"/>
            <w:bCs/>
            <w:sz w:val="22"/>
            <w:szCs w:val="22"/>
            <w:lang w:val="en-GB"/>
          </w:rPr>
          <w:t>carlagreco@unimore.it</w:t>
        </w:r>
      </w:hyperlink>
    </w:p>
    <w:p w14:paraId="5C1DD633" w14:textId="0CA7ACA2" w:rsidR="009F7BC8" w:rsidRDefault="009F7BC8" w:rsidP="001A3A6D">
      <w:pPr>
        <w:spacing w:line="480" w:lineRule="auto"/>
        <w:jc w:val="both"/>
        <w:rPr>
          <w:rFonts w:asciiTheme="majorHAnsi" w:hAnsiTheme="majorHAnsi" w:cstheme="majorHAnsi"/>
          <w:bCs/>
          <w:sz w:val="22"/>
          <w:szCs w:val="22"/>
          <w:lang w:val="en-GB"/>
        </w:rPr>
      </w:pPr>
    </w:p>
    <w:p w14:paraId="17967069" w14:textId="2858DB95" w:rsidR="009F7BC8" w:rsidRPr="004E42F5" w:rsidRDefault="009F7BC8" w:rsidP="001A3A6D">
      <w:pPr>
        <w:spacing w:line="480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  <w:lang w:val="en-GB"/>
        </w:rPr>
      </w:pPr>
      <w:r w:rsidRPr="004E42F5">
        <w:rPr>
          <w:rFonts w:asciiTheme="majorHAnsi" w:hAnsiTheme="majorHAnsi" w:cstheme="majorHAnsi"/>
          <w:b/>
          <w:bCs/>
          <w:sz w:val="22"/>
          <w:szCs w:val="22"/>
          <w:u w:val="single"/>
          <w:lang w:val="en-GB"/>
        </w:rPr>
        <w:t>Supplementary figure legends</w:t>
      </w:r>
    </w:p>
    <w:p w14:paraId="718EE9F2" w14:textId="12B1EB4B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en-GB"/>
        </w:rPr>
      </w:pPr>
    </w:p>
    <w:p w14:paraId="48DCAEC9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i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1.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LF/HF ratio standard mean difference after the GLP-1R chronic administration, dividing studies on the basis of the type of diabetes considered (standard mean difference -0.03; 95%CI: -0.26, 0.20, I</w:t>
      </w:r>
      <w:r w:rsidRPr="001A3A6D">
        <w:rPr>
          <w:rFonts w:asciiTheme="majorHAnsi" w:hAnsiTheme="majorHAnsi" w:cstheme="majorHAnsi"/>
          <w:sz w:val="22"/>
          <w:szCs w:val="22"/>
          <w:vertAlign w:val="superscript"/>
          <w:lang w:val="en-GB"/>
        </w:rPr>
        <w:t>2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=0%, p=0.080).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(LF/HF, low frequency/high frequency ratio).</w:t>
      </w:r>
    </w:p>
    <w:p w14:paraId="5836ECC5" w14:textId="4E261629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6C3A5461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2.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LF/HF ratio difference after the GLP-1R chronic administration comparing study and control groups. </w:t>
      </w:r>
    </w:p>
    <w:p w14:paraId="14C40B58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sz w:val="22"/>
          <w:szCs w:val="22"/>
          <w:lang w:val="en-GB"/>
        </w:rPr>
        <w:t>Comparing study and control groups, no differences in the LF/HF ratio after treatment were observed (mean difference 0.18; 95%CI: -0.66, 1.01, I</w:t>
      </w:r>
      <w:r w:rsidRPr="001A3A6D">
        <w:rPr>
          <w:rFonts w:asciiTheme="majorHAnsi" w:hAnsiTheme="majorHAnsi" w:cstheme="majorHAnsi"/>
          <w:sz w:val="22"/>
          <w:szCs w:val="22"/>
          <w:vertAlign w:val="superscript"/>
          <w:lang w:val="en-GB"/>
        </w:rPr>
        <w:t>2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=0%, p=0.680).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(LF/HF, low frequency/high frequency ratio).</w:t>
      </w:r>
    </w:p>
    <w:p w14:paraId="262CFF82" w14:textId="6F7D68D5" w:rsidR="006B6F50" w:rsidRPr="009163B9" w:rsidRDefault="006B6F50" w:rsidP="001A3A6D">
      <w:pPr>
        <w:spacing w:line="480" w:lineRule="auto"/>
        <w:jc w:val="both"/>
        <w:rPr>
          <w:rFonts w:ascii="Calibri" w:hAnsi="Calibri" w:cs="Calibri"/>
          <w:sz w:val="22"/>
          <w:szCs w:val="22"/>
          <w:lang w:val="en-GB"/>
        </w:rPr>
      </w:pPr>
    </w:p>
    <w:p w14:paraId="41157560" w14:textId="77777777" w:rsidR="001A3A6D" w:rsidRPr="009163B9" w:rsidRDefault="001A3A6D" w:rsidP="001A3A6D">
      <w:pPr>
        <w:spacing w:line="480" w:lineRule="auto"/>
        <w:jc w:val="both"/>
        <w:rPr>
          <w:rFonts w:ascii="Calibri" w:hAnsi="Calibri" w:cs="Calibri"/>
          <w:sz w:val="22"/>
          <w:szCs w:val="22"/>
          <w:lang w:val="en-GB"/>
        </w:rPr>
      </w:pPr>
      <w:r w:rsidRPr="009163B9">
        <w:rPr>
          <w:rFonts w:ascii="Calibri" w:hAnsi="Calibri" w:cs="Calibri"/>
          <w:b/>
          <w:bCs/>
          <w:sz w:val="22"/>
          <w:szCs w:val="22"/>
          <w:lang w:val="en-GB"/>
        </w:rPr>
        <w:lastRenderedPageBreak/>
        <w:t>Supplementary figure 3.</w:t>
      </w:r>
      <w:r w:rsidRPr="009163B9">
        <w:rPr>
          <w:rFonts w:ascii="Calibri" w:hAnsi="Calibri" w:cs="Calibri"/>
          <w:sz w:val="22"/>
          <w:szCs w:val="22"/>
          <w:lang w:val="en-GB"/>
        </w:rPr>
        <w:t xml:space="preserve"> HR mean difference after the GLP-1R chronic administration comparing study and control groups. HR was not significantly different between study and control groups (mean difference -0.86; 95%CI: -3.26, 1.55, I</w:t>
      </w:r>
      <w:r w:rsidRPr="009163B9">
        <w:rPr>
          <w:rFonts w:ascii="Calibri" w:hAnsi="Calibri" w:cs="Calibri"/>
          <w:sz w:val="22"/>
          <w:szCs w:val="22"/>
          <w:vertAlign w:val="superscript"/>
          <w:lang w:val="en-GB"/>
        </w:rPr>
        <w:t>2</w:t>
      </w:r>
      <w:r w:rsidRPr="009163B9">
        <w:rPr>
          <w:rFonts w:ascii="Calibri" w:hAnsi="Calibri" w:cs="Calibri"/>
          <w:sz w:val="22"/>
          <w:szCs w:val="22"/>
          <w:lang w:val="en-GB"/>
        </w:rPr>
        <w:t xml:space="preserve">=16%, p=0.480) in five of the six studies. </w:t>
      </w:r>
      <w:r w:rsidRPr="009163B9">
        <w:rPr>
          <w:rFonts w:ascii="Calibri" w:hAnsi="Calibri" w:cs="Calibri"/>
          <w:i/>
          <w:sz w:val="22"/>
          <w:szCs w:val="22"/>
          <w:lang w:val="en-GB"/>
        </w:rPr>
        <w:t>(HR, heart rate).</w:t>
      </w:r>
    </w:p>
    <w:p w14:paraId="30E5CADB" w14:textId="5DAA1C8A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326F901E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4.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SDNN mean difference considering before and after the GLP-1R chronic administration. After chronic treatment, SDNN did not significantly change (standard mean difference 0.08; 95%CI: -0.65, 0.81, p=0.830).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(SDNN, standard deviations of RR intervals).</w:t>
      </w:r>
    </w:p>
    <w:p w14:paraId="6CE1FB50" w14:textId="34730CDF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077787D3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5.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RSMSSD standard mean difference considering before and after the GLP-1R chronic administration. RSMSSD value documented no difference after treatment (standard mean difference 0.57; 95%CI: -0.41, 1.55, I</w:t>
      </w:r>
      <w:r w:rsidRPr="001A3A6D">
        <w:rPr>
          <w:rFonts w:asciiTheme="majorHAnsi" w:hAnsiTheme="majorHAnsi" w:cstheme="majorHAnsi"/>
          <w:sz w:val="22"/>
          <w:szCs w:val="22"/>
          <w:vertAlign w:val="superscript"/>
          <w:lang w:val="en-GB"/>
        </w:rPr>
        <w:t>2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=94%, p=0.250).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(RMSSD, square root of the mean squared difference of successive RR intervals).</w:t>
      </w:r>
    </w:p>
    <w:p w14:paraId="7A6A4E9A" w14:textId="5B565E28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268729A7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6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. RSMSSD standard mean difference after the GLP-1R chronic administration comparing study and control groups. RSMSSD value documented no difference between study- and control groups (standard mean difference -0.38; 95%CI: -1.20, 0.44, p=0.360).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(RMSSD, square root of the mean squared difference of successive RR intervals).</w:t>
      </w:r>
    </w:p>
    <w:p w14:paraId="5B2F6355" w14:textId="4402A6BE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1583C579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7.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E/I ratio mean difference before and after treatment. No changes in E/I ratio after chronic GLP-1R agonist administration (mean difference -1.13; 95%CI: -3.64, 1.38, I</w:t>
      </w:r>
      <w:r w:rsidRPr="001A3A6D">
        <w:rPr>
          <w:rFonts w:asciiTheme="majorHAnsi" w:hAnsiTheme="majorHAnsi" w:cstheme="majorHAnsi"/>
          <w:sz w:val="22"/>
          <w:szCs w:val="22"/>
          <w:vertAlign w:val="superscript"/>
          <w:lang w:val="en-GB"/>
        </w:rPr>
        <w:t>2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=95%, p=0.380).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(E/I ratio, expiration/inspiration ratio).</w:t>
      </w:r>
    </w:p>
    <w:p w14:paraId="7A5531D0" w14:textId="3164F59E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</w:p>
    <w:p w14:paraId="543E54BE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8.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E/I ratio difference after the GLP-1R chronic administration comparing study and control groups. In the study vs. control group comparison, the E/I ratio was not significantly different (mean difference 0.0; 95%CI: -0-004, 0.004, p=0.999).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(E/I ratio, expiration/inspiration ratio).</w:t>
      </w:r>
    </w:p>
    <w:p w14:paraId="092F8E63" w14:textId="4CCC78CD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en-GB"/>
        </w:rPr>
      </w:pPr>
    </w:p>
    <w:p w14:paraId="4F294B9D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lastRenderedPageBreak/>
        <w:t>Supplementary figure 9.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VM mean difference considering before and after the GLP-1R chronic administration. No significantly changes in VM value after treatment (mean difference 0.04; 95%CI: -0.08, 0.15, p=0.520). </w:t>
      </w:r>
      <w:r w:rsidRPr="001A3A6D">
        <w:rPr>
          <w:rFonts w:asciiTheme="majorHAnsi" w:hAnsiTheme="majorHAnsi" w:cstheme="majorHAnsi"/>
          <w:i/>
          <w:sz w:val="22"/>
          <w:szCs w:val="22"/>
          <w:lang w:val="en-GB"/>
        </w:rPr>
        <w:t>(VM, Valsalva manoeuvre).</w:t>
      </w:r>
    </w:p>
    <w:p w14:paraId="5B433D6B" w14:textId="421C8E21" w:rsidR="006B6F50" w:rsidRPr="001A3A6D" w:rsidRDefault="006B6F50" w:rsidP="001A3A6D">
      <w:pPr>
        <w:spacing w:line="480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en-GB"/>
        </w:rPr>
      </w:pPr>
    </w:p>
    <w:p w14:paraId="1A968FDF" w14:textId="77777777" w:rsidR="001A3A6D" w:rsidRPr="001A3A6D" w:rsidRDefault="001A3A6D" w:rsidP="001A3A6D">
      <w:pPr>
        <w:spacing w:line="480" w:lineRule="auto"/>
        <w:jc w:val="both"/>
        <w:rPr>
          <w:rFonts w:asciiTheme="majorHAnsi" w:hAnsiTheme="majorHAnsi" w:cstheme="majorHAnsi"/>
          <w:sz w:val="22"/>
          <w:szCs w:val="22"/>
          <w:lang w:val="en-GB"/>
        </w:rPr>
      </w:pPr>
      <w:r w:rsidRPr="001A3A6D">
        <w:rPr>
          <w:rFonts w:asciiTheme="majorHAnsi" w:hAnsiTheme="majorHAnsi" w:cstheme="majorHAnsi"/>
          <w:b/>
          <w:bCs/>
          <w:sz w:val="22"/>
          <w:szCs w:val="22"/>
          <w:lang w:val="en-GB"/>
        </w:rPr>
        <w:t>Supplementary figure 10.</w:t>
      </w:r>
      <w:r w:rsidRPr="001A3A6D">
        <w:rPr>
          <w:rFonts w:asciiTheme="majorHAnsi" w:hAnsiTheme="majorHAnsi" w:cstheme="majorHAnsi"/>
          <w:sz w:val="22"/>
          <w:szCs w:val="22"/>
          <w:lang w:val="en-GB"/>
        </w:rPr>
        <w:t xml:space="preserve"> Risk of bias graph. Evaluation of the risk of bias showed a good quality of the studies, in terms of reporting and incomplete biases. On the contrary, a variable quality in terms of blinding was detected.</w:t>
      </w:r>
    </w:p>
    <w:sectPr w:rsidR="001A3A6D" w:rsidRPr="001A3A6D" w:rsidSect="00F10036"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D8941B" w14:textId="77777777" w:rsidR="00F11124" w:rsidRDefault="00F11124" w:rsidP="001D5A83">
      <w:r>
        <w:separator/>
      </w:r>
    </w:p>
  </w:endnote>
  <w:endnote w:type="continuationSeparator" w:id="0">
    <w:p w14:paraId="0776737E" w14:textId="77777777" w:rsidR="00F11124" w:rsidRDefault="00F11124" w:rsidP="001D5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44907890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11C5C7A6" w14:textId="7D250CD5" w:rsidR="000D677A" w:rsidRDefault="000D677A" w:rsidP="00451AC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E9C6B1B" w14:textId="77777777" w:rsidR="000D677A" w:rsidRDefault="000D677A" w:rsidP="001D5A8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149067115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2FB8770" w14:textId="1C3A119F" w:rsidR="000D677A" w:rsidRDefault="000D677A" w:rsidP="00451AC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25</w:t>
        </w:r>
        <w:r>
          <w:rPr>
            <w:rStyle w:val="Numeropagina"/>
          </w:rPr>
          <w:fldChar w:fldCharType="end"/>
        </w:r>
      </w:p>
    </w:sdtContent>
  </w:sdt>
  <w:p w14:paraId="52639FEF" w14:textId="77777777" w:rsidR="000D677A" w:rsidRDefault="000D677A" w:rsidP="001D5A8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F7A64B" w14:textId="77777777" w:rsidR="00F11124" w:rsidRDefault="00F11124" w:rsidP="001D5A83">
      <w:r>
        <w:separator/>
      </w:r>
    </w:p>
  </w:footnote>
  <w:footnote w:type="continuationSeparator" w:id="0">
    <w:p w14:paraId="6D0E8517" w14:textId="77777777" w:rsidR="00F11124" w:rsidRDefault="00F11124" w:rsidP="001D5A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00130"/>
    <w:multiLevelType w:val="hybridMultilevel"/>
    <w:tmpl w:val="A7EC95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B2B2D"/>
    <w:multiLevelType w:val="hybridMultilevel"/>
    <w:tmpl w:val="2E641B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D369F"/>
    <w:multiLevelType w:val="hybridMultilevel"/>
    <w:tmpl w:val="53EC11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84F7E"/>
    <w:multiLevelType w:val="multilevel"/>
    <w:tmpl w:val="B60C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711BF7"/>
    <w:multiLevelType w:val="hybridMultilevel"/>
    <w:tmpl w:val="A5DC59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C420BC"/>
    <w:multiLevelType w:val="hybridMultilevel"/>
    <w:tmpl w:val="E2BCE918"/>
    <w:lvl w:ilvl="0" w:tplc="5D6E9DDE">
      <w:start w:val="26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oNotDisplayPageBoundaries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E66BD"/>
    <w:rsid w:val="00006BE6"/>
    <w:rsid w:val="0002199D"/>
    <w:rsid w:val="00022254"/>
    <w:rsid w:val="00031B7D"/>
    <w:rsid w:val="00050D5B"/>
    <w:rsid w:val="00051D42"/>
    <w:rsid w:val="00052ADC"/>
    <w:rsid w:val="000547EF"/>
    <w:rsid w:val="000554DE"/>
    <w:rsid w:val="0006119A"/>
    <w:rsid w:val="00065248"/>
    <w:rsid w:val="00071548"/>
    <w:rsid w:val="00071C39"/>
    <w:rsid w:val="00081726"/>
    <w:rsid w:val="00083540"/>
    <w:rsid w:val="00091F08"/>
    <w:rsid w:val="00093172"/>
    <w:rsid w:val="00093346"/>
    <w:rsid w:val="000A4A91"/>
    <w:rsid w:val="000B4BDD"/>
    <w:rsid w:val="000C09D8"/>
    <w:rsid w:val="000C743E"/>
    <w:rsid w:val="000D677A"/>
    <w:rsid w:val="000D7FBF"/>
    <w:rsid w:val="000E1655"/>
    <w:rsid w:val="000F1402"/>
    <w:rsid w:val="000F432B"/>
    <w:rsid w:val="000F565C"/>
    <w:rsid w:val="001007FD"/>
    <w:rsid w:val="00102489"/>
    <w:rsid w:val="00112418"/>
    <w:rsid w:val="00116064"/>
    <w:rsid w:val="00136B07"/>
    <w:rsid w:val="00140677"/>
    <w:rsid w:val="00141514"/>
    <w:rsid w:val="00142F13"/>
    <w:rsid w:val="00146E53"/>
    <w:rsid w:val="0014704B"/>
    <w:rsid w:val="001558C9"/>
    <w:rsid w:val="00170F6B"/>
    <w:rsid w:val="00172539"/>
    <w:rsid w:val="00172D17"/>
    <w:rsid w:val="00176891"/>
    <w:rsid w:val="00184347"/>
    <w:rsid w:val="00184E99"/>
    <w:rsid w:val="00184EB6"/>
    <w:rsid w:val="0019644C"/>
    <w:rsid w:val="001A3A6D"/>
    <w:rsid w:val="001B129E"/>
    <w:rsid w:val="001B30DA"/>
    <w:rsid w:val="001C38A4"/>
    <w:rsid w:val="001C6EF1"/>
    <w:rsid w:val="001D3B9F"/>
    <w:rsid w:val="001D5A83"/>
    <w:rsid w:val="001E33FF"/>
    <w:rsid w:val="001E58FB"/>
    <w:rsid w:val="001E5C20"/>
    <w:rsid w:val="001F0113"/>
    <w:rsid w:val="001F4904"/>
    <w:rsid w:val="00205AEE"/>
    <w:rsid w:val="002115E0"/>
    <w:rsid w:val="00212BAD"/>
    <w:rsid w:val="00212C89"/>
    <w:rsid w:val="00215864"/>
    <w:rsid w:val="00220F7C"/>
    <w:rsid w:val="00221ECD"/>
    <w:rsid w:val="00221FE0"/>
    <w:rsid w:val="002228FE"/>
    <w:rsid w:val="002232D8"/>
    <w:rsid w:val="00223FF4"/>
    <w:rsid w:val="00224493"/>
    <w:rsid w:val="0022706E"/>
    <w:rsid w:val="00230D64"/>
    <w:rsid w:val="002375CF"/>
    <w:rsid w:val="00242830"/>
    <w:rsid w:val="00250631"/>
    <w:rsid w:val="002527D3"/>
    <w:rsid w:val="00253DF1"/>
    <w:rsid w:val="002540C7"/>
    <w:rsid w:val="00257635"/>
    <w:rsid w:val="002576A8"/>
    <w:rsid w:val="00265FA7"/>
    <w:rsid w:val="00270314"/>
    <w:rsid w:val="0027073B"/>
    <w:rsid w:val="0027676F"/>
    <w:rsid w:val="00281974"/>
    <w:rsid w:val="00281CDA"/>
    <w:rsid w:val="00284837"/>
    <w:rsid w:val="00286143"/>
    <w:rsid w:val="00286195"/>
    <w:rsid w:val="00290501"/>
    <w:rsid w:val="00291BC5"/>
    <w:rsid w:val="00297C8A"/>
    <w:rsid w:val="002A0684"/>
    <w:rsid w:val="002A380A"/>
    <w:rsid w:val="002A7ED8"/>
    <w:rsid w:val="002B22D8"/>
    <w:rsid w:val="002B48FA"/>
    <w:rsid w:val="002B4A6C"/>
    <w:rsid w:val="002C08CB"/>
    <w:rsid w:val="002C7442"/>
    <w:rsid w:val="002D5A68"/>
    <w:rsid w:val="002D68BB"/>
    <w:rsid w:val="002E1B7B"/>
    <w:rsid w:val="002E385E"/>
    <w:rsid w:val="002E5331"/>
    <w:rsid w:val="002E69AA"/>
    <w:rsid w:val="002E6D1F"/>
    <w:rsid w:val="002E6E3C"/>
    <w:rsid w:val="002E7316"/>
    <w:rsid w:val="00303FA3"/>
    <w:rsid w:val="0030496C"/>
    <w:rsid w:val="00307065"/>
    <w:rsid w:val="0031701E"/>
    <w:rsid w:val="00323AB5"/>
    <w:rsid w:val="00326203"/>
    <w:rsid w:val="003340B3"/>
    <w:rsid w:val="00335E69"/>
    <w:rsid w:val="00341276"/>
    <w:rsid w:val="0035109E"/>
    <w:rsid w:val="00351A9B"/>
    <w:rsid w:val="003706BF"/>
    <w:rsid w:val="00375D75"/>
    <w:rsid w:val="00384D25"/>
    <w:rsid w:val="00387698"/>
    <w:rsid w:val="0039403C"/>
    <w:rsid w:val="00395A0D"/>
    <w:rsid w:val="00396CA9"/>
    <w:rsid w:val="003A1F51"/>
    <w:rsid w:val="003B038A"/>
    <w:rsid w:val="003C199C"/>
    <w:rsid w:val="003C42C9"/>
    <w:rsid w:val="003C6704"/>
    <w:rsid w:val="003E1429"/>
    <w:rsid w:val="003E7898"/>
    <w:rsid w:val="003F419F"/>
    <w:rsid w:val="003F47F7"/>
    <w:rsid w:val="00400715"/>
    <w:rsid w:val="0040569A"/>
    <w:rsid w:val="00405EA2"/>
    <w:rsid w:val="0041018C"/>
    <w:rsid w:val="00410413"/>
    <w:rsid w:val="00422D91"/>
    <w:rsid w:val="0042777D"/>
    <w:rsid w:val="004407AA"/>
    <w:rsid w:val="00446125"/>
    <w:rsid w:val="00451AC4"/>
    <w:rsid w:val="00465AEE"/>
    <w:rsid w:val="004747BE"/>
    <w:rsid w:val="004810AD"/>
    <w:rsid w:val="004844B9"/>
    <w:rsid w:val="004851B0"/>
    <w:rsid w:val="00487783"/>
    <w:rsid w:val="004B1A9C"/>
    <w:rsid w:val="004B491E"/>
    <w:rsid w:val="004C17DF"/>
    <w:rsid w:val="004C3B4C"/>
    <w:rsid w:val="004C5249"/>
    <w:rsid w:val="004D061D"/>
    <w:rsid w:val="004D561A"/>
    <w:rsid w:val="004E2D43"/>
    <w:rsid w:val="004E328B"/>
    <w:rsid w:val="004E42F5"/>
    <w:rsid w:val="004F7CF9"/>
    <w:rsid w:val="0050700C"/>
    <w:rsid w:val="00507074"/>
    <w:rsid w:val="00511E99"/>
    <w:rsid w:val="00515B9F"/>
    <w:rsid w:val="00525AFB"/>
    <w:rsid w:val="00527A75"/>
    <w:rsid w:val="00533229"/>
    <w:rsid w:val="0053341A"/>
    <w:rsid w:val="00535F79"/>
    <w:rsid w:val="00542381"/>
    <w:rsid w:val="00544D8B"/>
    <w:rsid w:val="0055437A"/>
    <w:rsid w:val="00554C45"/>
    <w:rsid w:val="00554E17"/>
    <w:rsid w:val="00555767"/>
    <w:rsid w:val="00556D70"/>
    <w:rsid w:val="00560E6F"/>
    <w:rsid w:val="0056153A"/>
    <w:rsid w:val="0056499F"/>
    <w:rsid w:val="00571688"/>
    <w:rsid w:val="00573005"/>
    <w:rsid w:val="005801D5"/>
    <w:rsid w:val="00580EF2"/>
    <w:rsid w:val="005861D8"/>
    <w:rsid w:val="0058718F"/>
    <w:rsid w:val="0058784E"/>
    <w:rsid w:val="00590663"/>
    <w:rsid w:val="00592F21"/>
    <w:rsid w:val="005966A1"/>
    <w:rsid w:val="005B0854"/>
    <w:rsid w:val="005B1A7A"/>
    <w:rsid w:val="005C3FB4"/>
    <w:rsid w:val="005D1B74"/>
    <w:rsid w:val="005D65D3"/>
    <w:rsid w:val="005D6A05"/>
    <w:rsid w:val="005E1FA4"/>
    <w:rsid w:val="005E35E2"/>
    <w:rsid w:val="005F65EE"/>
    <w:rsid w:val="005F6C5B"/>
    <w:rsid w:val="006024EA"/>
    <w:rsid w:val="00606372"/>
    <w:rsid w:val="00613F12"/>
    <w:rsid w:val="006157EC"/>
    <w:rsid w:val="006334FF"/>
    <w:rsid w:val="00634DCD"/>
    <w:rsid w:val="006365E2"/>
    <w:rsid w:val="0064430B"/>
    <w:rsid w:val="0067103B"/>
    <w:rsid w:val="006754CE"/>
    <w:rsid w:val="0068616D"/>
    <w:rsid w:val="00697478"/>
    <w:rsid w:val="006A129E"/>
    <w:rsid w:val="006A13F8"/>
    <w:rsid w:val="006A1E95"/>
    <w:rsid w:val="006A4C12"/>
    <w:rsid w:val="006B6F50"/>
    <w:rsid w:val="006C137F"/>
    <w:rsid w:val="006C142F"/>
    <w:rsid w:val="006C1765"/>
    <w:rsid w:val="006C35C4"/>
    <w:rsid w:val="006D025E"/>
    <w:rsid w:val="006D26C6"/>
    <w:rsid w:val="006D57EE"/>
    <w:rsid w:val="006D7EF5"/>
    <w:rsid w:val="006E2AED"/>
    <w:rsid w:val="006E66BD"/>
    <w:rsid w:val="006E6B85"/>
    <w:rsid w:val="006F2AD4"/>
    <w:rsid w:val="006F3D34"/>
    <w:rsid w:val="006F6081"/>
    <w:rsid w:val="00703552"/>
    <w:rsid w:val="00710397"/>
    <w:rsid w:val="007116AE"/>
    <w:rsid w:val="007134DD"/>
    <w:rsid w:val="007175B7"/>
    <w:rsid w:val="00723636"/>
    <w:rsid w:val="00723709"/>
    <w:rsid w:val="0073466C"/>
    <w:rsid w:val="00735706"/>
    <w:rsid w:val="0074011B"/>
    <w:rsid w:val="00740372"/>
    <w:rsid w:val="00742FE3"/>
    <w:rsid w:val="007431D5"/>
    <w:rsid w:val="00754A71"/>
    <w:rsid w:val="0075661A"/>
    <w:rsid w:val="007612A8"/>
    <w:rsid w:val="00765059"/>
    <w:rsid w:val="007746EA"/>
    <w:rsid w:val="0078144D"/>
    <w:rsid w:val="0078459A"/>
    <w:rsid w:val="007904DC"/>
    <w:rsid w:val="00791599"/>
    <w:rsid w:val="007A2B0A"/>
    <w:rsid w:val="007A3164"/>
    <w:rsid w:val="007A625B"/>
    <w:rsid w:val="007B0123"/>
    <w:rsid w:val="007B2025"/>
    <w:rsid w:val="007C43F6"/>
    <w:rsid w:val="007C5100"/>
    <w:rsid w:val="007C7E0C"/>
    <w:rsid w:val="007C7ED3"/>
    <w:rsid w:val="007D03EE"/>
    <w:rsid w:val="007D1B48"/>
    <w:rsid w:val="007D1F94"/>
    <w:rsid w:val="007E44EC"/>
    <w:rsid w:val="007F1764"/>
    <w:rsid w:val="007F4160"/>
    <w:rsid w:val="007F6CA7"/>
    <w:rsid w:val="00802EDA"/>
    <w:rsid w:val="0080441D"/>
    <w:rsid w:val="00814BD2"/>
    <w:rsid w:val="008158C6"/>
    <w:rsid w:val="008201D9"/>
    <w:rsid w:val="00823B97"/>
    <w:rsid w:val="0082475A"/>
    <w:rsid w:val="00824784"/>
    <w:rsid w:val="00833A2E"/>
    <w:rsid w:val="0083534B"/>
    <w:rsid w:val="00835B15"/>
    <w:rsid w:val="00840C31"/>
    <w:rsid w:val="00844462"/>
    <w:rsid w:val="00853E26"/>
    <w:rsid w:val="008573A2"/>
    <w:rsid w:val="00861548"/>
    <w:rsid w:val="008615C5"/>
    <w:rsid w:val="00870CDE"/>
    <w:rsid w:val="008836BD"/>
    <w:rsid w:val="00891820"/>
    <w:rsid w:val="00891C78"/>
    <w:rsid w:val="008A10EC"/>
    <w:rsid w:val="008A3199"/>
    <w:rsid w:val="008B0749"/>
    <w:rsid w:val="008B1E3B"/>
    <w:rsid w:val="008C4D84"/>
    <w:rsid w:val="008D0048"/>
    <w:rsid w:val="008D4DC0"/>
    <w:rsid w:val="008F007F"/>
    <w:rsid w:val="008F07C9"/>
    <w:rsid w:val="0090236D"/>
    <w:rsid w:val="009163B9"/>
    <w:rsid w:val="0092565D"/>
    <w:rsid w:val="009437F1"/>
    <w:rsid w:val="009477CA"/>
    <w:rsid w:val="009502CF"/>
    <w:rsid w:val="00953CC1"/>
    <w:rsid w:val="00960B71"/>
    <w:rsid w:val="00965E12"/>
    <w:rsid w:val="00966C77"/>
    <w:rsid w:val="00977980"/>
    <w:rsid w:val="009828AC"/>
    <w:rsid w:val="00983DCE"/>
    <w:rsid w:val="009873EC"/>
    <w:rsid w:val="009878DF"/>
    <w:rsid w:val="00991D67"/>
    <w:rsid w:val="009B179D"/>
    <w:rsid w:val="009B27AF"/>
    <w:rsid w:val="009C3F90"/>
    <w:rsid w:val="009C4F8E"/>
    <w:rsid w:val="009C5BA7"/>
    <w:rsid w:val="009C7C33"/>
    <w:rsid w:val="009E7FD1"/>
    <w:rsid w:val="009F1B65"/>
    <w:rsid w:val="009F6B1B"/>
    <w:rsid w:val="009F7BC8"/>
    <w:rsid w:val="00A0071A"/>
    <w:rsid w:val="00A0216C"/>
    <w:rsid w:val="00A0347F"/>
    <w:rsid w:val="00A10796"/>
    <w:rsid w:val="00A12425"/>
    <w:rsid w:val="00A124E6"/>
    <w:rsid w:val="00A2168F"/>
    <w:rsid w:val="00A23104"/>
    <w:rsid w:val="00A30BF9"/>
    <w:rsid w:val="00A32F77"/>
    <w:rsid w:val="00A3775F"/>
    <w:rsid w:val="00A422F4"/>
    <w:rsid w:val="00A428A6"/>
    <w:rsid w:val="00A51F2B"/>
    <w:rsid w:val="00A533E3"/>
    <w:rsid w:val="00A54B47"/>
    <w:rsid w:val="00A556A9"/>
    <w:rsid w:val="00A57F39"/>
    <w:rsid w:val="00A66B9C"/>
    <w:rsid w:val="00A67F2D"/>
    <w:rsid w:val="00A7027A"/>
    <w:rsid w:val="00A71371"/>
    <w:rsid w:val="00A72308"/>
    <w:rsid w:val="00A818D0"/>
    <w:rsid w:val="00A832A0"/>
    <w:rsid w:val="00A86CE8"/>
    <w:rsid w:val="00A932FC"/>
    <w:rsid w:val="00AA3BC3"/>
    <w:rsid w:val="00AA3FAB"/>
    <w:rsid w:val="00AB14B9"/>
    <w:rsid w:val="00AB345F"/>
    <w:rsid w:val="00AB49A0"/>
    <w:rsid w:val="00AD5060"/>
    <w:rsid w:val="00AD7FE3"/>
    <w:rsid w:val="00AE52A8"/>
    <w:rsid w:val="00AF674E"/>
    <w:rsid w:val="00B05896"/>
    <w:rsid w:val="00B15E57"/>
    <w:rsid w:val="00B239A1"/>
    <w:rsid w:val="00B252BA"/>
    <w:rsid w:val="00B31AA0"/>
    <w:rsid w:val="00B37ED2"/>
    <w:rsid w:val="00B44F50"/>
    <w:rsid w:val="00B45604"/>
    <w:rsid w:val="00B50368"/>
    <w:rsid w:val="00B53283"/>
    <w:rsid w:val="00B63D2B"/>
    <w:rsid w:val="00B6562A"/>
    <w:rsid w:val="00B66CD3"/>
    <w:rsid w:val="00B70687"/>
    <w:rsid w:val="00B712C3"/>
    <w:rsid w:val="00B72506"/>
    <w:rsid w:val="00B74CD0"/>
    <w:rsid w:val="00B8186F"/>
    <w:rsid w:val="00B8527D"/>
    <w:rsid w:val="00B96B94"/>
    <w:rsid w:val="00B96C4B"/>
    <w:rsid w:val="00BA01AD"/>
    <w:rsid w:val="00BA3B90"/>
    <w:rsid w:val="00BA4239"/>
    <w:rsid w:val="00BA6DC0"/>
    <w:rsid w:val="00BB0E98"/>
    <w:rsid w:val="00BC42A6"/>
    <w:rsid w:val="00BC5738"/>
    <w:rsid w:val="00BD00BE"/>
    <w:rsid w:val="00BE3389"/>
    <w:rsid w:val="00BF3F86"/>
    <w:rsid w:val="00BF5514"/>
    <w:rsid w:val="00C007F9"/>
    <w:rsid w:val="00C018CE"/>
    <w:rsid w:val="00C06009"/>
    <w:rsid w:val="00C06D24"/>
    <w:rsid w:val="00C10FDE"/>
    <w:rsid w:val="00C17677"/>
    <w:rsid w:val="00C261A3"/>
    <w:rsid w:val="00C35398"/>
    <w:rsid w:val="00C40B81"/>
    <w:rsid w:val="00C57925"/>
    <w:rsid w:val="00C66672"/>
    <w:rsid w:val="00C70546"/>
    <w:rsid w:val="00C76EA0"/>
    <w:rsid w:val="00C878EC"/>
    <w:rsid w:val="00C9042A"/>
    <w:rsid w:val="00C93F46"/>
    <w:rsid w:val="00C94EDA"/>
    <w:rsid w:val="00CA15CD"/>
    <w:rsid w:val="00CA619E"/>
    <w:rsid w:val="00CB6DA6"/>
    <w:rsid w:val="00CC18C1"/>
    <w:rsid w:val="00CC5ED7"/>
    <w:rsid w:val="00CD0858"/>
    <w:rsid w:val="00CE623E"/>
    <w:rsid w:val="00CF1D61"/>
    <w:rsid w:val="00CF4F7A"/>
    <w:rsid w:val="00CF7682"/>
    <w:rsid w:val="00D02001"/>
    <w:rsid w:val="00D10717"/>
    <w:rsid w:val="00D122BE"/>
    <w:rsid w:val="00D14BD4"/>
    <w:rsid w:val="00D22E17"/>
    <w:rsid w:val="00D410E7"/>
    <w:rsid w:val="00D55688"/>
    <w:rsid w:val="00D55E5A"/>
    <w:rsid w:val="00D5616A"/>
    <w:rsid w:val="00D57CCE"/>
    <w:rsid w:val="00D63D7E"/>
    <w:rsid w:val="00D7185D"/>
    <w:rsid w:val="00D72643"/>
    <w:rsid w:val="00D72E9A"/>
    <w:rsid w:val="00D732AF"/>
    <w:rsid w:val="00D75765"/>
    <w:rsid w:val="00D77AB3"/>
    <w:rsid w:val="00D8066B"/>
    <w:rsid w:val="00D825A1"/>
    <w:rsid w:val="00DA0CCB"/>
    <w:rsid w:val="00DA3D8F"/>
    <w:rsid w:val="00DA3FEA"/>
    <w:rsid w:val="00DB37FF"/>
    <w:rsid w:val="00DB5F89"/>
    <w:rsid w:val="00DC1484"/>
    <w:rsid w:val="00DC4AE1"/>
    <w:rsid w:val="00DD0DCF"/>
    <w:rsid w:val="00DD23F8"/>
    <w:rsid w:val="00DD2563"/>
    <w:rsid w:val="00DD4189"/>
    <w:rsid w:val="00DE110E"/>
    <w:rsid w:val="00DE67CE"/>
    <w:rsid w:val="00DF19C2"/>
    <w:rsid w:val="00DF2570"/>
    <w:rsid w:val="00DF28E3"/>
    <w:rsid w:val="00DF3AD8"/>
    <w:rsid w:val="00DF4535"/>
    <w:rsid w:val="00DF5B52"/>
    <w:rsid w:val="00DF6050"/>
    <w:rsid w:val="00E04E7B"/>
    <w:rsid w:val="00E061CA"/>
    <w:rsid w:val="00E1673B"/>
    <w:rsid w:val="00E2152A"/>
    <w:rsid w:val="00E2181D"/>
    <w:rsid w:val="00E22E82"/>
    <w:rsid w:val="00E2492F"/>
    <w:rsid w:val="00E24CF4"/>
    <w:rsid w:val="00E25509"/>
    <w:rsid w:val="00E3379D"/>
    <w:rsid w:val="00E4102A"/>
    <w:rsid w:val="00E41FC2"/>
    <w:rsid w:val="00E42185"/>
    <w:rsid w:val="00E4377A"/>
    <w:rsid w:val="00E44B0A"/>
    <w:rsid w:val="00E44F0F"/>
    <w:rsid w:val="00E47BDC"/>
    <w:rsid w:val="00E47CB9"/>
    <w:rsid w:val="00E55F2F"/>
    <w:rsid w:val="00E66773"/>
    <w:rsid w:val="00E67103"/>
    <w:rsid w:val="00E74B1E"/>
    <w:rsid w:val="00E77869"/>
    <w:rsid w:val="00E7792E"/>
    <w:rsid w:val="00E80348"/>
    <w:rsid w:val="00E817D9"/>
    <w:rsid w:val="00E8524F"/>
    <w:rsid w:val="00E86160"/>
    <w:rsid w:val="00E917F0"/>
    <w:rsid w:val="00E920B1"/>
    <w:rsid w:val="00E940CA"/>
    <w:rsid w:val="00E95228"/>
    <w:rsid w:val="00EA2C22"/>
    <w:rsid w:val="00EA3952"/>
    <w:rsid w:val="00EA5435"/>
    <w:rsid w:val="00EB6F2E"/>
    <w:rsid w:val="00EC72EB"/>
    <w:rsid w:val="00ED68D5"/>
    <w:rsid w:val="00ED6E13"/>
    <w:rsid w:val="00ED7EF7"/>
    <w:rsid w:val="00EE0C72"/>
    <w:rsid w:val="00EE57DE"/>
    <w:rsid w:val="00EF4880"/>
    <w:rsid w:val="00EF77C1"/>
    <w:rsid w:val="00F00C28"/>
    <w:rsid w:val="00F10036"/>
    <w:rsid w:val="00F11124"/>
    <w:rsid w:val="00F13356"/>
    <w:rsid w:val="00F151C9"/>
    <w:rsid w:val="00F159E5"/>
    <w:rsid w:val="00F23786"/>
    <w:rsid w:val="00F30802"/>
    <w:rsid w:val="00F44134"/>
    <w:rsid w:val="00F50BF2"/>
    <w:rsid w:val="00F5474C"/>
    <w:rsid w:val="00F60AB2"/>
    <w:rsid w:val="00F6540B"/>
    <w:rsid w:val="00F71039"/>
    <w:rsid w:val="00F7241D"/>
    <w:rsid w:val="00F81A96"/>
    <w:rsid w:val="00F86BE5"/>
    <w:rsid w:val="00F9284A"/>
    <w:rsid w:val="00F93B84"/>
    <w:rsid w:val="00F9713E"/>
    <w:rsid w:val="00F97C10"/>
    <w:rsid w:val="00FA4F4B"/>
    <w:rsid w:val="00FA5AFB"/>
    <w:rsid w:val="00FB2154"/>
    <w:rsid w:val="00FB6FE4"/>
    <w:rsid w:val="00FC588D"/>
    <w:rsid w:val="00FD1360"/>
    <w:rsid w:val="00FD785A"/>
    <w:rsid w:val="00FE10FD"/>
    <w:rsid w:val="00FE4472"/>
    <w:rsid w:val="00FF1977"/>
    <w:rsid w:val="00FF1E31"/>
    <w:rsid w:val="00FF2AE0"/>
    <w:rsid w:val="00FF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6DF43478"/>
  <w14:defaultImageDpi w14:val="300"/>
  <w15:docId w15:val="{2C251C4D-7DDE-4465-9ECC-5C9BB0E8E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D5A83"/>
    <w:rPr>
      <w:rFonts w:ascii="Times New Roman" w:eastAsia="Times New Roman" w:hAnsi="Times New Roman" w:cs="Times New Roman"/>
    </w:rPr>
  </w:style>
  <w:style w:type="paragraph" w:styleId="Titolo2">
    <w:name w:val="heading 2"/>
    <w:basedOn w:val="Normale"/>
    <w:next w:val="Normale"/>
    <w:link w:val="Titolo2Carattere"/>
    <w:qFormat/>
    <w:rsid w:val="00E2181D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15C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F007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Pidipagina">
    <w:name w:val="footer"/>
    <w:basedOn w:val="Normale"/>
    <w:link w:val="PidipaginaCarattere"/>
    <w:uiPriority w:val="99"/>
    <w:unhideWhenUsed/>
    <w:rsid w:val="001D5A83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5A83"/>
  </w:style>
  <w:style w:type="character" w:styleId="Numeropagina">
    <w:name w:val="page number"/>
    <w:basedOn w:val="Carpredefinitoparagrafo"/>
    <w:uiPriority w:val="99"/>
    <w:semiHidden/>
    <w:unhideWhenUsed/>
    <w:rsid w:val="001D5A83"/>
  </w:style>
  <w:style w:type="character" w:styleId="Rimandocommento">
    <w:name w:val="annotation reference"/>
    <w:basedOn w:val="Carpredefinitoparagrafo"/>
    <w:uiPriority w:val="99"/>
    <w:semiHidden/>
    <w:unhideWhenUsed/>
    <w:rsid w:val="0076505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6505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65059"/>
    <w:rPr>
      <w:rFonts w:ascii="Times New Roman" w:eastAsia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505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6505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5059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5059"/>
    <w:rPr>
      <w:rFonts w:ascii="Times New Roman" w:eastAsia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e"/>
    <w:link w:val="EndNoteBibliographyTitleCarattere"/>
    <w:rsid w:val="00422D91"/>
    <w:pPr>
      <w:jc w:val="center"/>
    </w:p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422D91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e"/>
    <w:link w:val="EndNoteBibliographyCarattere"/>
    <w:rsid w:val="00422D91"/>
    <w:pPr>
      <w:jc w:val="both"/>
    </w:pPr>
  </w:style>
  <w:style w:type="character" w:customStyle="1" w:styleId="EndNoteBibliographyCarattere">
    <w:name w:val="EndNote Bibliography Carattere"/>
    <w:basedOn w:val="Carpredefinitoparagrafo"/>
    <w:link w:val="EndNoteBibliography"/>
    <w:rsid w:val="00422D91"/>
    <w:rPr>
      <w:rFonts w:ascii="Times New Roman" w:eastAsia="Times New Roman" w:hAnsi="Times New Roman" w:cs="Times New Roman"/>
    </w:rPr>
  </w:style>
  <w:style w:type="table" w:styleId="Grigliatabella">
    <w:name w:val="Table Grid"/>
    <w:basedOn w:val="Tabellanormale"/>
    <w:uiPriority w:val="39"/>
    <w:rsid w:val="00A81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2E6D1F"/>
    <w:rPr>
      <w:rFonts w:ascii="Times New Roman" w:eastAsia="Times New Roman" w:hAnsi="Times New Roman" w:cs="Times New Roman"/>
    </w:rPr>
  </w:style>
  <w:style w:type="character" w:customStyle="1" w:styleId="Titolo2Carattere">
    <w:name w:val="Titolo 2 Carattere"/>
    <w:basedOn w:val="Carpredefinitoparagrafo"/>
    <w:link w:val="Titolo2"/>
    <w:rsid w:val="00E2181D"/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character" w:customStyle="1" w:styleId="apple-converted-space">
    <w:name w:val="apple-converted-space"/>
    <w:basedOn w:val="Carpredefinitoparagrafo"/>
    <w:rsid w:val="002E1B7B"/>
  </w:style>
  <w:style w:type="character" w:styleId="Collegamentoipertestuale">
    <w:name w:val="Hyperlink"/>
    <w:basedOn w:val="Carpredefinitoparagrafo"/>
    <w:uiPriority w:val="99"/>
    <w:unhideWhenUsed/>
    <w:rsid w:val="002E1B7B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39403C"/>
    <w:rPr>
      <w:b/>
      <w:bCs/>
    </w:rPr>
  </w:style>
  <w:style w:type="character" w:customStyle="1" w:styleId="jlqj4b">
    <w:name w:val="jlqj4b"/>
    <w:basedOn w:val="Carpredefinitoparagrafo"/>
    <w:rsid w:val="00F9713E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15C5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Menzionenonrisolta">
    <w:name w:val="Unresolved Mention"/>
    <w:basedOn w:val="Carpredefinitoparagrafo"/>
    <w:uiPriority w:val="99"/>
    <w:semiHidden/>
    <w:unhideWhenUsed/>
    <w:rsid w:val="0073466C"/>
    <w:rPr>
      <w:color w:val="605E5C"/>
      <w:shd w:val="clear" w:color="auto" w:fill="E1DFDD"/>
    </w:rPr>
  </w:style>
  <w:style w:type="character" w:styleId="Numeroriga">
    <w:name w:val="line number"/>
    <w:basedOn w:val="Carpredefinitoparagrafo"/>
    <w:uiPriority w:val="99"/>
    <w:semiHidden/>
    <w:unhideWhenUsed/>
    <w:rsid w:val="00F10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lagreco@unimor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3528C6-FC82-4045-9475-0CE510ED2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UNIMORE</Company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Greco</dc:creator>
  <cp:keywords/>
  <dc:description/>
  <cp:lastModifiedBy>Karla Greco</cp:lastModifiedBy>
  <cp:revision>5</cp:revision>
  <dcterms:created xsi:type="dcterms:W3CDTF">2021-01-21T14:55:00Z</dcterms:created>
  <dcterms:modified xsi:type="dcterms:W3CDTF">2021-02-18T20:23:00Z</dcterms:modified>
</cp:coreProperties>
</file>