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2C409" w14:textId="77777777" w:rsidR="00B724C5" w:rsidRPr="00F03736" w:rsidRDefault="00B724C5" w:rsidP="00B724C5">
      <w:pPr>
        <w:pStyle w:val="Heading1"/>
        <w:spacing w:before="0" w:after="120"/>
        <w:rPr>
          <w:sz w:val="28"/>
          <w:szCs w:val="28"/>
          <w:u w:val="single"/>
        </w:rPr>
      </w:pPr>
      <w:bookmarkStart w:id="0" w:name="_Toc123661995"/>
      <w:r>
        <w:rPr>
          <w:sz w:val="28"/>
          <w:szCs w:val="28"/>
          <w:u w:val="single"/>
        </w:rPr>
        <w:t>Extended Data F</w:t>
      </w:r>
      <w:r w:rsidRPr="00F03736">
        <w:rPr>
          <w:sz w:val="28"/>
          <w:szCs w:val="28"/>
          <w:u w:val="single"/>
        </w:rPr>
        <w:t>igures</w:t>
      </w:r>
      <w:bookmarkEnd w:id="0"/>
    </w:p>
    <w:p w14:paraId="3C675580" w14:textId="77777777" w:rsidR="00B724C5" w:rsidRPr="00F93341" w:rsidRDefault="00B724C5" w:rsidP="00B724C5">
      <w:pPr>
        <w:pStyle w:val="Heading3"/>
      </w:pPr>
      <w:bookmarkStart w:id="1" w:name="_Toc123661996"/>
      <w:r w:rsidRPr="00BB67A5">
        <w:rPr>
          <w:rFonts w:cs="Arial"/>
          <w:noProof/>
          <w:sz w:val="16"/>
        </w:rPr>
        <w:drawing>
          <wp:anchor distT="0" distB="0" distL="114300" distR="114300" simplePos="0" relativeHeight="251659264" behindDoc="1" locked="0" layoutInCell="1" allowOverlap="1" wp14:anchorId="2472F6D3" wp14:editId="6973C628">
            <wp:simplePos x="0" y="0"/>
            <wp:positionH relativeFrom="column">
              <wp:posOffset>0</wp:posOffset>
            </wp:positionH>
            <wp:positionV relativeFrom="paragraph">
              <wp:posOffset>475615</wp:posOffset>
            </wp:positionV>
            <wp:extent cx="4572000" cy="5603875"/>
            <wp:effectExtent l="0" t="0" r="0" b="0"/>
            <wp:wrapTopAndBottom/>
            <wp:docPr id="192" name="Picture 19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Picture 192" descr="A picture containing diagram&#10;&#10;Description automatically generated"/>
                    <pic:cNvPicPr/>
                  </pic:nvPicPr>
                  <pic:blipFill rotWithShape="1">
                    <a:blip r:embed="rId4" cstate="print">
                      <a:extLst>
                        <a:ext uri="{28A0092B-C50C-407E-A947-70E740481C1C}">
                          <a14:useLocalDpi xmlns:a14="http://schemas.microsoft.com/office/drawing/2010/main" val="0"/>
                        </a:ext>
                      </a:extLst>
                    </a:blip>
                    <a:srcRect b="12442"/>
                    <a:stretch/>
                  </pic:blipFill>
                  <pic:spPr bwMode="auto">
                    <a:xfrm>
                      <a:off x="0" y="0"/>
                      <a:ext cx="4572000" cy="560387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t>Extended F</w:t>
      </w:r>
      <w:r w:rsidRPr="00F93341">
        <w:t>igure1. Unsupervised consensus clustering algorithm applied to a combined IC/BPS baseline dataset of N=649 patients across 21 scaled symptoms</w:t>
      </w:r>
      <w:bookmarkEnd w:id="1"/>
    </w:p>
    <w:p w14:paraId="6347ED3C" w14:textId="77777777" w:rsidR="00B724C5" w:rsidRPr="00BB67A5" w:rsidRDefault="00B724C5" w:rsidP="00B724C5">
      <w:pPr>
        <w:spacing w:line="276" w:lineRule="auto"/>
        <w:rPr>
          <w:rFonts w:ascii="Arial" w:hAnsi="Arial" w:cs="Arial"/>
          <w:sz w:val="16"/>
        </w:rPr>
      </w:pPr>
      <w:r w:rsidRPr="00BB67A5">
        <w:rPr>
          <w:rFonts w:ascii="Arial" w:hAnsi="Arial" w:cs="Arial"/>
          <w:sz w:val="16"/>
        </w:rPr>
        <w:t>Unsupervised consensus clustering (CC) algorithm (</w:t>
      </w:r>
      <w:proofErr w:type="spellStart"/>
      <w:r w:rsidRPr="00BB67A5">
        <w:rPr>
          <w:rFonts w:ascii="Arial" w:hAnsi="Arial" w:cs="Arial"/>
          <w:sz w:val="16"/>
        </w:rPr>
        <w:t>ConsensusClusterPlus</w:t>
      </w:r>
      <w:proofErr w:type="spellEnd"/>
      <w:r w:rsidRPr="00BB67A5">
        <w:rPr>
          <w:rFonts w:ascii="Arial" w:hAnsi="Arial" w:cs="Arial"/>
          <w:sz w:val="16"/>
        </w:rPr>
        <w:t>) in R (version 3.4.1)</w:t>
      </w:r>
      <w:r w:rsidRPr="00BB67A5">
        <w:rPr>
          <w:rFonts w:ascii="Arial" w:hAnsi="Arial" w:cs="Arial"/>
          <w:sz w:val="16"/>
        </w:rPr>
        <w:fldChar w:fldCharType="begin"/>
      </w:r>
      <w:r w:rsidRPr="00BB67A5">
        <w:rPr>
          <w:rFonts w:ascii="Arial" w:hAnsi="Arial" w:cs="Arial"/>
          <w:sz w:val="16"/>
        </w:rPr>
        <w:instrText xml:space="preserve"> ADDIN EN.CITE &lt;EndNote&gt;&lt;Cite&gt;&lt;Author&gt;Wilkerson&lt;/Author&gt;&lt;Year&gt;2010&lt;/Year&gt;&lt;RecNum&gt;17&lt;/RecNum&gt;&lt;DisplayText&gt;&lt;style face="superscript"&gt;1&lt;/style&gt;&lt;/DisplayText&gt;&lt;record&gt;&lt;rec-number&gt;17&lt;/rec-number&gt;&lt;foreign-keys&gt;&lt;key app="EN" db-id="r0szfvss40rfr2e5sa1v5xv12zx0a0sspzet" timestamp="1618000551"&gt;17&lt;/key&gt;&lt;/foreign-keys&gt;&lt;ref-type name="Journal Article"&gt;17&lt;/ref-type&gt;&lt;contributors&gt;&lt;authors&gt;&lt;author&gt;Wilkerson, M. D.&lt;/author&gt;&lt;author&gt;Hayes, D. N.&lt;/author&gt;&lt;/authors&gt;&lt;/contributors&gt;&lt;auth-address&gt;Lineberger Comprehensive Cancer Center, University of North Carolina at Chapel Hill, Chapel Hill, NC 27599, USA. mwilkers@med.unc.edu&lt;/auth-address&gt;&lt;titles&gt;&lt;title&gt;ConsensusClusterPlus: a class discovery tool with confidence assessments and item tracking&lt;/title&gt;&lt;secondary-title&gt;Bioinformatics&lt;/secondary-title&gt;&lt;/titles&gt;&lt;periodical&gt;&lt;full-title&gt;Bioinformatics&lt;/full-title&gt;&lt;/periodical&gt;&lt;pages&gt;1572-3&lt;/pages&gt;&lt;volume&gt;26&lt;/volume&gt;&lt;number&gt;12&lt;/number&gt;&lt;edition&gt;2010/04/30&lt;/edition&gt;&lt;keywords&gt;&lt;keyword&gt;Algorithms&lt;/keyword&gt;&lt;keyword&gt;Cluster Analysis&lt;/keyword&gt;&lt;keyword&gt;Data Mining/*methods&lt;/keyword&gt;&lt;keyword&gt;Gene Expression Profiling/methods&lt;/keyword&gt;&lt;keyword&gt;Principal Component Analysis&lt;/keyword&gt;&lt;keyword&gt;*Software&lt;/keyword&gt;&lt;/keywords&gt;&lt;dates&gt;&lt;year&gt;2010&lt;/year&gt;&lt;pub-dates&gt;&lt;date&gt;Jun 15&lt;/date&gt;&lt;/pub-dates&gt;&lt;/dates&gt;&lt;isbn&gt;1367-4811 (Electronic)&amp;#xD;1367-4803 (Linking)&lt;/isbn&gt;&lt;accession-num&gt;20427518&lt;/accession-num&gt;&lt;urls&gt;&lt;related-urls&gt;&lt;url&gt;https://www.ncbi.nlm.nih.gov/pubmed/20427518&lt;/url&gt;&lt;/related-urls&gt;&lt;/urls&gt;&lt;custom2&gt;PMC2881355&lt;/custom2&gt;&lt;electronic-resource-num&gt;10.1093/bioinformatics/btq170&lt;/electronic-resource-num&gt;&lt;/record&gt;&lt;/Cite&gt;&lt;/EndNote&gt;</w:instrText>
      </w:r>
      <w:r w:rsidRPr="00BB67A5">
        <w:rPr>
          <w:rFonts w:ascii="Arial" w:hAnsi="Arial" w:cs="Arial"/>
          <w:sz w:val="16"/>
        </w:rPr>
        <w:fldChar w:fldCharType="separate"/>
      </w:r>
      <w:r w:rsidRPr="00BB67A5">
        <w:rPr>
          <w:rFonts w:ascii="Arial" w:hAnsi="Arial" w:cs="Arial"/>
          <w:noProof/>
          <w:sz w:val="16"/>
          <w:vertAlign w:val="superscript"/>
        </w:rPr>
        <w:t>1</w:t>
      </w:r>
      <w:r w:rsidRPr="00BB67A5">
        <w:rPr>
          <w:rFonts w:ascii="Arial" w:hAnsi="Arial" w:cs="Arial"/>
          <w:sz w:val="16"/>
        </w:rPr>
        <w:fldChar w:fldCharType="end"/>
      </w:r>
      <w:r w:rsidRPr="00BB67A5">
        <w:rPr>
          <w:rFonts w:ascii="Arial" w:hAnsi="Arial" w:cs="Arial"/>
          <w:sz w:val="16"/>
        </w:rPr>
        <w:t xml:space="preserve"> was applied to 16 pain, urgency and frequency symptoms together with five non-pelvic Wisconsin Symptom Survey (WSS) questions from K=2 to 10 clusters. Mean consensus scores</w:t>
      </w:r>
      <w:r w:rsidRPr="00BB67A5">
        <w:rPr>
          <w:rFonts w:ascii="Arial" w:hAnsi="Arial" w:cs="Arial"/>
          <w:sz w:val="16"/>
        </w:rPr>
        <w:fldChar w:fldCharType="begin"/>
      </w:r>
      <w:r w:rsidRPr="00BB67A5">
        <w:rPr>
          <w:rFonts w:ascii="Arial" w:hAnsi="Arial" w:cs="Arial"/>
          <w:sz w:val="16"/>
        </w:rPr>
        <w:instrText xml:space="preserve"> ADDIN EN.CITE &lt;EndNote&gt;&lt;Cite&gt;&lt;Author&gt;Monti&lt;/Author&gt;&lt;Year&gt;2003&lt;/Year&gt;&lt;RecNum&gt;54&lt;/RecNum&gt;&lt;DisplayText&gt;&lt;style face="superscript"&gt;2&lt;/style&gt;&lt;/DisplayText&gt;&lt;record&gt;&lt;rec-number&gt;54&lt;/rec-number&gt;&lt;foreign-keys&gt;&lt;key app="EN" db-id="r0szfvss40rfr2e5sa1v5xv12zx0a0sspzet" timestamp="1634666573"&gt;54&lt;/key&gt;&lt;/foreign-keys&gt;&lt;ref-type name="Journal Article"&gt;17&lt;/ref-type&gt;&lt;contributors&gt;&lt;authors&gt;&lt;author&gt;Monti, Stefano&lt;/author&gt;&lt;author&gt;Tamayo, Pablo&lt;/author&gt;&lt;author&gt;Mesirov, Jill&lt;/author&gt;&lt;author&gt;Golub, Todd&lt;/author&gt;&lt;/authors&gt;&lt;/contributors&gt;&lt;titles&gt;&lt;title&gt;Consensus Clustering: A Resampling-Based Method for Class Discovery and Visualization of Gene Expression Microarray Data&lt;/title&gt;&lt;secondary-title&gt;Machine Learning&lt;/secondary-title&gt;&lt;/titles&gt;&lt;periodical&gt;&lt;full-title&gt;Machine Learning&lt;/full-title&gt;&lt;/periodical&gt;&lt;pages&gt;91-118&lt;/pages&gt;&lt;volume&gt;52&lt;/volume&gt;&lt;number&gt;1&lt;/number&gt;&lt;dates&gt;&lt;year&gt;2003&lt;/year&gt;&lt;pub-dates&gt;&lt;date&gt;2003/07/01&lt;/date&gt;&lt;/pub-dates&gt;&lt;/dates&gt;&lt;isbn&gt;1573-0565&lt;/isbn&gt;&lt;urls&gt;&lt;related-urls&gt;&lt;url&gt;https://doi.org/10.1023/A:1023949509487&lt;/url&gt;&lt;/related-urls&gt;&lt;/urls&gt;&lt;electronic-resource-num&gt;10.1023/A:1023949509487&lt;/electronic-resource-num&gt;&lt;/record&gt;&lt;/Cite&gt;&lt;/EndNote&gt;</w:instrText>
      </w:r>
      <w:r w:rsidRPr="00BB67A5">
        <w:rPr>
          <w:rFonts w:ascii="Arial" w:hAnsi="Arial" w:cs="Arial"/>
          <w:sz w:val="16"/>
        </w:rPr>
        <w:fldChar w:fldCharType="separate"/>
      </w:r>
      <w:r w:rsidRPr="00BB67A5">
        <w:rPr>
          <w:rFonts w:ascii="Arial" w:hAnsi="Arial" w:cs="Arial"/>
          <w:noProof/>
          <w:sz w:val="16"/>
          <w:vertAlign w:val="superscript"/>
        </w:rPr>
        <w:t>2</w:t>
      </w:r>
      <w:r w:rsidRPr="00BB67A5">
        <w:rPr>
          <w:rFonts w:ascii="Arial" w:hAnsi="Arial" w:cs="Arial"/>
          <w:sz w:val="16"/>
        </w:rPr>
        <w:fldChar w:fldCharType="end"/>
      </w:r>
      <w:r w:rsidRPr="00BB67A5">
        <w:rPr>
          <w:rFonts w:ascii="Arial" w:hAnsi="Arial" w:cs="Arial"/>
          <w:sz w:val="16"/>
        </w:rPr>
        <w:t xml:space="preserve"> and proportion of ambiguously clustered pairs (PAC)</w:t>
      </w:r>
      <w:r w:rsidRPr="00BB67A5">
        <w:rPr>
          <w:rFonts w:ascii="Arial" w:hAnsi="Arial" w:cs="Arial"/>
          <w:sz w:val="16"/>
        </w:rPr>
        <w:fldChar w:fldCharType="begin"/>
      </w:r>
      <w:r w:rsidRPr="00BB67A5">
        <w:rPr>
          <w:rFonts w:ascii="Arial" w:hAnsi="Arial" w:cs="Arial"/>
          <w:sz w:val="16"/>
        </w:rPr>
        <w:instrText xml:space="preserve"> ADDIN EN.CITE &lt;EndNote&gt;&lt;Cite&gt;&lt;Author&gt;Senbabaoglu&lt;/Author&gt;&lt;Year&gt;2014&lt;/Year&gt;&lt;RecNum&gt;18&lt;/RecNum&gt;&lt;DisplayText&gt;&lt;style face="superscript"&gt;5&lt;/style&gt;&lt;/DisplayText&gt;&lt;record&gt;&lt;rec-number&gt;18&lt;/rec-number&gt;&lt;foreign-keys&gt;&lt;key app="EN" db-id="r0szfvss40rfr2e5sa1v5xv12zx0a0sspzet" timestamp="1618000551"&gt;18&lt;/key&gt;&lt;/foreign-keys&gt;&lt;ref-type name="Journal Article"&gt;17&lt;/ref-type&gt;&lt;contributors&gt;&lt;authors&gt;&lt;author&gt;Senbabaoglu, Y.&lt;/author&gt;&lt;author&gt;Michailidis, G.&lt;/author&gt;&lt;author&gt;Li, J. Z.&lt;/author&gt;&lt;/authors&gt;&lt;/contributors&gt;&lt;auth-address&gt;1] Department of Computational Medicine &amp;amp;Bioinformatics, University of Michigan, Ann Arbor, MI, USA [2].&amp;#xD;Department of Statistics and EECS, University of Michigan, Ann Arbor, MI, USA.&amp;#xD;Department of Human Genetics, University of Michigan, Ann Arbor, MI, USA.&lt;/auth-address&gt;&lt;titles&gt;&lt;title&gt;Critical limitations of consensus clustering in class discovery&lt;/title&gt;&lt;secondary-title&gt;Scientific reports&lt;/secondary-title&gt;&lt;alt-title&gt;Sci Rep-Uk&lt;/alt-title&gt;&lt;/titles&gt;&lt;periodical&gt;&lt;full-title&gt;Scientific reports&lt;/full-title&gt;&lt;abbr-1&gt;Sci Rep-Uk&lt;/abbr-1&gt;&lt;/periodical&gt;&lt;alt-periodical&gt;&lt;full-title&gt;Scientific reports&lt;/full-title&gt;&lt;abbr-1&gt;Sci Rep-Uk&lt;/abbr-1&gt;&lt;/alt-periodical&gt;&lt;pages&gt;6207&lt;/pages&gt;&lt;volume&gt;4&lt;/volume&gt;&lt;edition&gt;2014/08/28&lt;/edition&gt;&lt;keywords&gt;&lt;keyword&gt;Algorithms&lt;/keyword&gt;&lt;keyword&gt;Cluster Analysis&lt;/keyword&gt;&lt;keyword&gt;Computer Simulation&lt;/keyword&gt;&lt;keyword&gt;Epistasis, Genetic&lt;/keyword&gt;&lt;keyword&gt;Genes&lt;/keyword&gt;&lt;keyword&gt;*Models, Genetic&lt;/keyword&gt;&lt;/keywords&gt;&lt;dates&gt;&lt;year&gt;2014&lt;/year&gt;&lt;pub-dates&gt;&lt;date&gt;Aug 27&lt;/date&gt;&lt;/pub-dates&gt;&lt;/dates&gt;&lt;isbn&gt;2045-2322 (Electronic)&amp;#xD;2045-2322 (Linking)&lt;/isbn&gt;&lt;accession-num&gt;25158761&lt;/accession-num&gt;&lt;urls&gt;&lt;related-urls&gt;&lt;url&gt;https://www.ncbi.nlm.nih.gov/pubmed/25158761&lt;/url&gt;&lt;/related-urls&gt;&lt;/urls&gt;&lt;custom2&gt;PMC4145288&lt;/custom2&gt;&lt;electronic-resource-num&gt;10.1038/srep06207&lt;/electronic-resource-num&gt;&lt;language&gt;English&lt;/language&gt;&lt;/record&gt;&lt;/Cite&gt;&lt;/EndNote&gt;</w:instrText>
      </w:r>
      <w:r w:rsidRPr="00BB67A5">
        <w:rPr>
          <w:rFonts w:ascii="Arial" w:hAnsi="Arial" w:cs="Arial"/>
          <w:sz w:val="16"/>
        </w:rPr>
        <w:fldChar w:fldCharType="separate"/>
      </w:r>
      <w:r w:rsidRPr="00BB67A5">
        <w:rPr>
          <w:rFonts w:ascii="Arial" w:hAnsi="Arial" w:cs="Arial"/>
          <w:noProof/>
          <w:sz w:val="16"/>
          <w:vertAlign w:val="superscript"/>
        </w:rPr>
        <w:t>5</w:t>
      </w:r>
      <w:r w:rsidRPr="00BB67A5">
        <w:rPr>
          <w:rFonts w:ascii="Arial" w:hAnsi="Arial" w:cs="Arial"/>
          <w:sz w:val="16"/>
        </w:rPr>
        <w:fldChar w:fldCharType="end"/>
      </w:r>
      <w:r w:rsidRPr="00BB67A5">
        <w:rPr>
          <w:rFonts w:ascii="Arial" w:hAnsi="Arial" w:cs="Arial"/>
          <w:sz w:val="16"/>
        </w:rPr>
        <w:t xml:space="preserve"> were used to determine optimal number of clusters. The optimal number of clusters K was chosen to be the number of clusters with the highest mean consensus score within clusters and lowest PAC scores. Both mean consensus and PAC tables are included in the above figure. The two-cluster solution, K=2, was chosen to be the optimal number of clusters. Given the optimal number of clusters, K=2, the mean values of the 21 scaled symptoms were calculated within cluster and are summarized in the heatmap. Cooler colors indicate mean scores close to 0 while warmer scores indicate mean scores closer to 1. Symptoms with the NP tag indicate the non-pelvic WSS score questions. A legend key for the 21 items summarized in the heatmap can be found in</w:t>
      </w:r>
      <w:r>
        <w:rPr>
          <w:rFonts w:ascii="Arial" w:hAnsi="Arial" w:cs="Arial"/>
          <w:sz w:val="16"/>
        </w:rPr>
        <w:t xml:space="preserve"> Extended F</w:t>
      </w:r>
      <w:r w:rsidRPr="00BB67A5">
        <w:rPr>
          <w:rFonts w:ascii="Arial" w:hAnsi="Arial" w:cs="Arial"/>
          <w:sz w:val="16"/>
        </w:rPr>
        <w:t>igure 2.</w:t>
      </w:r>
    </w:p>
    <w:p w14:paraId="5964F98D" w14:textId="77777777" w:rsidR="00B724C5" w:rsidRDefault="00B724C5" w:rsidP="00B724C5">
      <w:pPr>
        <w:rPr>
          <w:rFonts w:eastAsiaTheme="majorEastAsia" w:cstheme="minorHAnsi"/>
        </w:rPr>
      </w:pPr>
      <w:bookmarkStart w:id="2" w:name="_Toc110274193"/>
      <w:r>
        <w:rPr>
          <w:rFonts w:cstheme="minorHAnsi"/>
          <w:b/>
        </w:rPr>
        <w:br w:type="page"/>
      </w:r>
    </w:p>
    <w:p w14:paraId="11C67F80" w14:textId="77777777" w:rsidR="00B724C5" w:rsidRDefault="00B724C5" w:rsidP="00B724C5">
      <w:pPr>
        <w:pStyle w:val="Heading3"/>
      </w:pPr>
      <w:bookmarkStart w:id="3" w:name="_Toc123661997"/>
      <w:r>
        <w:lastRenderedPageBreak/>
        <w:t>Extended F</w:t>
      </w:r>
      <w:r w:rsidRPr="00F93341">
        <w:t>igure 2. Legend Key for the 21 items used in Consensus Clustering</w:t>
      </w:r>
      <w:bookmarkEnd w:id="2"/>
      <w:bookmarkEnd w:id="3"/>
      <w:r w:rsidRPr="00F93341">
        <w:t xml:space="preserve"> </w:t>
      </w:r>
    </w:p>
    <w:p w14:paraId="07160CD9" w14:textId="77777777" w:rsidR="00B724C5" w:rsidRPr="008D2098" w:rsidRDefault="00B724C5" w:rsidP="00B724C5"/>
    <w:p w14:paraId="73F78EE9" w14:textId="77777777" w:rsidR="00B724C5" w:rsidRPr="0005591C" w:rsidRDefault="00B724C5" w:rsidP="00B724C5">
      <w:r>
        <w:rPr>
          <w:noProof/>
        </w:rPr>
        <w:drawing>
          <wp:inline distT="0" distB="0" distL="0" distR="0" wp14:anchorId="1985CDA4" wp14:editId="3D2ECFA4">
            <wp:extent cx="5910416" cy="3186485"/>
            <wp:effectExtent l="0" t="0" r="0" b="0"/>
            <wp:docPr id="193" name="Picture 19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icture 193" descr="Table&#10;&#10;Description automatically generated"/>
                    <pic:cNvPicPr/>
                  </pic:nvPicPr>
                  <pic:blipFill rotWithShape="1">
                    <a:blip r:embed="rId5" cstate="print">
                      <a:extLst>
                        <a:ext uri="{28A0092B-C50C-407E-A947-70E740481C1C}">
                          <a14:useLocalDpi xmlns:a14="http://schemas.microsoft.com/office/drawing/2010/main" val="0"/>
                        </a:ext>
                      </a:extLst>
                    </a:blip>
                    <a:srcRect b="61491"/>
                    <a:stretch/>
                  </pic:blipFill>
                  <pic:spPr bwMode="auto">
                    <a:xfrm>
                      <a:off x="0" y="0"/>
                      <a:ext cx="5925114" cy="3194409"/>
                    </a:xfrm>
                    <a:prstGeom prst="rect">
                      <a:avLst/>
                    </a:prstGeom>
                    <a:ln>
                      <a:noFill/>
                    </a:ln>
                    <a:extLst>
                      <a:ext uri="{53640926-AAD7-44D8-BBD7-CCE9431645EC}">
                        <a14:shadowObscured xmlns:a14="http://schemas.microsoft.com/office/drawing/2010/main"/>
                      </a:ext>
                    </a:extLst>
                  </pic:spPr>
                </pic:pic>
              </a:graphicData>
            </a:graphic>
          </wp:inline>
        </w:drawing>
      </w:r>
    </w:p>
    <w:p w14:paraId="7B3275AE" w14:textId="77777777" w:rsidR="00B724C5" w:rsidRDefault="00B724C5" w:rsidP="00B724C5"/>
    <w:p w14:paraId="59D989EC" w14:textId="77777777" w:rsidR="00B724C5" w:rsidRDefault="00B724C5" w:rsidP="00B724C5">
      <w:r>
        <w:br w:type="page"/>
      </w:r>
    </w:p>
    <w:p w14:paraId="098D0A5D" w14:textId="77777777" w:rsidR="00B724C5" w:rsidRPr="0005591C" w:rsidRDefault="00B724C5" w:rsidP="00B724C5">
      <w:pPr>
        <w:pStyle w:val="Heading3"/>
      </w:pPr>
      <w:bookmarkStart w:id="4" w:name="_Toc110274194"/>
      <w:bookmarkStart w:id="5" w:name="_Toc123661998"/>
      <w:r>
        <w:lastRenderedPageBreak/>
        <w:t>Extended Figure 3</w:t>
      </w:r>
      <w:r w:rsidRPr="0005591C">
        <w:t xml:space="preserve">. </w:t>
      </w:r>
      <w:r w:rsidRPr="00F93341">
        <w:t>P</w:t>
      </w:r>
      <w:r w:rsidRPr="0005591C">
        <w:t xml:space="preserve">rediction of membership to high </w:t>
      </w:r>
      <w:proofErr w:type="spellStart"/>
      <w:r w:rsidRPr="0005591C">
        <w:t>widespreadness</w:t>
      </w:r>
      <w:proofErr w:type="spellEnd"/>
      <w:r w:rsidRPr="0005591C">
        <w:t xml:space="preserve"> consensus cluster (Cluster 2) </w:t>
      </w:r>
      <w:bookmarkEnd w:id="4"/>
      <w:r w:rsidRPr="00F93341">
        <w:t>given sum of non-pelvic WSS items with severity ≥2</w:t>
      </w:r>
      <w:bookmarkEnd w:id="5"/>
    </w:p>
    <w:p w14:paraId="02D34D48" w14:textId="77777777" w:rsidR="00B724C5" w:rsidRPr="0005591C" w:rsidRDefault="00B724C5" w:rsidP="00B724C5">
      <w:pPr>
        <w:spacing w:line="276" w:lineRule="auto"/>
      </w:pPr>
      <w:r w:rsidRPr="0005591C">
        <w:rPr>
          <w:noProof/>
        </w:rPr>
        <w:drawing>
          <wp:anchor distT="0" distB="0" distL="114300" distR="114300" simplePos="0" relativeHeight="251660288" behindDoc="1" locked="0" layoutInCell="1" allowOverlap="1" wp14:anchorId="47E08FDC" wp14:editId="0CFBB721">
            <wp:simplePos x="0" y="0"/>
            <wp:positionH relativeFrom="column">
              <wp:posOffset>731520</wp:posOffset>
            </wp:positionH>
            <wp:positionV relativeFrom="paragraph">
              <wp:posOffset>288290</wp:posOffset>
            </wp:positionV>
            <wp:extent cx="4572000" cy="2286000"/>
            <wp:effectExtent l="0" t="0" r="0" b="0"/>
            <wp:wrapTopAndBottom/>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anchor>
        </w:drawing>
      </w:r>
    </w:p>
    <w:p w14:paraId="7F487F2C" w14:textId="77777777" w:rsidR="00B724C5" w:rsidRPr="0005591C" w:rsidRDefault="00B724C5" w:rsidP="00B724C5">
      <w:pPr>
        <w:spacing w:line="276" w:lineRule="auto"/>
      </w:pPr>
    </w:p>
    <w:p w14:paraId="1B43A7C9" w14:textId="77777777" w:rsidR="00B724C5" w:rsidRPr="00BB67A5" w:rsidRDefault="00B724C5" w:rsidP="00B724C5">
      <w:pPr>
        <w:spacing w:line="276" w:lineRule="auto"/>
        <w:rPr>
          <w:rFonts w:ascii="Arial" w:hAnsi="Arial" w:cs="Arial"/>
          <w:sz w:val="16"/>
          <w:szCs w:val="16"/>
        </w:rPr>
      </w:pPr>
      <w:r w:rsidRPr="00BB67A5">
        <w:rPr>
          <w:rFonts w:ascii="Arial" w:hAnsi="Arial" w:cs="Arial"/>
          <w:sz w:val="16"/>
          <w:szCs w:val="16"/>
        </w:rPr>
        <w:t xml:space="preserve">A logistic regression model was fit to predict membership into consensus cluster 2 given the sum of non-pelvic WSS items (0-5) with a severity greater than or equal to 2 as predictor. The sensitivity and specificity of the potential cutoffs are displayed in both the ROC table and plot. The cutoff with the highest sum was chosen to be the criteria for membership into the high </w:t>
      </w:r>
      <w:proofErr w:type="spellStart"/>
      <w:r w:rsidRPr="00BB67A5">
        <w:rPr>
          <w:rFonts w:ascii="Arial" w:hAnsi="Arial" w:cs="Arial"/>
          <w:sz w:val="16"/>
          <w:szCs w:val="16"/>
        </w:rPr>
        <w:t>widespreadness</w:t>
      </w:r>
      <w:proofErr w:type="spellEnd"/>
      <w:r w:rsidRPr="00BB67A5">
        <w:rPr>
          <w:rFonts w:ascii="Arial" w:hAnsi="Arial" w:cs="Arial"/>
          <w:sz w:val="16"/>
          <w:szCs w:val="16"/>
        </w:rPr>
        <w:t xml:space="preserve"> of pain subgroup. From these results, patients with three or more non-pelvic WSS items with a severity greater than </w:t>
      </w:r>
      <w:r>
        <w:rPr>
          <w:rFonts w:ascii="Arial" w:hAnsi="Arial" w:cs="Arial"/>
          <w:sz w:val="16"/>
          <w:szCs w:val="16"/>
        </w:rPr>
        <w:t xml:space="preserve">or equal </w:t>
      </w:r>
      <w:proofErr w:type="gramStart"/>
      <w:r>
        <w:rPr>
          <w:rFonts w:ascii="Arial" w:hAnsi="Arial" w:cs="Arial"/>
          <w:sz w:val="16"/>
          <w:szCs w:val="16"/>
        </w:rPr>
        <w:t xml:space="preserve">to </w:t>
      </w:r>
      <w:r w:rsidRPr="00BB67A5">
        <w:rPr>
          <w:rFonts w:ascii="Arial" w:hAnsi="Arial" w:cs="Arial"/>
          <w:sz w:val="16"/>
          <w:szCs w:val="16"/>
        </w:rPr>
        <w:t xml:space="preserve"> 2</w:t>
      </w:r>
      <w:proofErr w:type="gramEnd"/>
      <w:r w:rsidRPr="00BB67A5">
        <w:rPr>
          <w:rFonts w:ascii="Arial" w:hAnsi="Arial" w:cs="Arial"/>
          <w:sz w:val="16"/>
          <w:szCs w:val="16"/>
        </w:rPr>
        <w:t xml:space="preserve"> were classified as belonging to cluster 2. The area under the curve indicating the strength of the predictor in modeling of the outcome is included in the ROC curve plot.</w:t>
      </w:r>
    </w:p>
    <w:p w14:paraId="0D888AB0" w14:textId="77777777" w:rsidR="00B724C5" w:rsidRPr="0005591C" w:rsidRDefault="00B724C5" w:rsidP="00B724C5">
      <w:pPr>
        <w:spacing w:line="276" w:lineRule="auto"/>
      </w:pPr>
      <w:r w:rsidRPr="0005591C">
        <w:br w:type="page"/>
      </w:r>
    </w:p>
    <w:p w14:paraId="4A3D2C0C" w14:textId="77777777" w:rsidR="00B724C5" w:rsidRPr="0005591C" w:rsidRDefault="00B724C5" w:rsidP="00B724C5">
      <w:pPr>
        <w:pStyle w:val="Heading3"/>
      </w:pPr>
      <w:bookmarkStart w:id="6" w:name="_Toc123661999"/>
      <w:r>
        <w:lastRenderedPageBreak/>
        <w:t>Extended Figure 4</w:t>
      </w:r>
      <w:r w:rsidRPr="0005591C">
        <w:t xml:space="preserve">. </w:t>
      </w:r>
      <w:r>
        <w:t>P</w:t>
      </w:r>
      <w:r w:rsidRPr="0005591C">
        <w:t xml:space="preserve">rediction of membership to high </w:t>
      </w:r>
      <w:proofErr w:type="spellStart"/>
      <w:r w:rsidRPr="0005591C">
        <w:t>widespreadness</w:t>
      </w:r>
      <w:proofErr w:type="spellEnd"/>
      <w:r w:rsidRPr="0005591C">
        <w:t xml:space="preserve"> consensus cluster (Cluster 2) </w:t>
      </w:r>
      <w:r>
        <w:t>given the maximum severity level of non-pelvic WSS items for three or more items</w:t>
      </w:r>
      <w:bookmarkEnd w:id="6"/>
    </w:p>
    <w:p w14:paraId="27CFA559" w14:textId="77777777" w:rsidR="00B724C5" w:rsidRPr="0005591C" w:rsidRDefault="00B724C5" w:rsidP="00B724C5"/>
    <w:p w14:paraId="64070AC4" w14:textId="77777777" w:rsidR="00B724C5" w:rsidRPr="0005591C" w:rsidRDefault="00B724C5" w:rsidP="00B724C5">
      <w:pPr>
        <w:jc w:val="center"/>
      </w:pPr>
      <w:r w:rsidRPr="0005591C">
        <w:rPr>
          <w:noProof/>
        </w:rPr>
        <w:drawing>
          <wp:inline distT="0" distB="0" distL="0" distR="0" wp14:anchorId="2FAD160D" wp14:editId="1E33B8E2">
            <wp:extent cx="4572000" cy="2286000"/>
            <wp:effectExtent l="0" t="0" r="0" b="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7D34ED52" w14:textId="77777777" w:rsidR="00B724C5" w:rsidRPr="0005591C" w:rsidRDefault="00B724C5" w:rsidP="00B724C5"/>
    <w:p w14:paraId="7281671C" w14:textId="77777777" w:rsidR="00B724C5" w:rsidRPr="00BB67A5" w:rsidRDefault="00B724C5" w:rsidP="00B724C5">
      <w:pPr>
        <w:rPr>
          <w:rFonts w:ascii="Arial" w:hAnsi="Arial" w:cs="Arial"/>
          <w:sz w:val="16"/>
          <w:szCs w:val="16"/>
        </w:rPr>
      </w:pPr>
      <w:r w:rsidRPr="00BB67A5">
        <w:rPr>
          <w:rFonts w:ascii="Arial" w:hAnsi="Arial" w:cs="Arial"/>
          <w:sz w:val="16"/>
          <w:szCs w:val="16"/>
        </w:rPr>
        <w:t xml:space="preserve">A logistic regression model was fit to predict membership into consensus cluster 2 given the maximum severity (0-6) where three or more of the non-pelvic WSS items are greater than or equal to the severity level as predictor. The sensitivity and specificity of the potential cutoffs are displayed in both the ROC table and plot. The cutoff with the highest sum was chosen to be the criteria for membership into the high </w:t>
      </w:r>
      <w:proofErr w:type="spellStart"/>
      <w:r w:rsidRPr="00BB67A5">
        <w:rPr>
          <w:rFonts w:ascii="Arial" w:hAnsi="Arial" w:cs="Arial"/>
          <w:sz w:val="16"/>
          <w:szCs w:val="16"/>
        </w:rPr>
        <w:t>widespreadness</w:t>
      </w:r>
      <w:proofErr w:type="spellEnd"/>
      <w:r w:rsidRPr="00BB67A5">
        <w:rPr>
          <w:rFonts w:ascii="Arial" w:hAnsi="Arial" w:cs="Arial"/>
          <w:sz w:val="16"/>
          <w:szCs w:val="16"/>
        </w:rPr>
        <w:t xml:space="preserve"> of pain subgroup. From these results, patients with a severity threshold of 2 or higher for three or more items were classified as belonging to cluster 2. The area under the curve indicating the strength of the predictor in modeling of the outcome is included in the ROC curve plot.</w:t>
      </w:r>
    </w:p>
    <w:p w14:paraId="695D94FB" w14:textId="77777777" w:rsidR="00B724C5" w:rsidRDefault="00B724C5" w:rsidP="00B724C5">
      <w:r>
        <w:br w:type="page"/>
      </w:r>
    </w:p>
    <w:p w14:paraId="46294C1B" w14:textId="77777777" w:rsidR="00B724C5" w:rsidRPr="0005591C" w:rsidRDefault="00B724C5" w:rsidP="00B724C5">
      <w:pPr>
        <w:pStyle w:val="Heading3"/>
      </w:pPr>
      <w:bookmarkStart w:id="7" w:name="_Toc110274187"/>
      <w:bookmarkStart w:id="8" w:name="_Toc123662000"/>
      <w:r>
        <w:lastRenderedPageBreak/>
        <w:t>Extended Figure 5</w:t>
      </w:r>
      <w:r w:rsidRPr="0005591C">
        <w:t>. Primary analysis modeling change in pelvic pain (on NRS scale) at end of study from average baseline</w:t>
      </w:r>
      <w:bookmarkEnd w:id="7"/>
      <w:bookmarkEnd w:id="8"/>
    </w:p>
    <w:p w14:paraId="3959895E" w14:textId="77777777" w:rsidR="00B724C5" w:rsidRPr="0005591C" w:rsidRDefault="00B724C5" w:rsidP="00B724C5">
      <w:pPr>
        <w:jc w:val="center"/>
      </w:pPr>
      <w:r>
        <w:rPr>
          <w:noProof/>
        </w:rPr>
        <w:drawing>
          <wp:inline distT="0" distB="0" distL="0" distR="0" wp14:anchorId="41486681" wp14:editId="119149BE">
            <wp:extent cx="4572000" cy="6400800"/>
            <wp:effectExtent l="0" t="0" r="0" b="0"/>
            <wp:docPr id="6" name="Picture 6" descr="Graphical user interface, chart, line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chart, line chart&#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72000" cy="6400800"/>
                    </a:xfrm>
                    <a:prstGeom prst="rect">
                      <a:avLst/>
                    </a:prstGeom>
                  </pic:spPr>
                </pic:pic>
              </a:graphicData>
            </a:graphic>
          </wp:inline>
        </w:drawing>
      </w:r>
    </w:p>
    <w:p w14:paraId="3AF7A1A8" w14:textId="77777777" w:rsidR="00B724C5" w:rsidRPr="00BB67A5" w:rsidRDefault="00B724C5" w:rsidP="00B724C5">
      <w:pPr>
        <w:rPr>
          <w:rFonts w:ascii="Arial" w:eastAsiaTheme="majorEastAsia" w:hAnsi="Arial" w:cs="Arial"/>
          <w:b/>
          <w:color w:val="2F5496" w:themeColor="accent1" w:themeShade="BF"/>
          <w:sz w:val="16"/>
          <w:szCs w:val="16"/>
        </w:rPr>
      </w:pPr>
      <w:r w:rsidRPr="00BB67A5">
        <w:rPr>
          <w:rFonts w:ascii="Arial" w:hAnsi="Arial" w:cs="Arial"/>
          <w:sz w:val="16"/>
          <w:szCs w:val="16"/>
        </w:rPr>
        <w:t xml:space="preserve">Table on left are the results for the primary analysis modeling change in pelvic pain at end of study from average baseline by </w:t>
      </w:r>
      <w:proofErr w:type="spellStart"/>
      <w:r w:rsidRPr="00BB67A5">
        <w:rPr>
          <w:rFonts w:ascii="Arial" w:hAnsi="Arial" w:cs="Arial"/>
          <w:sz w:val="16"/>
          <w:szCs w:val="16"/>
        </w:rPr>
        <w:t>widespreadness</w:t>
      </w:r>
      <w:proofErr w:type="spellEnd"/>
      <w:r w:rsidRPr="00BB67A5">
        <w:rPr>
          <w:rFonts w:ascii="Arial" w:hAnsi="Arial" w:cs="Arial"/>
          <w:sz w:val="16"/>
          <w:szCs w:val="16"/>
        </w:rPr>
        <w:t xml:space="preserve"> subgroup. Multiple imputation modeling was utilized to impute all missing outcomes and baseline covariates. Mean trajectory plots on the right were derived from the model coefficients contained in the table and represent the estimated change in outcome from average baseline at the end of the study for the average participant within RCT accounting for baseline outcome, age, race, and sex. P-values within plot test the difference between treatment and control and were derived from the primary analysis results contained in the table.</w:t>
      </w:r>
      <w:bookmarkStart w:id="9" w:name="_Toc110274188"/>
      <w:r w:rsidRPr="00BB67A5">
        <w:rPr>
          <w:rFonts w:ascii="Arial" w:hAnsi="Arial" w:cs="Arial"/>
          <w:b/>
          <w:sz w:val="16"/>
          <w:szCs w:val="16"/>
        </w:rPr>
        <w:br w:type="page"/>
      </w:r>
    </w:p>
    <w:p w14:paraId="490180F3" w14:textId="77777777" w:rsidR="00B724C5" w:rsidRPr="0005591C" w:rsidRDefault="00B724C5" w:rsidP="00B724C5">
      <w:pPr>
        <w:pStyle w:val="Heading3"/>
        <w:rPr>
          <w:color w:val="2F5496" w:themeColor="accent1" w:themeShade="BF"/>
        </w:rPr>
      </w:pPr>
      <w:bookmarkStart w:id="10" w:name="_Toc123662001"/>
      <w:r>
        <w:lastRenderedPageBreak/>
        <w:t>Extended Figure 6</w:t>
      </w:r>
      <w:r w:rsidRPr="0005591C">
        <w:t>. Primary analysis modeling change in urinary urgency (on NRS scale) at end of study from average baseline</w:t>
      </w:r>
      <w:bookmarkEnd w:id="9"/>
      <w:bookmarkEnd w:id="10"/>
    </w:p>
    <w:p w14:paraId="59BCB8BA" w14:textId="77777777" w:rsidR="00B724C5" w:rsidRPr="0005591C" w:rsidRDefault="00B724C5" w:rsidP="00B724C5">
      <w:pPr>
        <w:jc w:val="center"/>
      </w:pPr>
      <w:r>
        <w:rPr>
          <w:noProof/>
        </w:rPr>
        <w:drawing>
          <wp:inline distT="0" distB="0" distL="0" distR="0" wp14:anchorId="0DC6C090" wp14:editId="1CD6132E">
            <wp:extent cx="4572000" cy="6400800"/>
            <wp:effectExtent l="0" t="0" r="0" b="0"/>
            <wp:docPr id="7" name="Picture 7"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chart, line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72000" cy="6400800"/>
                    </a:xfrm>
                    <a:prstGeom prst="rect">
                      <a:avLst/>
                    </a:prstGeom>
                  </pic:spPr>
                </pic:pic>
              </a:graphicData>
            </a:graphic>
          </wp:inline>
        </w:drawing>
      </w:r>
    </w:p>
    <w:p w14:paraId="3807983B" w14:textId="77777777" w:rsidR="00B724C5" w:rsidRPr="00BB67A5" w:rsidRDefault="00B724C5" w:rsidP="00B724C5">
      <w:pPr>
        <w:rPr>
          <w:rFonts w:ascii="Arial" w:hAnsi="Arial" w:cs="Arial"/>
          <w:sz w:val="16"/>
          <w:szCs w:val="16"/>
        </w:rPr>
      </w:pPr>
      <w:r w:rsidRPr="00BB67A5">
        <w:rPr>
          <w:rFonts w:ascii="Arial" w:hAnsi="Arial" w:cs="Arial"/>
          <w:sz w:val="16"/>
          <w:szCs w:val="16"/>
        </w:rPr>
        <w:t xml:space="preserve">Table on left are the results for the primary analysis modeling change in urinary urgency at end of study from average baseline by </w:t>
      </w:r>
      <w:proofErr w:type="spellStart"/>
      <w:r w:rsidRPr="00BB67A5">
        <w:rPr>
          <w:rFonts w:ascii="Arial" w:hAnsi="Arial" w:cs="Arial"/>
          <w:sz w:val="16"/>
          <w:szCs w:val="16"/>
        </w:rPr>
        <w:t>widespreadness</w:t>
      </w:r>
      <w:proofErr w:type="spellEnd"/>
      <w:r w:rsidRPr="00BB67A5">
        <w:rPr>
          <w:rFonts w:ascii="Arial" w:hAnsi="Arial" w:cs="Arial"/>
          <w:sz w:val="16"/>
          <w:szCs w:val="16"/>
        </w:rPr>
        <w:t xml:space="preserve"> subgroup. Multiple imputation modeling was utilized to impute all missing outcomes and baseline covariates. Mean trajectory plots on the right were derived from the model coefficients contained in the table and represent the estimated change in outcome from average baseline at the end of the study for the average participant within RCT accounting for baseline outcome, age, race, and sex. P-values within plot test the difference between treatment and control and were derived from the primary analysis results contained in the table.</w:t>
      </w:r>
      <w:bookmarkStart w:id="11" w:name="_Toc110274189"/>
      <w:r w:rsidRPr="00BB67A5">
        <w:rPr>
          <w:rFonts w:ascii="Arial" w:hAnsi="Arial" w:cs="Arial"/>
          <w:sz w:val="16"/>
          <w:szCs w:val="16"/>
        </w:rPr>
        <w:br w:type="page"/>
      </w:r>
    </w:p>
    <w:p w14:paraId="1667CF0D" w14:textId="77777777" w:rsidR="00B724C5" w:rsidRPr="0005591C" w:rsidRDefault="00B724C5" w:rsidP="00B724C5">
      <w:pPr>
        <w:pStyle w:val="Heading3"/>
      </w:pPr>
      <w:bookmarkStart w:id="12" w:name="_Toc123662002"/>
      <w:r>
        <w:lastRenderedPageBreak/>
        <w:t>Extended Figure 7</w:t>
      </w:r>
      <w:r w:rsidRPr="0005591C">
        <w:t>. Primary analysis modeling change in urinary frequency (on NRS scale) at end of study from average baseline</w:t>
      </w:r>
      <w:bookmarkEnd w:id="11"/>
      <w:bookmarkEnd w:id="12"/>
    </w:p>
    <w:p w14:paraId="277EE15E" w14:textId="77777777" w:rsidR="00B724C5" w:rsidRPr="0005591C" w:rsidRDefault="00B724C5" w:rsidP="00B724C5">
      <w:pPr>
        <w:jc w:val="center"/>
        <w:rPr>
          <w:rFonts w:cstheme="minorHAnsi"/>
        </w:rPr>
      </w:pPr>
      <w:r>
        <w:rPr>
          <w:rFonts w:cstheme="minorHAnsi"/>
          <w:noProof/>
        </w:rPr>
        <w:drawing>
          <wp:inline distT="0" distB="0" distL="0" distR="0" wp14:anchorId="5BAA8E65" wp14:editId="3925ABDB">
            <wp:extent cx="4572000" cy="2286000"/>
            <wp:effectExtent l="0" t="0" r="0" b="0"/>
            <wp:docPr id="12" name="Picture 12"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49989D1A" w14:textId="77777777" w:rsidR="00B724C5" w:rsidRPr="0005591C" w:rsidRDefault="00B724C5" w:rsidP="00B724C5">
      <w:pPr>
        <w:rPr>
          <w:rFonts w:eastAsia="Times New Roman" w:cstheme="minorHAnsi"/>
        </w:rPr>
      </w:pPr>
    </w:p>
    <w:p w14:paraId="7ECFD2FF" w14:textId="77777777" w:rsidR="00B724C5" w:rsidRPr="00BB67A5" w:rsidRDefault="00B724C5" w:rsidP="00B724C5">
      <w:pPr>
        <w:rPr>
          <w:rFonts w:ascii="Arial" w:eastAsia="Times New Roman" w:hAnsi="Arial" w:cs="Arial"/>
          <w:sz w:val="16"/>
          <w:szCs w:val="16"/>
        </w:rPr>
      </w:pPr>
      <w:r w:rsidRPr="00BB67A5">
        <w:rPr>
          <w:rFonts w:ascii="Arial" w:eastAsia="Times New Roman" w:hAnsi="Arial" w:cs="Arial"/>
          <w:sz w:val="16"/>
          <w:szCs w:val="16"/>
        </w:rPr>
        <w:t xml:space="preserve">Table on left are the results for the primary analysis modeling change in urinary frequency at end of study from average baseline by </w:t>
      </w:r>
      <w:proofErr w:type="spellStart"/>
      <w:r w:rsidRPr="00BB67A5">
        <w:rPr>
          <w:rFonts w:ascii="Arial" w:eastAsia="Times New Roman" w:hAnsi="Arial" w:cs="Arial"/>
          <w:sz w:val="16"/>
          <w:szCs w:val="16"/>
        </w:rPr>
        <w:t>widespreadness</w:t>
      </w:r>
      <w:proofErr w:type="spellEnd"/>
      <w:r w:rsidRPr="00BB67A5">
        <w:rPr>
          <w:rFonts w:ascii="Arial" w:eastAsia="Times New Roman" w:hAnsi="Arial" w:cs="Arial"/>
          <w:sz w:val="16"/>
          <w:szCs w:val="16"/>
        </w:rPr>
        <w:t xml:space="preserve"> subgroup for the amitriptyline trial. Multiple imputation modeling was utilized to impute all missing outcomes and baseline covariates. Mean trajectory plots on the right were derived from the model coefficients contained in the table and represent the estimated change in outcome from average baseline at the end of the study for the average participant within RCT accounting for baseline outcome, age, race, and sex. P-values within plot test the difference between treatment and control and were derived from the primary analysis results contained in the table.</w:t>
      </w:r>
    </w:p>
    <w:p w14:paraId="05DE77B4" w14:textId="77777777" w:rsidR="00B724C5" w:rsidRDefault="00B724C5" w:rsidP="00B724C5">
      <w:pPr>
        <w:ind w:right="-720"/>
        <w:outlineLvl w:val="0"/>
        <w:rPr>
          <w:rFonts w:eastAsiaTheme="majorEastAsia" w:cstheme="minorHAnsi"/>
          <w:b/>
        </w:rPr>
      </w:pPr>
    </w:p>
    <w:p w14:paraId="42A2D9A1" w14:textId="77777777" w:rsidR="00B724C5" w:rsidRDefault="00B724C5" w:rsidP="00B724C5">
      <w:pPr>
        <w:ind w:right="-720"/>
        <w:outlineLvl w:val="0"/>
        <w:rPr>
          <w:rFonts w:eastAsiaTheme="majorEastAsia" w:cstheme="minorHAnsi"/>
          <w:b/>
        </w:rPr>
        <w:sectPr w:rsidR="00B724C5" w:rsidSect="006352B8">
          <w:pgSz w:w="12240" w:h="15840"/>
          <w:pgMar w:top="1440" w:right="1440" w:bottom="1440" w:left="1440" w:header="720" w:footer="720" w:gutter="0"/>
          <w:cols w:space="720"/>
          <w:docGrid w:linePitch="360"/>
        </w:sectPr>
      </w:pPr>
    </w:p>
    <w:p w14:paraId="7C83D9E4" w14:textId="77777777" w:rsidR="00B724C5" w:rsidRDefault="00B724C5" w:rsidP="00B724C5">
      <w:pPr>
        <w:pStyle w:val="Heading3"/>
      </w:pPr>
      <w:bookmarkStart w:id="13" w:name="_Toc123662003"/>
      <w:r>
        <w:lastRenderedPageBreak/>
        <w:t>Extended Figure 8</w:t>
      </w:r>
      <w:r w:rsidRPr="00C12841">
        <w:t>. 1-ECDF plots and corresponding tables for the proportion of patients with observed percentage improvement in pelv</w:t>
      </w:r>
      <w:r>
        <w:t>ic pain beyond average baseline</w:t>
      </w:r>
      <w:bookmarkEnd w:id="13"/>
    </w:p>
    <w:p w14:paraId="694AE8F3" w14:textId="77777777" w:rsidR="00B724C5" w:rsidRPr="008D2098" w:rsidRDefault="00B724C5" w:rsidP="00B724C5"/>
    <w:p w14:paraId="79D7AC7B" w14:textId="77777777" w:rsidR="00B724C5" w:rsidRDefault="00B724C5" w:rsidP="00B724C5">
      <w:pPr>
        <w:jc w:val="center"/>
      </w:pPr>
      <w:r>
        <w:rPr>
          <w:noProof/>
        </w:rPr>
        <w:drawing>
          <wp:inline distT="0" distB="0" distL="0" distR="0" wp14:anchorId="753ED15D" wp14:editId="05F2D0B4">
            <wp:extent cx="4572000" cy="6400800"/>
            <wp:effectExtent l="0" t="0" r="0" b="0"/>
            <wp:docPr id="13" name="Picture 13"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72000" cy="6400800"/>
                    </a:xfrm>
                    <a:prstGeom prst="rect">
                      <a:avLst/>
                    </a:prstGeom>
                  </pic:spPr>
                </pic:pic>
              </a:graphicData>
            </a:graphic>
          </wp:inline>
        </w:drawing>
      </w:r>
    </w:p>
    <w:p w14:paraId="6200F4B3" w14:textId="77777777" w:rsidR="00B724C5" w:rsidRPr="00BB67A5" w:rsidRDefault="00B724C5" w:rsidP="00B724C5">
      <w:pPr>
        <w:rPr>
          <w:rFonts w:ascii="Arial" w:eastAsia="Times New Roman" w:hAnsi="Arial" w:cs="Arial"/>
          <w:sz w:val="16"/>
          <w:szCs w:val="16"/>
        </w:rPr>
      </w:pPr>
      <w:r w:rsidRPr="00BB67A5">
        <w:rPr>
          <w:rFonts w:ascii="Arial" w:eastAsia="Times New Roman" w:hAnsi="Arial" w:cs="Arial"/>
          <w:sz w:val="16"/>
          <w:szCs w:val="16"/>
        </w:rPr>
        <w:t xml:space="preserve">The 1-ECDF plots (right within cell) represent the proportion of patients whose percentage improvement in </w:t>
      </w:r>
      <w:r>
        <w:rPr>
          <w:rFonts w:ascii="Arial" w:eastAsia="Times New Roman" w:hAnsi="Arial" w:cs="Arial"/>
          <w:sz w:val="16"/>
          <w:szCs w:val="16"/>
        </w:rPr>
        <w:t>pelvic</w:t>
      </w:r>
      <w:r w:rsidRPr="00BB67A5">
        <w:rPr>
          <w:rFonts w:ascii="Arial" w:eastAsia="Times New Roman" w:hAnsi="Arial" w:cs="Arial"/>
          <w:sz w:val="16"/>
          <w:szCs w:val="16"/>
        </w:rPr>
        <w:t xml:space="preserve"> pain is beyond average baseline at the end of study given the observed data within respective </w:t>
      </w:r>
      <w:proofErr w:type="spellStart"/>
      <w:r w:rsidRPr="00BB67A5">
        <w:rPr>
          <w:rFonts w:ascii="Arial" w:eastAsia="Times New Roman" w:hAnsi="Arial" w:cs="Arial"/>
          <w:sz w:val="16"/>
          <w:szCs w:val="16"/>
        </w:rPr>
        <w:t>widespreadness</w:t>
      </w:r>
      <w:proofErr w:type="spellEnd"/>
      <w:r w:rsidRPr="00BB67A5">
        <w:rPr>
          <w:rFonts w:ascii="Arial" w:eastAsia="Times New Roman" w:hAnsi="Arial" w:cs="Arial"/>
          <w:sz w:val="16"/>
          <w:szCs w:val="16"/>
        </w:rPr>
        <w:t xml:space="preserve"> subgroup. Patients missing end of study data have an observed percentage change of 0. P-value for testing the difference in observed percentage improvement curves for treatment (Blue) and control (Red) are displayed within plot and tables and were derived from the non-parametric Wilcoxon Rank-Sum test. The tables to the left of the plots correspond to the 1-ECDF curves and summarize the proportion of patients who have at least 30% and 50% improvement from baseline. Differences between proportion of improvement between treatment and control and the Number Needed to Treat (NNT) were calculated for each percentage improvement benchmark. </w:t>
      </w:r>
    </w:p>
    <w:p w14:paraId="59B86758" w14:textId="77777777" w:rsidR="00B724C5" w:rsidRDefault="00B724C5" w:rsidP="00B724C5">
      <w:pPr>
        <w:rPr>
          <w:rFonts w:eastAsia="Times New Roman" w:cstheme="minorHAnsi"/>
        </w:rPr>
      </w:pPr>
      <w:r w:rsidRPr="00C12841">
        <w:rPr>
          <w:rFonts w:eastAsia="Times New Roman" w:cstheme="minorHAnsi"/>
        </w:rPr>
        <w:br w:type="page"/>
      </w:r>
    </w:p>
    <w:p w14:paraId="12617F87" w14:textId="77777777" w:rsidR="00B724C5" w:rsidRPr="00C12841" w:rsidRDefault="00B724C5" w:rsidP="00B724C5">
      <w:pPr>
        <w:rPr>
          <w:rFonts w:eastAsia="Times New Roman" w:cstheme="minorHAnsi"/>
        </w:rPr>
        <w:sectPr w:rsidR="00B724C5" w:rsidRPr="00C12841" w:rsidSect="00C12841">
          <w:pgSz w:w="12240" w:h="15840"/>
          <w:pgMar w:top="1440" w:right="1440" w:bottom="1440" w:left="1440" w:header="720" w:footer="720" w:gutter="0"/>
          <w:cols w:space="720"/>
          <w:docGrid w:linePitch="360"/>
        </w:sectPr>
      </w:pPr>
    </w:p>
    <w:p w14:paraId="41660861" w14:textId="77777777" w:rsidR="00B724C5" w:rsidRPr="00C12841" w:rsidRDefault="00B724C5" w:rsidP="00B724C5">
      <w:pPr>
        <w:pStyle w:val="Heading3"/>
      </w:pPr>
      <w:bookmarkStart w:id="14" w:name="_Toc110274191"/>
      <w:bookmarkStart w:id="15" w:name="_Toc123662004"/>
      <w:r>
        <w:lastRenderedPageBreak/>
        <w:t>Extended Figure 9</w:t>
      </w:r>
      <w:r w:rsidRPr="00C12841">
        <w:t xml:space="preserve">. </w:t>
      </w:r>
      <w:bookmarkEnd w:id="14"/>
      <w:r w:rsidRPr="00C12841">
        <w:t xml:space="preserve">1-ECDF plots and corresponding tables for the proportion of patients with observed percentage improvement in </w:t>
      </w:r>
      <w:r>
        <w:t>urinary urgency beyond average baseline</w:t>
      </w:r>
      <w:bookmarkEnd w:id="15"/>
    </w:p>
    <w:p w14:paraId="025C3CC5" w14:textId="77777777" w:rsidR="00B724C5" w:rsidRPr="00C12841" w:rsidRDefault="00B724C5" w:rsidP="00B724C5">
      <w:pPr>
        <w:jc w:val="center"/>
        <w:rPr>
          <w:rFonts w:eastAsia="Times New Roman" w:cstheme="minorHAnsi"/>
          <w:b/>
        </w:rPr>
      </w:pPr>
      <w:r>
        <w:rPr>
          <w:rFonts w:eastAsia="Times New Roman" w:cstheme="minorHAnsi"/>
          <w:b/>
          <w:noProof/>
        </w:rPr>
        <w:drawing>
          <wp:inline distT="0" distB="0" distL="0" distR="0" wp14:anchorId="4F3D3CDE" wp14:editId="7B54E251">
            <wp:extent cx="4572000" cy="6400800"/>
            <wp:effectExtent l="0" t="0" r="0" b="0"/>
            <wp:docPr id="18" name="Picture 1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72000" cy="6400800"/>
                    </a:xfrm>
                    <a:prstGeom prst="rect">
                      <a:avLst/>
                    </a:prstGeom>
                  </pic:spPr>
                </pic:pic>
              </a:graphicData>
            </a:graphic>
          </wp:inline>
        </w:drawing>
      </w:r>
    </w:p>
    <w:p w14:paraId="279408A4" w14:textId="77777777" w:rsidR="00B724C5" w:rsidRPr="00C12841" w:rsidRDefault="00B724C5" w:rsidP="00B724C5">
      <w:pPr>
        <w:rPr>
          <w:rFonts w:eastAsia="Times New Roman" w:cstheme="minorHAnsi"/>
        </w:rPr>
      </w:pPr>
    </w:p>
    <w:p w14:paraId="751C4276" w14:textId="77777777" w:rsidR="00B724C5" w:rsidRPr="00BB67A5" w:rsidRDefault="00B724C5" w:rsidP="00B724C5">
      <w:pPr>
        <w:rPr>
          <w:rFonts w:ascii="Arial" w:eastAsia="Times New Roman" w:hAnsi="Arial" w:cs="Arial"/>
          <w:sz w:val="16"/>
          <w:szCs w:val="16"/>
        </w:rPr>
      </w:pPr>
      <w:r w:rsidRPr="00BB67A5">
        <w:rPr>
          <w:rFonts w:ascii="Arial" w:eastAsia="Times New Roman" w:hAnsi="Arial" w:cs="Arial"/>
          <w:sz w:val="16"/>
          <w:szCs w:val="16"/>
        </w:rPr>
        <w:t xml:space="preserve">The 1-ECDF plots (right within cell) represent the proportion of patients whose percentage improvement in urinary urgency is beyond average baseline at the end of study given the observed data within respective </w:t>
      </w:r>
      <w:proofErr w:type="spellStart"/>
      <w:r w:rsidRPr="00BB67A5">
        <w:rPr>
          <w:rFonts w:ascii="Arial" w:eastAsia="Times New Roman" w:hAnsi="Arial" w:cs="Arial"/>
          <w:sz w:val="16"/>
          <w:szCs w:val="16"/>
        </w:rPr>
        <w:t>widespreadness</w:t>
      </w:r>
      <w:proofErr w:type="spellEnd"/>
      <w:r w:rsidRPr="00BB67A5">
        <w:rPr>
          <w:rFonts w:ascii="Arial" w:eastAsia="Times New Roman" w:hAnsi="Arial" w:cs="Arial"/>
          <w:sz w:val="16"/>
          <w:szCs w:val="16"/>
        </w:rPr>
        <w:t xml:space="preserve"> subgroup. Patients missing end of study data have an observed percentage change of 0. P-value for testing the difference in observed percentage improvement curves for treatment (Blue) and control (Red) are displayed within plot and tables and were derived from the non-parametric Wilcoxon Rank-Sum test. The tables to the left of the plots correspond to the 1-ECDF curves and summarize the proportion of patients who have at least 30% and 50% improvement from baseline. Differences between proportion of improvement between treatment and control and the Number Needed to Treat (NNT) were calculated for each percentage improvement benchmark. </w:t>
      </w:r>
    </w:p>
    <w:p w14:paraId="582E9344" w14:textId="77777777" w:rsidR="00B724C5" w:rsidRPr="00C12841" w:rsidRDefault="00B724C5" w:rsidP="00B724C5">
      <w:pPr>
        <w:rPr>
          <w:rFonts w:eastAsia="Times New Roman" w:cstheme="minorHAnsi"/>
          <w:b/>
        </w:rPr>
      </w:pPr>
      <w:bookmarkStart w:id="16" w:name="_Toc110274192"/>
      <w:r w:rsidRPr="00C12841">
        <w:rPr>
          <w:rFonts w:eastAsia="Times New Roman" w:cstheme="minorHAnsi"/>
          <w:b/>
        </w:rPr>
        <w:br w:type="page"/>
      </w:r>
    </w:p>
    <w:p w14:paraId="0DD46ED9" w14:textId="77777777" w:rsidR="00B724C5" w:rsidRPr="00C12841" w:rsidRDefault="00B724C5" w:rsidP="00B724C5">
      <w:pPr>
        <w:pStyle w:val="Heading3"/>
      </w:pPr>
      <w:bookmarkStart w:id="17" w:name="_Toc123662005"/>
      <w:r>
        <w:lastRenderedPageBreak/>
        <w:t>Extended Figure 10</w:t>
      </w:r>
      <w:r w:rsidRPr="00C12841">
        <w:t xml:space="preserve">. </w:t>
      </w:r>
      <w:bookmarkEnd w:id="16"/>
      <w:r w:rsidRPr="00C12841">
        <w:t xml:space="preserve">1-ECDF plots and corresponding tables for the proportion of patients with observed percentage improvement in </w:t>
      </w:r>
      <w:r>
        <w:t>urinary frequency beyond average baseline</w:t>
      </w:r>
      <w:bookmarkEnd w:id="17"/>
    </w:p>
    <w:p w14:paraId="29AD37D3" w14:textId="77777777" w:rsidR="00B724C5" w:rsidRPr="00C12841" w:rsidRDefault="00B724C5" w:rsidP="00B724C5"/>
    <w:p w14:paraId="75436DF2" w14:textId="77777777" w:rsidR="00B724C5" w:rsidRPr="00C12841" w:rsidRDefault="00B724C5" w:rsidP="00B724C5">
      <w:pPr>
        <w:jc w:val="center"/>
      </w:pPr>
      <w:r>
        <w:rPr>
          <w:noProof/>
        </w:rPr>
        <w:drawing>
          <wp:inline distT="0" distB="0" distL="0" distR="0" wp14:anchorId="027B3D2F" wp14:editId="4CE6DC03">
            <wp:extent cx="4572000" cy="2286000"/>
            <wp:effectExtent l="0" t="0" r="0" b="0"/>
            <wp:docPr id="21" name="Picture 2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36DDC404" w14:textId="77777777" w:rsidR="00B724C5" w:rsidRPr="00C12841" w:rsidRDefault="00B724C5" w:rsidP="00B724C5">
      <w:pPr>
        <w:jc w:val="center"/>
        <w:rPr>
          <w:rFonts w:ascii="Times New Roman" w:eastAsia="Times New Roman" w:hAnsi="Times New Roman" w:cs="Times New Roman"/>
          <w:sz w:val="16"/>
          <w:szCs w:val="16"/>
        </w:rPr>
      </w:pPr>
    </w:p>
    <w:p w14:paraId="74B5A4E4" w14:textId="77777777" w:rsidR="00B724C5" w:rsidRPr="000D0C5F" w:rsidRDefault="00B724C5" w:rsidP="00B724C5">
      <w:pPr>
        <w:rPr>
          <w:rFonts w:ascii="Arial" w:eastAsiaTheme="minorEastAsia" w:hAnsi="Arial" w:cs="Arial"/>
          <w:color w:val="000000" w:themeColor="text1"/>
          <w:kern w:val="24"/>
          <w:sz w:val="16"/>
          <w:szCs w:val="16"/>
        </w:rPr>
      </w:pPr>
      <w:r w:rsidRPr="000D0C5F">
        <w:rPr>
          <w:rFonts w:ascii="Arial" w:eastAsia="Times New Roman" w:hAnsi="Arial" w:cs="Arial"/>
          <w:sz w:val="16"/>
          <w:szCs w:val="16"/>
        </w:rPr>
        <w:t xml:space="preserve">The 1-ECDF plots (right within cell) represent the proportion of patients whose percentage improvement in urinary frequency is beyond average baseline at the end of study given the observed data within respective </w:t>
      </w:r>
      <w:proofErr w:type="spellStart"/>
      <w:r w:rsidRPr="000D0C5F">
        <w:rPr>
          <w:rFonts w:ascii="Arial" w:eastAsia="Times New Roman" w:hAnsi="Arial" w:cs="Arial"/>
          <w:sz w:val="16"/>
          <w:szCs w:val="16"/>
        </w:rPr>
        <w:t>widespreadness</w:t>
      </w:r>
      <w:proofErr w:type="spellEnd"/>
      <w:r w:rsidRPr="000D0C5F">
        <w:rPr>
          <w:rFonts w:ascii="Arial" w:eastAsia="Times New Roman" w:hAnsi="Arial" w:cs="Arial"/>
          <w:sz w:val="16"/>
          <w:szCs w:val="16"/>
        </w:rPr>
        <w:t xml:space="preserve"> subgroup for the amitriptyline trial. Patients missing end of study data have an observed percentage change of 0. P-value for testing the difference in observed percentage improvement curves for treatment (Blue) and control (Red) are displayed within plot and tables and were derived from the non-parametric Wilcoxon Rank-Sum test. The tables to the left of the plots correspond to the 1-ECDF curves and summarize the proportion of patients who have at least 30% and 50% improvement from baseline. Differences between proportion of improvement between treatment and control and the Number Needed to Treat (NNT) were calculated for each percentage improvement benchmark. </w:t>
      </w:r>
    </w:p>
    <w:p w14:paraId="7783BE0E" w14:textId="77777777" w:rsidR="00B724C5" w:rsidRDefault="00B724C5" w:rsidP="00B724C5">
      <w:pPr>
        <w:ind w:right="-720"/>
        <w:outlineLvl w:val="0"/>
        <w:rPr>
          <w:rFonts w:eastAsiaTheme="majorEastAsia" w:cstheme="minorHAnsi"/>
          <w:b/>
        </w:rPr>
      </w:pPr>
    </w:p>
    <w:p w14:paraId="141F096A" w14:textId="77777777" w:rsidR="00B724C5" w:rsidRDefault="00B724C5" w:rsidP="00B724C5">
      <w:pPr>
        <w:ind w:right="-720"/>
        <w:outlineLvl w:val="0"/>
        <w:rPr>
          <w:rFonts w:eastAsiaTheme="majorEastAsia" w:cstheme="minorHAnsi"/>
          <w:b/>
        </w:rPr>
        <w:sectPr w:rsidR="00B724C5" w:rsidSect="00C12841">
          <w:pgSz w:w="12240" w:h="15840"/>
          <w:pgMar w:top="1440" w:right="1440" w:bottom="1440" w:left="1440" w:header="720" w:footer="720" w:gutter="0"/>
          <w:cols w:space="720"/>
          <w:docGrid w:linePitch="360"/>
        </w:sectPr>
      </w:pPr>
    </w:p>
    <w:p w14:paraId="05B8D166" w14:textId="77777777" w:rsidR="00B724C5" w:rsidRDefault="00B724C5" w:rsidP="00B724C5">
      <w:pPr>
        <w:jc w:val="center"/>
        <w:rPr>
          <w:rFonts w:ascii="Times New Roman" w:hAnsi="Times New Roman" w:cs="Times New Roman"/>
          <w:b/>
          <w:u w:val="single"/>
        </w:rPr>
      </w:pPr>
      <w:r>
        <w:rPr>
          <w:rFonts w:ascii="Times New Roman" w:hAnsi="Times New Roman" w:cs="Times New Roman"/>
          <w:b/>
          <w:u w:val="single"/>
        </w:rPr>
        <w:lastRenderedPageBreak/>
        <w:t>Supplementary</w:t>
      </w:r>
      <w:r w:rsidRPr="00922F47">
        <w:rPr>
          <w:rFonts w:ascii="Times New Roman" w:hAnsi="Times New Roman" w:cs="Times New Roman"/>
          <w:b/>
          <w:u w:val="single"/>
        </w:rPr>
        <w:t xml:space="preserve"> Online Content</w:t>
      </w:r>
    </w:p>
    <w:p w14:paraId="1E45D7C6" w14:textId="77777777" w:rsidR="00B724C5" w:rsidRDefault="00B724C5" w:rsidP="00B724C5">
      <w:pPr>
        <w:rPr>
          <w:rFonts w:ascii="Times New Roman" w:hAnsi="Times New Roman" w:cs="Times New Roman"/>
          <w:b/>
          <w:u w:val="single"/>
        </w:rPr>
      </w:pPr>
    </w:p>
    <w:p w14:paraId="787396BA" w14:textId="77777777" w:rsidR="00B724C5" w:rsidRPr="00164BF8" w:rsidRDefault="00B724C5" w:rsidP="00B724C5">
      <w:pPr>
        <w:rPr>
          <w:rFonts w:ascii="Times New Roman" w:hAnsi="Times New Roman" w:cs="Times New Roman"/>
          <w:bCs/>
          <w:sz w:val="20"/>
          <w:szCs w:val="20"/>
        </w:rPr>
      </w:pPr>
      <w:r>
        <w:rPr>
          <w:rFonts w:ascii="Times New Roman" w:hAnsi="Times New Roman" w:cs="Times New Roman"/>
          <w:bCs/>
          <w:sz w:val="20"/>
          <w:szCs w:val="20"/>
        </w:rPr>
        <w:t>These materials describe our use of standard statistical approaches to the specific methods described and provide limited results specific to these methods and tables reflecting those methods.  They are provided in case the reader has an interest in the specifics of how e applied these standard techniques.</w:t>
      </w:r>
    </w:p>
    <w:sdt>
      <w:sdtPr>
        <w:rPr>
          <w:rFonts w:asciiTheme="minorHAnsi" w:eastAsiaTheme="minorHAnsi" w:hAnsiTheme="minorHAnsi" w:cs="Times New Roman"/>
          <w:b w:val="0"/>
          <w:sz w:val="20"/>
          <w:szCs w:val="20"/>
        </w:rPr>
        <w:id w:val="-1295510773"/>
        <w:docPartObj>
          <w:docPartGallery w:val="Table of Contents"/>
          <w:docPartUnique/>
        </w:docPartObj>
      </w:sdtPr>
      <w:sdtEndPr>
        <w:rPr>
          <w:bCs/>
          <w:noProof/>
        </w:rPr>
      </w:sdtEndPr>
      <w:sdtContent>
        <w:p w14:paraId="056A4892" w14:textId="77777777" w:rsidR="00B724C5" w:rsidRPr="001E2368" w:rsidRDefault="00B724C5" w:rsidP="00B724C5">
          <w:pPr>
            <w:pStyle w:val="TOCHeading"/>
            <w:keepNext w:val="0"/>
            <w:keepLines w:val="0"/>
            <w:rPr>
              <w:rFonts w:cs="Times New Roman"/>
              <w:sz w:val="20"/>
              <w:szCs w:val="20"/>
            </w:rPr>
          </w:pPr>
        </w:p>
        <w:p w14:paraId="596ECB33" w14:textId="77777777" w:rsidR="00B724C5" w:rsidRDefault="00B724C5" w:rsidP="00B724C5">
          <w:pPr>
            <w:pStyle w:val="TOC1"/>
            <w:tabs>
              <w:tab w:val="right" w:leader="dot" w:pos="9350"/>
            </w:tabs>
            <w:rPr>
              <w:rFonts w:eastAsiaTheme="minorEastAsia"/>
              <w:noProof/>
            </w:rPr>
          </w:pPr>
          <w:r w:rsidRPr="001E2368">
            <w:rPr>
              <w:rFonts w:ascii="Times New Roman" w:hAnsi="Times New Roman" w:cs="Times New Roman"/>
              <w:sz w:val="20"/>
              <w:szCs w:val="20"/>
            </w:rPr>
            <w:fldChar w:fldCharType="begin"/>
          </w:r>
          <w:r w:rsidRPr="001E2368">
            <w:rPr>
              <w:rFonts w:ascii="Times New Roman" w:hAnsi="Times New Roman" w:cs="Times New Roman"/>
              <w:sz w:val="20"/>
              <w:szCs w:val="20"/>
            </w:rPr>
            <w:instrText xml:space="preserve"> TOC \o "1-2" \h \z \u \t "Heading 3,2" </w:instrText>
          </w:r>
          <w:r w:rsidRPr="001E2368">
            <w:rPr>
              <w:rFonts w:ascii="Times New Roman" w:hAnsi="Times New Roman" w:cs="Times New Roman"/>
              <w:sz w:val="20"/>
              <w:szCs w:val="20"/>
            </w:rPr>
            <w:fldChar w:fldCharType="separate"/>
          </w:r>
          <w:hyperlink w:anchor="_Toc123674515" w:history="1">
            <w:r w:rsidRPr="008A25D2">
              <w:rPr>
                <w:rStyle w:val="Hyperlink"/>
                <w:noProof/>
              </w:rPr>
              <w:t>Supplementary Methods</w:t>
            </w:r>
            <w:r>
              <w:rPr>
                <w:noProof/>
                <w:webHidden/>
              </w:rPr>
              <w:tab/>
            </w:r>
            <w:r>
              <w:rPr>
                <w:noProof/>
                <w:webHidden/>
              </w:rPr>
              <w:fldChar w:fldCharType="begin"/>
            </w:r>
            <w:r>
              <w:rPr>
                <w:noProof/>
                <w:webHidden/>
              </w:rPr>
              <w:instrText xml:space="preserve"> PAGEREF _Toc123674515 \h </w:instrText>
            </w:r>
            <w:r>
              <w:rPr>
                <w:noProof/>
                <w:webHidden/>
              </w:rPr>
            </w:r>
            <w:r>
              <w:rPr>
                <w:noProof/>
                <w:webHidden/>
              </w:rPr>
              <w:fldChar w:fldCharType="separate"/>
            </w:r>
            <w:r>
              <w:rPr>
                <w:noProof/>
                <w:webHidden/>
              </w:rPr>
              <w:t>2</w:t>
            </w:r>
            <w:r>
              <w:rPr>
                <w:noProof/>
                <w:webHidden/>
              </w:rPr>
              <w:fldChar w:fldCharType="end"/>
            </w:r>
          </w:hyperlink>
        </w:p>
        <w:p w14:paraId="0A764C48" w14:textId="77777777" w:rsidR="00B724C5" w:rsidRDefault="00B724C5" w:rsidP="00B724C5">
          <w:pPr>
            <w:pStyle w:val="TOC2"/>
            <w:rPr>
              <w:rFonts w:asciiTheme="minorHAnsi" w:eastAsiaTheme="minorEastAsia" w:hAnsiTheme="minorHAnsi" w:cstheme="minorBidi"/>
              <w:i w:val="0"/>
              <w:sz w:val="22"/>
              <w:szCs w:val="22"/>
            </w:rPr>
          </w:pPr>
          <w:hyperlink w:anchor="_Toc123674516" w:history="1">
            <w:r w:rsidRPr="008A25D2">
              <w:rPr>
                <w:rStyle w:val="Hyperlink"/>
              </w:rPr>
              <w:t>Consensus Clustering (CC)</w:t>
            </w:r>
            <w:r>
              <w:rPr>
                <w:webHidden/>
              </w:rPr>
              <w:tab/>
            </w:r>
            <w:r>
              <w:rPr>
                <w:webHidden/>
              </w:rPr>
              <w:fldChar w:fldCharType="begin"/>
            </w:r>
            <w:r>
              <w:rPr>
                <w:webHidden/>
              </w:rPr>
              <w:instrText xml:space="preserve"> PAGEREF _Toc123674516 \h </w:instrText>
            </w:r>
            <w:r>
              <w:rPr>
                <w:webHidden/>
              </w:rPr>
            </w:r>
            <w:r>
              <w:rPr>
                <w:webHidden/>
              </w:rPr>
              <w:fldChar w:fldCharType="separate"/>
            </w:r>
            <w:r>
              <w:rPr>
                <w:webHidden/>
              </w:rPr>
              <w:t>2</w:t>
            </w:r>
            <w:r>
              <w:rPr>
                <w:webHidden/>
              </w:rPr>
              <w:fldChar w:fldCharType="end"/>
            </w:r>
          </w:hyperlink>
        </w:p>
        <w:p w14:paraId="77591715" w14:textId="77777777" w:rsidR="00B724C5" w:rsidRDefault="00B724C5" w:rsidP="00B724C5">
          <w:pPr>
            <w:pStyle w:val="TOC2"/>
            <w:rPr>
              <w:rFonts w:asciiTheme="minorHAnsi" w:eastAsiaTheme="minorEastAsia" w:hAnsiTheme="minorHAnsi" w:cstheme="minorBidi"/>
              <w:i w:val="0"/>
              <w:sz w:val="22"/>
              <w:szCs w:val="22"/>
            </w:rPr>
          </w:pPr>
          <w:hyperlink w:anchor="_Toc123674517" w:history="1">
            <w:r w:rsidRPr="008A25D2">
              <w:rPr>
                <w:rStyle w:val="Hyperlink"/>
              </w:rPr>
              <w:t>Determining the High Widespreadness of Pain Subgroup Criteria</w:t>
            </w:r>
            <w:r>
              <w:rPr>
                <w:webHidden/>
              </w:rPr>
              <w:tab/>
            </w:r>
            <w:r>
              <w:rPr>
                <w:webHidden/>
              </w:rPr>
              <w:fldChar w:fldCharType="begin"/>
            </w:r>
            <w:r>
              <w:rPr>
                <w:webHidden/>
              </w:rPr>
              <w:instrText xml:space="preserve"> PAGEREF _Toc123674517 \h </w:instrText>
            </w:r>
            <w:r>
              <w:rPr>
                <w:webHidden/>
              </w:rPr>
            </w:r>
            <w:r>
              <w:rPr>
                <w:webHidden/>
              </w:rPr>
              <w:fldChar w:fldCharType="separate"/>
            </w:r>
            <w:r>
              <w:rPr>
                <w:webHidden/>
              </w:rPr>
              <w:t>2</w:t>
            </w:r>
            <w:r>
              <w:rPr>
                <w:webHidden/>
              </w:rPr>
              <w:fldChar w:fldCharType="end"/>
            </w:r>
          </w:hyperlink>
        </w:p>
        <w:p w14:paraId="2FD771EC" w14:textId="77777777" w:rsidR="00B724C5" w:rsidRDefault="00B724C5" w:rsidP="00B724C5">
          <w:pPr>
            <w:pStyle w:val="TOC2"/>
            <w:rPr>
              <w:rFonts w:asciiTheme="minorHAnsi" w:eastAsiaTheme="minorEastAsia" w:hAnsiTheme="minorHAnsi" w:cstheme="minorBidi"/>
              <w:i w:val="0"/>
              <w:sz w:val="22"/>
              <w:szCs w:val="22"/>
            </w:rPr>
          </w:pPr>
          <w:hyperlink w:anchor="_Toc123674518" w:history="1">
            <w:r w:rsidRPr="008A25D2">
              <w:rPr>
                <w:rStyle w:val="Hyperlink"/>
              </w:rPr>
              <w:t>Multiple Imputation Models</w:t>
            </w:r>
            <w:r>
              <w:rPr>
                <w:webHidden/>
              </w:rPr>
              <w:tab/>
            </w:r>
            <w:r>
              <w:rPr>
                <w:webHidden/>
              </w:rPr>
              <w:fldChar w:fldCharType="begin"/>
            </w:r>
            <w:r>
              <w:rPr>
                <w:webHidden/>
              </w:rPr>
              <w:instrText xml:space="preserve"> PAGEREF _Toc123674518 \h </w:instrText>
            </w:r>
            <w:r>
              <w:rPr>
                <w:webHidden/>
              </w:rPr>
            </w:r>
            <w:r>
              <w:rPr>
                <w:webHidden/>
              </w:rPr>
              <w:fldChar w:fldCharType="separate"/>
            </w:r>
            <w:r>
              <w:rPr>
                <w:webHidden/>
              </w:rPr>
              <w:t>2</w:t>
            </w:r>
            <w:r>
              <w:rPr>
                <w:webHidden/>
              </w:rPr>
              <w:fldChar w:fldCharType="end"/>
            </w:r>
          </w:hyperlink>
        </w:p>
        <w:p w14:paraId="773A36C9" w14:textId="77777777" w:rsidR="00B724C5" w:rsidRDefault="00B724C5" w:rsidP="00B724C5">
          <w:pPr>
            <w:pStyle w:val="TOC2"/>
            <w:rPr>
              <w:rFonts w:asciiTheme="minorHAnsi" w:eastAsiaTheme="minorEastAsia" w:hAnsiTheme="minorHAnsi" w:cstheme="minorBidi"/>
              <w:i w:val="0"/>
              <w:sz w:val="22"/>
              <w:szCs w:val="22"/>
            </w:rPr>
          </w:pPr>
          <w:hyperlink w:anchor="_Toc123674519" w:history="1">
            <w:r w:rsidRPr="008A25D2">
              <w:rPr>
                <w:rStyle w:val="Hyperlink"/>
              </w:rPr>
              <w:t>Mean Trajectory Plots</w:t>
            </w:r>
            <w:r>
              <w:rPr>
                <w:webHidden/>
              </w:rPr>
              <w:tab/>
            </w:r>
            <w:r>
              <w:rPr>
                <w:webHidden/>
              </w:rPr>
              <w:fldChar w:fldCharType="begin"/>
            </w:r>
            <w:r>
              <w:rPr>
                <w:webHidden/>
              </w:rPr>
              <w:instrText xml:space="preserve"> PAGEREF _Toc123674519 \h </w:instrText>
            </w:r>
            <w:r>
              <w:rPr>
                <w:webHidden/>
              </w:rPr>
            </w:r>
            <w:r>
              <w:rPr>
                <w:webHidden/>
              </w:rPr>
              <w:fldChar w:fldCharType="separate"/>
            </w:r>
            <w:r>
              <w:rPr>
                <w:webHidden/>
              </w:rPr>
              <w:t>3</w:t>
            </w:r>
            <w:r>
              <w:rPr>
                <w:webHidden/>
              </w:rPr>
              <w:fldChar w:fldCharType="end"/>
            </w:r>
          </w:hyperlink>
        </w:p>
        <w:p w14:paraId="0F54A4E0" w14:textId="77777777" w:rsidR="00B724C5" w:rsidRDefault="00B724C5" w:rsidP="00B724C5">
          <w:pPr>
            <w:pStyle w:val="TOC2"/>
            <w:rPr>
              <w:rFonts w:asciiTheme="minorHAnsi" w:eastAsiaTheme="minorEastAsia" w:hAnsiTheme="minorHAnsi" w:cstheme="minorBidi"/>
              <w:i w:val="0"/>
              <w:sz w:val="22"/>
              <w:szCs w:val="22"/>
            </w:rPr>
          </w:pPr>
          <w:hyperlink w:anchor="_Toc123674520" w:history="1">
            <w:r w:rsidRPr="008A25D2">
              <w:rPr>
                <w:rStyle w:val="Hyperlink"/>
              </w:rPr>
              <w:t>1-ECDF Empirical Cumulative Distribution Functions Plots</w:t>
            </w:r>
            <w:r>
              <w:rPr>
                <w:webHidden/>
              </w:rPr>
              <w:tab/>
            </w:r>
            <w:r>
              <w:rPr>
                <w:webHidden/>
              </w:rPr>
              <w:fldChar w:fldCharType="begin"/>
            </w:r>
            <w:r>
              <w:rPr>
                <w:webHidden/>
              </w:rPr>
              <w:instrText xml:space="preserve"> PAGEREF _Toc123674520 \h </w:instrText>
            </w:r>
            <w:r>
              <w:rPr>
                <w:webHidden/>
              </w:rPr>
            </w:r>
            <w:r>
              <w:rPr>
                <w:webHidden/>
              </w:rPr>
              <w:fldChar w:fldCharType="separate"/>
            </w:r>
            <w:r>
              <w:rPr>
                <w:webHidden/>
              </w:rPr>
              <w:t>3</w:t>
            </w:r>
            <w:r>
              <w:rPr>
                <w:webHidden/>
              </w:rPr>
              <w:fldChar w:fldCharType="end"/>
            </w:r>
          </w:hyperlink>
        </w:p>
        <w:p w14:paraId="3D45CF8F" w14:textId="77777777" w:rsidR="00B724C5" w:rsidRDefault="00B724C5" w:rsidP="00B724C5">
          <w:pPr>
            <w:pStyle w:val="TOC1"/>
            <w:tabs>
              <w:tab w:val="right" w:leader="dot" w:pos="9350"/>
            </w:tabs>
            <w:rPr>
              <w:rFonts w:eastAsiaTheme="minorEastAsia"/>
              <w:noProof/>
            </w:rPr>
          </w:pPr>
          <w:hyperlink w:anchor="_Toc123674521" w:history="1">
            <w:r w:rsidRPr="008A25D2">
              <w:rPr>
                <w:rStyle w:val="Hyperlink"/>
                <w:noProof/>
              </w:rPr>
              <w:t>Supplementary Results</w:t>
            </w:r>
            <w:r>
              <w:rPr>
                <w:noProof/>
                <w:webHidden/>
              </w:rPr>
              <w:tab/>
            </w:r>
            <w:r>
              <w:rPr>
                <w:noProof/>
                <w:webHidden/>
              </w:rPr>
              <w:fldChar w:fldCharType="begin"/>
            </w:r>
            <w:r>
              <w:rPr>
                <w:noProof/>
                <w:webHidden/>
              </w:rPr>
              <w:instrText xml:space="preserve"> PAGEREF _Toc123674521 \h </w:instrText>
            </w:r>
            <w:r>
              <w:rPr>
                <w:noProof/>
                <w:webHidden/>
              </w:rPr>
            </w:r>
            <w:r>
              <w:rPr>
                <w:noProof/>
                <w:webHidden/>
              </w:rPr>
              <w:fldChar w:fldCharType="separate"/>
            </w:r>
            <w:r>
              <w:rPr>
                <w:noProof/>
                <w:webHidden/>
              </w:rPr>
              <w:t>4</w:t>
            </w:r>
            <w:r>
              <w:rPr>
                <w:noProof/>
                <w:webHidden/>
              </w:rPr>
              <w:fldChar w:fldCharType="end"/>
            </w:r>
          </w:hyperlink>
        </w:p>
        <w:p w14:paraId="3A3884E7" w14:textId="77777777" w:rsidR="00B724C5" w:rsidRDefault="00B724C5" w:rsidP="00B724C5">
          <w:pPr>
            <w:pStyle w:val="TOC2"/>
            <w:rPr>
              <w:rFonts w:asciiTheme="minorHAnsi" w:eastAsiaTheme="minorEastAsia" w:hAnsiTheme="minorHAnsi" w:cstheme="minorBidi"/>
              <w:i w:val="0"/>
              <w:sz w:val="22"/>
              <w:szCs w:val="22"/>
            </w:rPr>
          </w:pPr>
          <w:hyperlink w:anchor="_Toc123674522" w:history="1">
            <w:r w:rsidRPr="008A25D2">
              <w:rPr>
                <w:rStyle w:val="Hyperlink"/>
              </w:rPr>
              <w:t>Consensus Clustering</w:t>
            </w:r>
            <w:r>
              <w:rPr>
                <w:webHidden/>
              </w:rPr>
              <w:tab/>
            </w:r>
            <w:r>
              <w:rPr>
                <w:webHidden/>
              </w:rPr>
              <w:fldChar w:fldCharType="begin"/>
            </w:r>
            <w:r>
              <w:rPr>
                <w:webHidden/>
              </w:rPr>
              <w:instrText xml:space="preserve"> PAGEREF _Toc123674522 \h </w:instrText>
            </w:r>
            <w:r>
              <w:rPr>
                <w:webHidden/>
              </w:rPr>
            </w:r>
            <w:r>
              <w:rPr>
                <w:webHidden/>
              </w:rPr>
              <w:fldChar w:fldCharType="separate"/>
            </w:r>
            <w:r>
              <w:rPr>
                <w:webHidden/>
              </w:rPr>
              <w:t>4</w:t>
            </w:r>
            <w:r>
              <w:rPr>
                <w:webHidden/>
              </w:rPr>
              <w:fldChar w:fldCharType="end"/>
            </w:r>
          </w:hyperlink>
        </w:p>
        <w:p w14:paraId="254F7799" w14:textId="77777777" w:rsidR="00B724C5" w:rsidRDefault="00B724C5" w:rsidP="00B724C5">
          <w:pPr>
            <w:pStyle w:val="TOC2"/>
            <w:rPr>
              <w:rFonts w:asciiTheme="minorHAnsi" w:eastAsiaTheme="minorEastAsia" w:hAnsiTheme="minorHAnsi" w:cstheme="minorBidi"/>
              <w:i w:val="0"/>
              <w:sz w:val="22"/>
              <w:szCs w:val="22"/>
            </w:rPr>
          </w:pPr>
          <w:hyperlink w:anchor="_Toc123674523" w:history="1">
            <w:r w:rsidRPr="008A25D2">
              <w:rPr>
                <w:rStyle w:val="Hyperlink"/>
              </w:rPr>
              <w:t>Optimizing the Widespreadness Subgroup Criteria with Consensus Clustering Results</w:t>
            </w:r>
            <w:r>
              <w:rPr>
                <w:webHidden/>
              </w:rPr>
              <w:tab/>
            </w:r>
            <w:r>
              <w:rPr>
                <w:webHidden/>
              </w:rPr>
              <w:fldChar w:fldCharType="begin"/>
            </w:r>
            <w:r>
              <w:rPr>
                <w:webHidden/>
              </w:rPr>
              <w:instrText xml:space="preserve"> PAGEREF _Toc123674523 \h </w:instrText>
            </w:r>
            <w:r>
              <w:rPr>
                <w:webHidden/>
              </w:rPr>
            </w:r>
            <w:r>
              <w:rPr>
                <w:webHidden/>
              </w:rPr>
              <w:fldChar w:fldCharType="separate"/>
            </w:r>
            <w:r>
              <w:rPr>
                <w:webHidden/>
              </w:rPr>
              <w:t>4</w:t>
            </w:r>
            <w:r>
              <w:rPr>
                <w:webHidden/>
              </w:rPr>
              <w:fldChar w:fldCharType="end"/>
            </w:r>
          </w:hyperlink>
        </w:p>
        <w:p w14:paraId="74ABEEB6" w14:textId="77777777" w:rsidR="00B724C5" w:rsidRDefault="00B724C5" w:rsidP="00B724C5">
          <w:pPr>
            <w:pStyle w:val="TOC1"/>
            <w:tabs>
              <w:tab w:val="right" w:leader="dot" w:pos="9350"/>
            </w:tabs>
            <w:rPr>
              <w:rFonts w:eastAsiaTheme="minorEastAsia"/>
              <w:noProof/>
            </w:rPr>
          </w:pPr>
          <w:hyperlink w:anchor="_Toc123674524" w:history="1">
            <w:r w:rsidRPr="008A25D2">
              <w:rPr>
                <w:rStyle w:val="Hyperlink"/>
                <w:noProof/>
              </w:rPr>
              <w:t>Supplementary Tables</w:t>
            </w:r>
            <w:r>
              <w:rPr>
                <w:noProof/>
                <w:webHidden/>
              </w:rPr>
              <w:tab/>
            </w:r>
            <w:r>
              <w:rPr>
                <w:noProof/>
                <w:webHidden/>
              </w:rPr>
              <w:fldChar w:fldCharType="begin"/>
            </w:r>
            <w:r>
              <w:rPr>
                <w:noProof/>
                <w:webHidden/>
              </w:rPr>
              <w:instrText xml:space="preserve"> PAGEREF _Toc123674524 \h </w:instrText>
            </w:r>
            <w:r>
              <w:rPr>
                <w:noProof/>
                <w:webHidden/>
              </w:rPr>
            </w:r>
            <w:r>
              <w:rPr>
                <w:noProof/>
                <w:webHidden/>
              </w:rPr>
              <w:fldChar w:fldCharType="separate"/>
            </w:r>
            <w:r>
              <w:rPr>
                <w:noProof/>
                <w:webHidden/>
              </w:rPr>
              <w:t>5</w:t>
            </w:r>
            <w:r>
              <w:rPr>
                <w:noProof/>
                <w:webHidden/>
              </w:rPr>
              <w:fldChar w:fldCharType="end"/>
            </w:r>
          </w:hyperlink>
        </w:p>
        <w:p w14:paraId="02F1BCEC" w14:textId="77777777" w:rsidR="00B724C5" w:rsidRDefault="00B724C5" w:rsidP="00B724C5">
          <w:pPr>
            <w:pStyle w:val="TOC2"/>
            <w:rPr>
              <w:rFonts w:asciiTheme="minorHAnsi" w:eastAsiaTheme="minorEastAsia" w:hAnsiTheme="minorHAnsi" w:cstheme="minorBidi"/>
              <w:i w:val="0"/>
              <w:sz w:val="22"/>
              <w:szCs w:val="22"/>
            </w:rPr>
          </w:pPr>
          <w:hyperlink w:anchor="_Toc123674525" w:history="1">
            <w:r w:rsidRPr="008A25D2">
              <w:rPr>
                <w:rStyle w:val="Hyperlink"/>
              </w:rPr>
              <w:t>Supplementary Table 1. Observed change in outcome and estimated treatment effects for complete case and multiple imputation models</w:t>
            </w:r>
            <w:r>
              <w:rPr>
                <w:webHidden/>
              </w:rPr>
              <w:tab/>
            </w:r>
            <w:r>
              <w:rPr>
                <w:webHidden/>
              </w:rPr>
              <w:fldChar w:fldCharType="begin"/>
            </w:r>
            <w:r>
              <w:rPr>
                <w:webHidden/>
              </w:rPr>
              <w:instrText xml:space="preserve"> PAGEREF _Toc123674525 \h </w:instrText>
            </w:r>
            <w:r>
              <w:rPr>
                <w:webHidden/>
              </w:rPr>
            </w:r>
            <w:r>
              <w:rPr>
                <w:webHidden/>
              </w:rPr>
              <w:fldChar w:fldCharType="separate"/>
            </w:r>
            <w:r>
              <w:rPr>
                <w:webHidden/>
              </w:rPr>
              <w:t>5</w:t>
            </w:r>
            <w:r>
              <w:rPr>
                <w:webHidden/>
              </w:rPr>
              <w:fldChar w:fldCharType="end"/>
            </w:r>
          </w:hyperlink>
        </w:p>
        <w:p w14:paraId="0EE96681" w14:textId="77777777" w:rsidR="00B724C5" w:rsidRDefault="00B724C5" w:rsidP="00B724C5">
          <w:pPr>
            <w:pStyle w:val="TOC2"/>
            <w:rPr>
              <w:rFonts w:asciiTheme="minorHAnsi" w:eastAsiaTheme="minorEastAsia" w:hAnsiTheme="minorHAnsi" w:cstheme="minorBidi"/>
              <w:i w:val="0"/>
              <w:sz w:val="22"/>
              <w:szCs w:val="22"/>
            </w:rPr>
          </w:pPr>
          <w:hyperlink w:anchor="_Toc123674526" w:history="1">
            <w:r w:rsidRPr="008A25D2">
              <w:rPr>
                <w:rStyle w:val="Hyperlink"/>
              </w:rPr>
              <w:t>Supplementary Table 2. Observed change in outcome and estimated treatment effects for complete case and multiple imputation models by widespreadness subgroup</w:t>
            </w:r>
            <w:r>
              <w:rPr>
                <w:webHidden/>
              </w:rPr>
              <w:tab/>
            </w:r>
            <w:r>
              <w:rPr>
                <w:webHidden/>
              </w:rPr>
              <w:fldChar w:fldCharType="begin"/>
            </w:r>
            <w:r>
              <w:rPr>
                <w:webHidden/>
              </w:rPr>
              <w:instrText xml:space="preserve"> PAGEREF _Toc123674526 \h </w:instrText>
            </w:r>
            <w:r>
              <w:rPr>
                <w:webHidden/>
              </w:rPr>
            </w:r>
            <w:r>
              <w:rPr>
                <w:webHidden/>
              </w:rPr>
              <w:fldChar w:fldCharType="separate"/>
            </w:r>
            <w:r>
              <w:rPr>
                <w:webHidden/>
              </w:rPr>
              <w:t>7</w:t>
            </w:r>
            <w:r>
              <w:rPr>
                <w:webHidden/>
              </w:rPr>
              <w:fldChar w:fldCharType="end"/>
            </w:r>
          </w:hyperlink>
        </w:p>
        <w:p w14:paraId="2B0E2242" w14:textId="77777777" w:rsidR="00B724C5" w:rsidRDefault="00B724C5" w:rsidP="00B724C5">
          <w:pPr>
            <w:pStyle w:val="TOC2"/>
            <w:rPr>
              <w:rFonts w:asciiTheme="minorHAnsi" w:eastAsiaTheme="minorEastAsia" w:hAnsiTheme="minorHAnsi" w:cstheme="minorBidi"/>
              <w:i w:val="0"/>
              <w:sz w:val="22"/>
              <w:szCs w:val="22"/>
            </w:rPr>
          </w:pPr>
          <w:hyperlink w:anchor="_Toc123674527" w:history="1">
            <w:r w:rsidRPr="008A25D2">
              <w:rPr>
                <w:rStyle w:val="Hyperlink"/>
              </w:rPr>
              <w:t>Supplementary Table 3. Estimated change in NRS measure at end of study from average baseline for the average RCT participant</w:t>
            </w:r>
            <w:r>
              <w:rPr>
                <w:webHidden/>
              </w:rPr>
              <w:tab/>
            </w:r>
            <w:r>
              <w:rPr>
                <w:webHidden/>
              </w:rPr>
              <w:fldChar w:fldCharType="begin"/>
            </w:r>
            <w:r>
              <w:rPr>
                <w:webHidden/>
              </w:rPr>
              <w:instrText xml:space="preserve"> PAGEREF _Toc123674527 \h </w:instrText>
            </w:r>
            <w:r>
              <w:rPr>
                <w:webHidden/>
              </w:rPr>
            </w:r>
            <w:r>
              <w:rPr>
                <w:webHidden/>
              </w:rPr>
              <w:fldChar w:fldCharType="separate"/>
            </w:r>
            <w:r>
              <w:rPr>
                <w:webHidden/>
              </w:rPr>
              <w:t>10</w:t>
            </w:r>
            <w:r>
              <w:rPr>
                <w:webHidden/>
              </w:rPr>
              <w:fldChar w:fldCharType="end"/>
            </w:r>
          </w:hyperlink>
        </w:p>
        <w:p w14:paraId="5844FBB7" w14:textId="77777777" w:rsidR="00B724C5" w:rsidRDefault="00B724C5" w:rsidP="00B724C5">
          <w:pPr>
            <w:pStyle w:val="TOC1"/>
            <w:tabs>
              <w:tab w:val="right" w:leader="dot" w:pos="9350"/>
            </w:tabs>
            <w:rPr>
              <w:rFonts w:eastAsiaTheme="minorEastAsia"/>
              <w:noProof/>
            </w:rPr>
          </w:pPr>
          <w:hyperlink w:anchor="_Toc123674528" w:history="1">
            <w:r w:rsidRPr="008A25D2">
              <w:rPr>
                <w:rStyle w:val="Hyperlink"/>
                <w:noProof/>
              </w:rPr>
              <w:t>Supplementary References</w:t>
            </w:r>
            <w:r>
              <w:rPr>
                <w:noProof/>
                <w:webHidden/>
              </w:rPr>
              <w:tab/>
            </w:r>
            <w:r>
              <w:rPr>
                <w:noProof/>
                <w:webHidden/>
              </w:rPr>
              <w:fldChar w:fldCharType="begin"/>
            </w:r>
            <w:r>
              <w:rPr>
                <w:noProof/>
                <w:webHidden/>
              </w:rPr>
              <w:instrText xml:space="preserve"> PAGEREF _Toc123674528 \h </w:instrText>
            </w:r>
            <w:r>
              <w:rPr>
                <w:noProof/>
                <w:webHidden/>
              </w:rPr>
            </w:r>
            <w:r>
              <w:rPr>
                <w:noProof/>
                <w:webHidden/>
              </w:rPr>
              <w:fldChar w:fldCharType="separate"/>
            </w:r>
            <w:r>
              <w:rPr>
                <w:noProof/>
                <w:webHidden/>
              </w:rPr>
              <w:t>11</w:t>
            </w:r>
            <w:r>
              <w:rPr>
                <w:noProof/>
                <w:webHidden/>
              </w:rPr>
              <w:fldChar w:fldCharType="end"/>
            </w:r>
          </w:hyperlink>
        </w:p>
        <w:p w14:paraId="69798F18" w14:textId="77777777" w:rsidR="00B724C5" w:rsidRPr="001E2368" w:rsidRDefault="00B724C5" w:rsidP="00B724C5">
          <w:pPr>
            <w:rPr>
              <w:rFonts w:ascii="Times New Roman" w:hAnsi="Times New Roman" w:cs="Times New Roman"/>
              <w:sz w:val="20"/>
              <w:szCs w:val="20"/>
            </w:rPr>
          </w:pPr>
          <w:r w:rsidRPr="001E2368">
            <w:rPr>
              <w:rFonts w:ascii="Times New Roman" w:hAnsi="Times New Roman" w:cs="Times New Roman"/>
              <w:sz w:val="20"/>
              <w:szCs w:val="20"/>
            </w:rPr>
            <w:fldChar w:fldCharType="end"/>
          </w:r>
        </w:p>
      </w:sdtContent>
    </w:sdt>
    <w:p w14:paraId="77736FF8" w14:textId="77777777" w:rsidR="00B724C5" w:rsidRPr="001E2368" w:rsidRDefault="00B724C5" w:rsidP="00B724C5">
      <w:pPr>
        <w:rPr>
          <w:rFonts w:ascii="Times New Roman" w:hAnsi="Times New Roman" w:cs="Times New Roman"/>
          <w:b/>
          <w:sz w:val="20"/>
          <w:szCs w:val="20"/>
        </w:rPr>
      </w:pPr>
    </w:p>
    <w:p w14:paraId="229B7EA6" w14:textId="77777777" w:rsidR="00B724C5" w:rsidRDefault="00B724C5" w:rsidP="00B724C5">
      <w:pPr>
        <w:rPr>
          <w:rFonts w:ascii="Times New Roman" w:eastAsiaTheme="majorEastAsia" w:hAnsi="Times New Roman" w:cs="Times New Roman"/>
          <w:b/>
          <w:szCs w:val="32"/>
        </w:rPr>
      </w:pPr>
      <w:r>
        <w:rPr>
          <w:rFonts w:ascii="Times New Roman" w:eastAsiaTheme="majorEastAsia" w:hAnsi="Times New Roman" w:cs="Times New Roman"/>
          <w:b/>
          <w:szCs w:val="32"/>
        </w:rPr>
        <w:br w:type="page"/>
      </w:r>
    </w:p>
    <w:p w14:paraId="42565C07" w14:textId="77777777" w:rsidR="00B724C5" w:rsidRPr="007B0763" w:rsidRDefault="00B724C5" w:rsidP="00B724C5">
      <w:pPr>
        <w:pStyle w:val="Heading1"/>
        <w:spacing w:before="0" w:after="120"/>
        <w:rPr>
          <w:sz w:val="20"/>
          <w:szCs w:val="20"/>
          <w:u w:val="single"/>
        </w:rPr>
      </w:pPr>
      <w:bookmarkStart w:id="18" w:name="_Toc123674515"/>
      <w:r w:rsidRPr="007B0763">
        <w:rPr>
          <w:sz w:val="20"/>
          <w:szCs w:val="20"/>
          <w:u w:val="single"/>
        </w:rPr>
        <w:lastRenderedPageBreak/>
        <w:t>Supplementary Methods</w:t>
      </w:r>
      <w:bookmarkEnd w:id="18"/>
    </w:p>
    <w:p w14:paraId="06155B74" w14:textId="77777777" w:rsidR="00B724C5" w:rsidRPr="007B0763" w:rsidRDefault="00B724C5" w:rsidP="00B724C5">
      <w:pPr>
        <w:pStyle w:val="Heading2"/>
        <w:spacing w:before="0" w:after="120"/>
        <w:rPr>
          <w:rFonts w:ascii="Times New Roman" w:hAnsi="Times New Roman" w:cs="Times New Roman"/>
          <w:i/>
          <w:color w:val="auto"/>
          <w:sz w:val="20"/>
          <w:szCs w:val="20"/>
        </w:rPr>
      </w:pPr>
      <w:bookmarkStart w:id="19" w:name="_Toc110274177"/>
      <w:bookmarkStart w:id="20" w:name="_Toc123674516"/>
      <w:r w:rsidRPr="007B0763">
        <w:rPr>
          <w:rFonts w:ascii="Times New Roman" w:hAnsi="Times New Roman" w:cs="Times New Roman"/>
          <w:i/>
          <w:color w:val="auto"/>
          <w:sz w:val="20"/>
          <w:szCs w:val="20"/>
        </w:rPr>
        <w:t>Consensus Clustering (CC)</w:t>
      </w:r>
      <w:bookmarkEnd w:id="19"/>
      <w:bookmarkEnd w:id="20"/>
    </w:p>
    <w:p w14:paraId="7C621B9F" w14:textId="77777777" w:rsidR="00B724C5" w:rsidRPr="00B86CF5" w:rsidRDefault="00B724C5" w:rsidP="00B724C5">
      <w:pPr>
        <w:ind w:firstLine="720"/>
        <w:rPr>
          <w:rFonts w:ascii="Times New Roman" w:eastAsiaTheme="majorEastAsia" w:hAnsi="Times New Roman" w:cs="Times New Roman"/>
          <w:i/>
          <w:color w:val="2F5496" w:themeColor="accent1" w:themeShade="BF"/>
          <w:szCs w:val="26"/>
        </w:rPr>
      </w:pPr>
      <w:proofErr w:type="spellStart"/>
      <w:r w:rsidRPr="00B86CF5">
        <w:rPr>
          <w:rFonts w:ascii="Times New Roman" w:hAnsi="Times New Roman" w:cs="Times New Roman"/>
          <w:sz w:val="20"/>
        </w:rPr>
        <w:t>ConsensusClusterPlus</w:t>
      </w:r>
      <w:proofErr w:type="spellEnd"/>
      <w:r w:rsidRPr="00B86CF5">
        <w:rPr>
          <w:rFonts w:ascii="Times New Roman" w:hAnsi="Times New Roman" w:cs="Times New Roman"/>
          <w:sz w:val="20"/>
        </w:rPr>
        <w:t xml:space="preserve"> in R (version 3.4.1) was utilized to form subgroups of patients with similar baseline responses of </w:t>
      </w:r>
      <w:r>
        <w:rPr>
          <w:rFonts w:ascii="Times New Roman" w:hAnsi="Times New Roman" w:cs="Times New Roman"/>
          <w:sz w:val="20"/>
        </w:rPr>
        <w:t>pelvic</w:t>
      </w:r>
      <w:r w:rsidRPr="00B86CF5">
        <w:rPr>
          <w:rFonts w:ascii="Times New Roman" w:hAnsi="Times New Roman" w:cs="Times New Roman"/>
          <w:sz w:val="20"/>
        </w:rPr>
        <w:t xml:space="preserve"> pain, urgency, frequency and non-pelvic pain in the combined PPS/hydroxyzine, BCG and amitriptyline dataset.</w:t>
      </w:r>
      <w:r w:rsidRPr="00B86CF5">
        <w:rPr>
          <w:rFonts w:ascii="Times New Roman" w:hAnsi="Times New Roman" w:cs="Times New Roman"/>
          <w:sz w:val="20"/>
        </w:rPr>
        <w:fldChar w:fldCharType="begin">
          <w:fldData xml:space="preserve">PEVuZE5vdGU+PENpdGU+PEF1dGhvcj5XaWxrZXJzb248L0F1dGhvcj48WWVhcj4yMDEwPC9ZZWFy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</w:fldData>
        </w:fldChar>
      </w:r>
      <w:r w:rsidRPr="00B86CF5">
        <w:rPr>
          <w:rFonts w:ascii="Times New Roman" w:hAnsi="Times New Roman" w:cs="Times New Roman"/>
          <w:sz w:val="20"/>
        </w:rPr>
        <w:instrText xml:space="preserve"> ADDIN EN.CITE </w:instrText>
      </w:r>
      <w:r w:rsidRPr="00B86CF5">
        <w:rPr>
          <w:rFonts w:ascii="Times New Roman" w:hAnsi="Times New Roman" w:cs="Times New Roman"/>
          <w:sz w:val="20"/>
        </w:rPr>
        <w:fldChar w:fldCharType="begin">
          <w:fldData xml:space="preserve">PEVuZE5vdGU+PENpdGU+PEF1dGhvcj5XaWxrZXJzb248L0F1dGhvcj48WWVhcj4yMDEwPC9ZZWFy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</w:fldData>
        </w:fldChar>
      </w:r>
      <w:r w:rsidRPr="00B86CF5">
        <w:rPr>
          <w:rFonts w:ascii="Times New Roman" w:hAnsi="Times New Roman" w:cs="Times New Roman"/>
          <w:sz w:val="20"/>
        </w:rPr>
        <w:instrText xml:space="preserve"> ADDIN EN.CITE.DATA </w:instrText>
      </w:r>
      <w:r w:rsidRPr="00B86CF5">
        <w:rPr>
          <w:rFonts w:ascii="Times New Roman" w:hAnsi="Times New Roman" w:cs="Times New Roman"/>
          <w:sz w:val="20"/>
        </w:rPr>
      </w:r>
      <w:r w:rsidRPr="00B86CF5">
        <w:rPr>
          <w:rFonts w:ascii="Times New Roman" w:hAnsi="Times New Roman" w:cs="Times New Roman"/>
          <w:sz w:val="20"/>
        </w:rPr>
        <w:fldChar w:fldCharType="end"/>
      </w:r>
      <w:r w:rsidRPr="00B86CF5">
        <w:rPr>
          <w:rFonts w:ascii="Times New Roman" w:hAnsi="Times New Roman" w:cs="Times New Roman"/>
          <w:sz w:val="20"/>
        </w:rPr>
      </w:r>
      <w:r w:rsidRPr="00B86CF5">
        <w:rPr>
          <w:rFonts w:ascii="Times New Roman" w:hAnsi="Times New Roman" w:cs="Times New Roman"/>
          <w:sz w:val="20"/>
        </w:rPr>
        <w:fldChar w:fldCharType="separate"/>
      </w:r>
      <w:r w:rsidRPr="00B86CF5">
        <w:rPr>
          <w:rFonts w:ascii="Times New Roman" w:hAnsi="Times New Roman" w:cs="Times New Roman"/>
          <w:noProof/>
          <w:sz w:val="20"/>
          <w:vertAlign w:val="superscript"/>
        </w:rPr>
        <w:t>1,2</w:t>
      </w:r>
      <w:r w:rsidRPr="00B86CF5">
        <w:rPr>
          <w:rFonts w:ascii="Times New Roman" w:hAnsi="Times New Roman" w:cs="Times New Roman"/>
          <w:sz w:val="20"/>
        </w:rPr>
        <w:fldChar w:fldCharType="end"/>
      </w:r>
      <w:r w:rsidRPr="00B86CF5">
        <w:rPr>
          <w:rFonts w:ascii="Times New Roman" w:hAnsi="Times New Roman" w:cs="Times New Roman"/>
          <w:sz w:val="20"/>
        </w:rPr>
        <w:t xml:space="preserve"> Twenty-one baseline symptoms were included as inputs in the consensus clustering (CC) including four from the Interstitial Cystitis Problem Index (ICPI) survey</w:t>
      </w:r>
      <w:r w:rsidRPr="00B86CF5">
        <w:rPr>
          <w:rFonts w:ascii="Times New Roman" w:hAnsi="Times New Roman" w:cs="Times New Roman"/>
          <w:sz w:val="20"/>
        </w:rPr>
        <w:fldChar w:fldCharType="begin"/>
      </w:r>
      <w:r w:rsidRPr="00B86CF5">
        <w:rPr>
          <w:rFonts w:ascii="Times New Roman" w:hAnsi="Times New Roman" w:cs="Times New Roman"/>
          <w:sz w:val="20"/>
        </w:rPr>
        <w:instrText xml:space="preserve"> ADDIN EN.CITE &lt;EndNote&gt;&lt;Cite&gt;&lt;Author&gt;O&amp;apos;Leary&lt;/Author&gt;&lt;Year&gt;1997&lt;/Year&gt;&lt;RecNum&gt;108&lt;/RecNum&gt;&lt;DisplayText&gt;&lt;style face="superscript"&gt;3&lt;/style&gt;&lt;/DisplayText&gt;&lt;record&gt;&lt;rec-number&gt;108&lt;/rec-number&gt;&lt;foreign-keys&gt;&lt;key app="EN" db-id="r0szfvss40rfr2e5sa1v5xv12zx0a0sspzet" timestamp="1659501370"&gt;108&lt;/key&gt;&lt;/foreign-keys&gt;&lt;ref-type name="Journal Article"&gt;17&lt;/ref-type&gt;&lt;contributors&gt;&lt;authors&gt;&lt;author&gt;O&amp;apos;Leary, Michael P&lt;/author&gt;&lt;author&gt;Sant, Grannum R&lt;/author&gt;&lt;author&gt;Fowler Jr, Floyd J&lt;/author&gt;&lt;author&gt;Whitmore, Kristine E&lt;/author&gt;&lt;author&gt;Spolarich-Kroll, Judy&lt;/author&gt;&lt;/authors&gt;&lt;/contributors&gt;&lt;titles&gt;&lt;title&gt;The interstitial cystitis symptom index and problem index&lt;/title&gt;&lt;secondary-title&gt;Urology&lt;/secondary-title&gt;&lt;/titles&gt;&lt;periodical&gt;&lt;full-title&gt;Urology&lt;/full-title&gt;&lt;/periodical&gt;&lt;pages&gt;58-63&lt;/pages&gt;&lt;volume&gt;49&lt;/volume&gt;&lt;number&gt;5&lt;/number&gt;&lt;dates&gt;&lt;year&gt;1997&lt;/year&gt;&lt;/dates&gt;&lt;isbn&gt;0090-4295&lt;/isbn&gt;&lt;urls&gt;&lt;/urls&gt;&lt;/record&gt;&lt;/Cite&gt;&lt;/EndNote&gt;</w:instrText>
      </w:r>
      <w:r w:rsidRPr="00B86CF5">
        <w:rPr>
          <w:rFonts w:ascii="Times New Roman" w:hAnsi="Times New Roman" w:cs="Times New Roman"/>
          <w:sz w:val="20"/>
        </w:rPr>
        <w:fldChar w:fldCharType="separate"/>
      </w:r>
      <w:r w:rsidRPr="00B86CF5">
        <w:rPr>
          <w:rFonts w:ascii="Times New Roman" w:hAnsi="Times New Roman" w:cs="Times New Roman"/>
          <w:noProof/>
          <w:sz w:val="20"/>
          <w:vertAlign w:val="superscript"/>
        </w:rPr>
        <w:t>3</w:t>
      </w:r>
      <w:r w:rsidRPr="00B86CF5">
        <w:rPr>
          <w:rFonts w:ascii="Times New Roman" w:hAnsi="Times New Roman" w:cs="Times New Roman"/>
          <w:sz w:val="20"/>
        </w:rPr>
        <w:fldChar w:fldCharType="end"/>
      </w:r>
      <w:r w:rsidRPr="00B86CF5">
        <w:rPr>
          <w:rFonts w:ascii="Times New Roman" w:hAnsi="Times New Roman" w:cs="Times New Roman"/>
          <w:sz w:val="20"/>
        </w:rPr>
        <w:t>, four from the Interstitial Cystitis Symptom Index (ICSI) survey</w:t>
      </w:r>
      <w:r w:rsidRPr="00B86CF5">
        <w:rPr>
          <w:rFonts w:ascii="Times New Roman" w:hAnsi="Times New Roman" w:cs="Times New Roman"/>
          <w:sz w:val="20"/>
        </w:rPr>
        <w:fldChar w:fldCharType="begin"/>
      </w:r>
      <w:r w:rsidRPr="00B86CF5">
        <w:rPr>
          <w:rFonts w:ascii="Times New Roman" w:hAnsi="Times New Roman" w:cs="Times New Roman"/>
          <w:sz w:val="20"/>
        </w:rPr>
        <w:instrText xml:space="preserve"> ADDIN EN.CITE &lt;EndNote&gt;&lt;Cite&gt;&lt;Author&gt;O&amp;apos;Leary&lt;/Author&gt;&lt;Year&gt;1997&lt;/Year&gt;&lt;RecNum&gt;108&lt;/RecNum&gt;&lt;DisplayText&gt;&lt;style face="superscript"&gt;3&lt;/style&gt;&lt;/DisplayText&gt;&lt;record&gt;&lt;rec-number&gt;108&lt;/rec-number&gt;&lt;foreign-keys&gt;&lt;key app="EN" db-id="r0szfvss40rfr2e5sa1v5xv12zx0a0sspzet" timestamp="1659501370"&gt;108&lt;/key&gt;&lt;/foreign-keys&gt;&lt;ref-type name="Journal Article"&gt;17&lt;/ref-type&gt;&lt;contributors&gt;&lt;authors&gt;&lt;author&gt;O&amp;apos;Leary, Michael P&lt;/author&gt;&lt;author&gt;Sant, Grannum R&lt;/author&gt;&lt;author&gt;Fowler Jr, Floyd J&lt;/author&gt;&lt;author&gt;Whitmore, Kristine E&lt;/author&gt;&lt;author&gt;Spolarich-Kroll, Judy&lt;/author&gt;&lt;/authors&gt;&lt;/contributors&gt;&lt;titles&gt;&lt;title&gt;The interstitial cystitis symptom index and problem index&lt;/title&gt;&lt;secondary-title&gt;Urology&lt;/secondary-title&gt;&lt;/titles&gt;&lt;periodical&gt;&lt;full-title&gt;Urology&lt;/full-title&gt;&lt;/periodical&gt;&lt;pages&gt;58-63&lt;/pages&gt;&lt;volume&gt;49&lt;/volume&gt;&lt;number&gt;5&lt;/number&gt;&lt;dates&gt;&lt;year&gt;1997&lt;/year&gt;&lt;/dates&gt;&lt;isbn&gt;0090-4295&lt;/isbn&gt;&lt;urls&gt;&lt;/urls&gt;&lt;/record&gt;&lt;/Cite&gt;&lt;/EndNote&gt;</w:instrText>
      </w:r>
      <w:r w:rsidRPr="00B86CF5">
        <w:rPr>
          <w:rFonts w:ascii="Times New Roman" w:hAnsi="Times New Roman" w:cs="Times New Roman"/>
          <w:sz w:val="20"/>
        </w:rPr>
        <w:fldChar w:fldCharType="separate"/>
      </w:r>
      <w:r w:rsidRPr="00B86CF5">
        <w:rPr>
          <w:rFonts w:ascii="Times New Roman" w:hAnsi="Times New Roman" w:cs="Times New Roman"/>
          <w:noProof/>
          <w:sz w:val="20"/>
          <w:vertAlign w:val="superscript"/>
        </w:rPr>
        <w:t>3</w:t>
      </w:r>
      <w:r w:rsidRPr="00B86CF5">
        <w:rPr>
          <w:rFonts w:ascii="Times New Roman" w:hAnsi="Times New Roman" w:cs="Times New Roman"/>
          <w:sz w:val="20"/>
        </w:rPr>
        <w:fldChar w:fldCharType="end"/>
      </w:r>
      <w:r w:rsidRPr="00B86CF5">
        <w:rPr>
          <w:rFonts w:ascii="Times New Roman" w:hAnsi="Times New Roman" w:cs="Times New Roman"/>
          <w:sz w:val="20"/>
        </w:rPr>
        <w:t>, eight from the Wisconsin Symptom Survey (WSS) indicating severity of pelvic pain and urinary symptoms, and five for the WSS indicating severity of non-pelvic pain symptoms.</w:t>
      </w:r>
      <w:r w:rsidRPr="00B86CF5">
        <w:rPr>
          <w:rFonts w:ascii="Times New Roman" w:hAnsi="Times New Roman" w:cs="Times New Roman"/>
          <w:sz w:val="20"/>
        </w:rPr>
        <w:fldChar w:fldCharType="begin"/>
      </w:r>
      <w:r w:rsidRPr="00B86CF5">
        <w:rPr>
          <w:rFonts w:ascii="Times New Roman" w:hAnsi="Times New Roman" w:cs="Times New Roman"/>
          <w:sz w:val="20"/>
        </w:rPr>
        <w:instrText xml:space="preserve"> ADDIN EN.CITE &lt;EndNote&gt;&lt;Cite&gt;&lt;Author&gt;Goin&lt;/Author&gt;&lt;Year&gt;1998&lt;/Year&gt;&lt;RecNum&gt;16&lt;/RecNum&gt;&lt;DisplayText&gt;&lt;style face="superscript"&gt;4&lt;/style&gt;&lt;/DisplayText&gt;&lt;record&gt;&lt;rec-number&gt;16&lt;/rec-number&gt;&lt;foreign-keys&gt;&lt;key app="EN" db-id="r0szfvss40rfr2e5sa1v5xv12zx0a0sspzet" timestamp="1618000551"&gt;16&lt;/key&gt;&lt;/foreign-keys&gt;&lt;ref-type name="Journal Article"&gt;17&lt;/ref-type&gt;&lt;contributors&gt;&lt;authors&gt;&lt;author&gt;Goin, J. E.&lt;/author&gt;&lt;author&gt;Olaleye, D.&lt;/author&gt;&lt;author&gt;Peters, K. M.&lt;/author&gt;&lt;author&gt;Steinert, B.&lt;/author&gt;&lt;author&gt;Habicht, K.&lt;/author&gt;&lt;author&gt;Wynant, G.&lt;/author&gt;&lt;/authors&gt;&lt;translated-authors&gt;&lt;author&gt;J. Urol&lt;/author&gt;&lt;/translated-authors&gt;&lt;/contributors&gt;&lt;auth-address&gt;DataMedix Corp, Wayne, PA 19067 USA&amp;#xD;William Beaumont Hosp, Dept Urol, Royal Oak, MI 48072 USA&amp;#xD;PerImmune Inc, Rockville, MD USA&lt;/auth-address&gt;&lt;titles&gt;&lt;title&gt;Psychometric analysis of the university of Wisconsin interstitial cystitis scale: Implications for use in randomized clinical trials&lt;/title&gt;&lt;secondary-title&gt;Journal of Urology&lt;/secondary-title&gt;&lt;alt-title&gt;J Urol&lt;/alt-title&gt;&lt;/titles&gt;&lt;periodical&gt;&lt;full-title&gt;Journal of Urology&lt;/full-title&gt;&lt;abbr-1&gt;J Urol&lt;/abbr-1&gt;&lt;/periodical&gt;&lt;alt-periodical&gt;&lt;full-title&gt;Journal of Urology&lt;/full-title&gt;&lt;abbr-1&gt;J Urol&lt;/abbr-1&gt;&lt;/alt-periodical&gt;&lt;pages&gt;1085-1090&lt;/pages&gt;&lt;volume&gt;159&lt;/volume&gt;&lt;number&gt;3&lt;/number&gt;&lt;section&gt;1085&lt;/section&gt;&lt;keywords&gt;&lt;keyword&gt;bladder disease&lt;/keyword&gt;&lt;keyword&gt;cystitis&lt;/keyword&gt;&lt;keyword&gt;psychometric analysis&lt;/keyword&gt;&lt;keyword&gt;bacillus calmette-guerin (bcg)&lt;/keyword&gt;&lt;/keywords&gt;&lt;dates&gt;&lt;year&gt;1998&lt;/year&gt;&lt;pub-dates&gt;&lt;date&gt;Mar&lt;/date&gt;&lt;/pub-dates&gt;&lt;/dates&gt;&lt;isbn&gt;0022-5347&lt;/isbn&gt;&lt;accession-num&gt;WOS:000071913700151&lt;/accession-num&gt;&lt;urls&gt;&lt;related-urls&gt;&lt;url&gt;&lt;style face="underline" font="default" size="100%"&gt;&amp;lt;Go to ISI&amp;gt;://WOS:000071913700151&lt;/style&gt;&lt;/url&gt;&lt;/related-urls&gt;&lt;/urls&gt;&lt;electronic-resource-num&gt;Doi 10.1016/S0022-5347(01)63840-0&lt;/electronic-resource-num&gt;&lt;remote-database-provider&gt;1998 Mar&lt;/remote-database-provider&gt;&lt;research-notes&gt;0 (BCG Vaccine)&lt;/research-notes&gt;&lt;language&gt;English&lt;/language&gt;&lt;/record&gt;&lt;/Cite&gt;&lt;/EndNote&gt;</w:instrText>
      </w:r>
      <w:r w:rsidRPr="00B86CF5">
        <w:rPr>
          <w:rFonts w:ascii="Times New Roman" w:hAnsi="Times New Roman" w:cs="Times New Roman"/>
          <w:sz w:val="20"/>
        </w:rPr>
        <w:fldChar w:fldCharType="separate"/>
      </w:r>
      <w:r w:rsidRPr="00B86CF5">
        <w:rPr>
          <w:rFonts w:ascii="Times New Roman" w:hAnsi="Times New Roman" w:cs="Times New Roman"/>
          <w:noProof/>
          <w:sz w:val="20"/>
          <w:vertAlign w:val="superscript"/>
        </w:rPr>
        <w:t>4</w:t>
      </w:r>
      <w:r w:rsidRPr="00B86CF5">
        <w:rPr>
          <w:rFonts w:ascii="Times New Roman" w:hAnsi="Times New Roman" w:cs="Times New Roman"/>
          <w:sz w:val="20"/>
        </w:rPr>
        <w:fldChar w:fldCharType="end"/>
      </w:r>
      <w:r w:rsidRPr="00B86CF5">
        <w:rPr>
          <w:rFonts w:ascii="Times New Roman" w:hAnsi="Times New Roman" w:cs="Times New Roman"/>
          <w:sz w:val="20"/>
        </w:rPr>
        <w:t xml:space="preserve"> Each of the 21 items were scaled between 0 and 1 by dividing by the maximum value on the scale. One thousand replications of k-means clustering with 80% patient resampling was utilized in the CC algorithm given the scaled data from N=649 patients. The algorithm was run from k=2 through k=10 clusters to identify the “optimal” number of clusters, K, in the dataset. To identify K, we utilized the proportion of ambiguously clustered pairs (PAC) and mean consensus scores to make a determination.</w:t>
      </w:r>
      <w:r w:rsidRPr="00B86CF5">
        <w:rPr>
          <w:rFonts w:ascii="Times New Roman" w:hAnsi="Times New Roman" w:cs="Times New Roman"/>
          <w:sz w:val="20"/>
        </w:rPr>
        <w:fldChar w:fldCharType="begin">
          <w:fldData xml:space="preserve">PEVuZE5vdGU+PENpdGU+PEF1dGhvcj5TZW5iYWJhb2dsdTwvQXV0aG9yPjxZZWFyPjIwMTQ8L1ll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</w:fldData>
        </w:fldChar>
      </w:r>
      <w:r w:rsidRPr="00B86CF5">
        <w:rPr>
          <w:rFonts w:ascii="Times New Roman" w:hAnsi="Times New Roman" w:cs="Times New Roman"/>
          <w:sz w:val="20"/>
        </w:rPr>
        <w:instrText xml:space="preserve"> ADDIN EN.CITE </w:instrText>
      </w:r>
      <w:r w:rsidRPr="00B86CF5">
        <w:rPr>
          <w:rFonts w:ascii="Times New Roman" w:hAnsi="Times New Roman" w:cs="Times New Roman"/>
          <w:sz w:val="20"/>
        </w:rPr>
        <w:fldChar w:fldCharType="begin">
          <w:fldData xml:space="preserve">PEVuZE5vdGU+PENpdGU+PEF1dGhvcj5TZW5iYWJhb2dsdTwvQXV0aG9yPjxZZWFyPjIwMTQ8L1ll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</w:fldData>
        </w:fldChar>
      </w:r>
      <w:r w:rsidRPr="00B86CF5">
        <w:rPr>
          <w:rFonts w:ascii="Times New Roman" w:hAnsi="Times New Roman" w:cs="Times New Roman"/>
          <w:sz w:val="20"/>
        </w:rPr>
        <w:instrText xml:space="preserve"> ADDIN EN.CITE.DATA </w:instrText>
      </w:r>
      <w:r w:rsidRPr="00B86CF5">
        <w:rPr>
          <w:rFonts w:ascii="Times New Roman" w:hAnsi="Times New Roman" w:cs="Times New Roman"/>
          <w:sz w:val="20"/>
        </w:rPr>
      </w:r>
      <w:r w:rsidRPr="00B86CF5">
        <w:rPr>
          <w:rFonts w:ascii="Times New Roman" w:hAnsi="Times New Roman" w:cs="Times New Roman"/>
          <w:sz w:val="20"/>
        </w:rPr>
        <w:fldChar w:fldCharType="end"/>
      </w:r>
      <w:r w:rsidRPr="00B86CF5">
        <w:rPr>
          <w:rFonts w:ascii="Times New Roman" w:hAnsi="Times New Roman" w:cs="Times New Roman"/>
          <w:sz w:val="20"/>
        </w:rPr>
      </w:r>
      <w:r w:rsidRPr="00B86CF5">
        <w:rPr>
          <w:rFonts w:ascii="Times New Roman" w:hAnsi="Times New Roman" w:cs="Times New Roman"/>
          <w:sz w:val="20"/>
        </w:rPr>
        <w:fldChar w:fldCharType="separate"/>
      </w:r>
      <w:r w:rsidRPr="00B86CF5">
        <w:rPr>
          <w:rFonts w:ascii="Times New Roman" w:hAnsi="Times New Roman" w:cs="Times New Roman"/>
          <w:noProof/>
          <w:sz w:val="20"/>
          <w:vertAlign w:val="superscript"/>
        </w:rPr>
        <w:t>1,2,5</w:t>
      </w:r>
      <w:r w:rsidRPr="00B86CF5">
        <w:rPr>
          <w:rFonts w:ascii="Times New Roman" w:hAnsi="Times New Roman" w:cs="Times New Roman"/>
          <w:sz w:val="20"/>
        </w:rPr>
        <w:fldChar w:fldCharType="end"/>
      </w:r>
      <w:r w:rsidRPr="00B86CF5">
        <w:rPr>
          <w:rFonts w:ascii="Times New Roman" w:hAnsi="Times New Roman" w:cs="Times New Roman"/>
          <w:sz w:val="20"/>
        </w:rPr>
        <w:t xml:space="preserve"> The k with the lowest PAC and highest mean consensus scores within cluster was chosen to be optimal.  </w:t>
      </w:r>
    </w:p>
    <w:p w14:paraId="5ACAA297" w14:textId="77777777" w:rsidR="00B724C5" w:rsidRDefault="00B724C5" w:rsidP="00B724C5">
      <w:pPr>
        <w:ind w:firstLine="720"/>
        <w:rPr>
          <w:rFonts w:ascii="Times New Roman" w:hAnsi="Times New Roman" w:cs="Times New Roman"/>
          <w:sz w:val="20"/>
        </w:rPr>
      </w:pPr>
      <w:r w:rsidRPr="00B86CF5">
        <w:rPr>
          <w:rFonts w:ascii="Times New Roman" w:hAnsi="Times New Roman" w:cs="Times New Roman"/>
          <w:sz w:val="20"/>
        </w:rPr>
        <w:t xml:space="preserve">After the optimal K was identified, the mean of each of the scaled 21 items was calculated within cluster and displayed in a heatmap. The cells of the heatmap represents the average value of the scaled symptom within cluster where blue cells have a value close to 0 and red cells close to 1. The heatmap.2 function from the </w:t>
      </w:r>
      <w:proofErr w:type="spellStart"/>
      <w:r w:rsidRPr="00B86CF5">
        <w:rPr>
          <w:rFonts w:ascii="Times New Roman" w:hAnsi="Times New Roman" w:cs="Times New Roman"/>
          <w:sz w:val="20"/>
        </w:rPr>
        <w:t>gplots</w:t>
      </w:r>
      <w:proofErr w:type="spellEnd"/>
      <w:r w:rsidRPr="00B86CF5">
        <w:rPr>
          <w:rFonts w:ascii="Times New Roman" w:hAnsi="Times New Roman" w:cs="Times New Roman"/>
          <w:sz w:val="20"/>
        </w:rPr>
        <w:t xml:space="preserve"> package in R was used to form the heatmap.</w:t>
      </w:r>
      <w:r w:rsidRPr="00B86CF5">
        <w:rPr>
          <w:rFonts w:ascii="Times New Roman" w:hAnsi="Times New Roman" w:cs="Times New Roman"/>
          <w:sz w:val="20"/>
        </w:rPr>
        <w:fldChar w:fldCharType="begin"/>
      </w:r>
      <w:r w:rsidRPr="00B86CF5">
        <w:rPr>
          <w:rFonts w:ascii="Times New Roman" w:hAnsi="Times New Roman" w:cs="Times New Roman"/>
          <w:sz w:val="20"/>
        </w:rPr>
        <w:instrText xml:space="preserve"> ADDIN EN.CITE &lt;EndNote&gt;&lt;Cite&gt;&lt;Author&gt;Warnes&lt;/Author&gt;&lt;Year&gt;2009&lt;/Year&gt;&lt;RecNum&gt;109&lt;/RecNum&gt;&lt;DisplayText&gt;&lt;style face="superscript"&gt;6&lt;/style&gt;&lt;/DisplayText&gt;&lt;record&gt;&lt;rec-number&gt;109&lt;/rec-number&gt;&lt;foreign-keys&gt;&lt;key app="EN" db-id="r0szfvss40rfr2e5sa1v5xv12zx0a0sspzet" timestamp="1659501690"&gt;109&lt;/key&gt;&lt;/foreign-keys&gt;&lt;ref-type name="Journal Article"&gt;17&lt;/ref-type&gt;&lt;contributors&gt;&lt;authors&gt;&lt;author&gt;Warnes, Gregory R&lt;/author&gt;&lt;author&gt;Bolker, Ben&lt;/author&gt;&lt;author&gt;Bonebakker, Lodewijk&lt;/author&gt;&lt;author&gt;Gentleman, Robert&lt;/author&gt;&lt;author&gt;Huber, Wolfgang&lt;/author&gt;&lt;author&gt;Liaw, Andy&lt;/author&gt;&lt;author&gt;Lumley, Thomas&lt;/author&gt;&lt;author&gt;Maechler, Martin&lt;/author&gt;&lt;author&gt;Magnusson, Arni&lt;/author&gt;&lt;author&gt;Moeller, Steffen&lt;/author&gt;&lt;/authors&gt;&lt;/contributors&gt;&lt;titles&gt;&lt;title&gt;gplots: Various R programming tools for plotting data&lt;/title&gt;&lt;secondary-title&gt;R package version&lt;/secondary-title&gt;&lt;/titles&gt;&lt;periodical&gt;&lt;full-title&gt;R package version&lt;/full-title&gt;&lt;/periodical&gt;&lt;pages&gt;1&lt;/pages&gt;&lt;volume&gt;2&lt;/volume&gt;&lt;number&gt;4&lt;/number&gt;&lt;dates&gt;&lt;year&gt;2009&lt;/year&gt;&lt;/dates&gt;&lt;urls&gt;&lt;/urls&gt;&lt;/record&gt;&lt;/Cite&gt;&lt;/EndNote&gt;</w:instrText>
      </w:r>
      <w:r w:rsidRPr="00B86CF5">
        <w:rPr>
          <w:rFonts w:ascii="Times New Roman" w:hAnsi="Times New Roman" w:cs="Times New Roman"/>
          <w:sz w:val="20"/>
        </w:rPr>
        <w:fldChar w:fldCharType="separate"/>
      </w:r>
      <w:r w:rsidRPr="00B86CF5">
        <w:rPr>
          <w:rFonts w:ascii="Times New Roman" w:hAnsi="Times New Roman" w:cs="Times New Roman"/>
          <w:noProof/>
          <w:sz w:val="20"/>
          <w:vertAlign w:val="superscript"/>
        </w:rPr>
        <w:t>6</w:t>
      </w:r>
      <w:r w:rsidRPr="00B86CF5">
        <w:rPr>
          <w:rFonts w:ascii="Times New Roman" w:hAnsi="Times New Roman" w:cs="Times New Roman"/>
          <w:sz w:val="20"/>
        </w:rPr>
        <w:fldChar w:fldCharType="end"/>
      </w:r>
      <w:r>
        <w:rPr>
          <w:rFonts w:ascii="Times New Roman" w:hAnsi="Times New Roman" w:cs="Times New Roman"/>
          <w:sz w:val="20"/>
        </w:rPr>
        <w:t xml:space="preserve">  A summary of CC results are</w:t>
      </w:r>
      <w:r w:rsidRPr="00B86CF5">
        <w:rPr>
          <w:rFonts w:ascii="Times New Roman" w:hAnsi="Times New Roman" w:cs="Times New Roman"/>
          <w:sz w:val="20"/>
        </w:rPr>
        <w:t xml:space="preserve"> presented in</w:t>
      </w:r>
      <w:r>
        <w:rPr>
          <w:rFonts w:ascii="Times New Roman" w:hAnsi="Times New Roman" w:cs="Times New Roman"/>
          <w:sz w:val="20"/>
        </w:rPr>
        <w:t xml:space="preserve"> Extended Figures 1-2</w:t>
      </w:r>
      <w:r w:rsidRPr="00B86CF5">
        <w:rPr>
          <w:rFonts w:ascii="Times New Roman" w:hAnsi="Times New Roman" w:cs="Times New Roman"/>
          <w:sz w:val="20"/>
        </w:rPr>
        <w:t>.</w:t>
      </w:r>
    </w:p>
    <w:p w14:paraId="2ACC5033" w14:textId="77777777" w:rsidR="00B724C5" w:rsidRPr="00B86CF5" w:rsidRDefault="00B724C5" w:rsidP="00B724C5">
      <w:pPr>
        <w:ind w:firstLine="720"/>
        <w:rPr>
          <w:rFonts w:ascii="Times New Roman" w:hAnsi="Times New Roman" w:cs="Times New Roman"/>
          <w:sz w:val="20"/>
        </w:rPr>
      </w:pPr>
    </w:p>
    <w:p w14:paraId="7B2D8A18" w14:textId="77777777" w:rsidR="00B724C5" w:rsidRPr="007B0763" w:rsidRDefault="00B724C5" w:rsidP="00B724C5">
      <w:pPr>
        <w:pStyle w:val="Heading2"/>
        <w:spacing w:before="0" w:after="120"/>
        <w:rPr>
          <w:rFonts w:ascii="Times New Roman" w:hAnsi="Times New Roman" w:cs="Times New Roman"/>
          <w:i/>
          <w:color w:val="auto"/>
          <w:sz w:val="20"/>
          <w:szCs w:val="20"/>
        </w:rPr>
      </w:pPr>
      <w:bookmarkStart w:id="21" w:name="_Toc110274178"/>
      <w:bookmarkStart w:id="22" w:name="_Toc123674517"/>
      <w:r w:rsidRPr="007B0763">
        <w:rPr>
          <w:rFonts w:ascii="Times New Roman" w:hAnsi="Times New Roman" w:cs="Times New Roman"/>
          <w:i/>
          <w:color w:val="auto"/>
          <w:sz w:val="20"/>
          <w:szCs w:val="20"/>
        </w:rPr>
        <w:t xml:space="preserve">Determining the High </w:t>
      </w:r>
      <w:proofErr w:type="spellStart"/>
      <w:r w:rsidRPr="007B0763">
        <w:rPr>
          <w:rFonts w:ascii="Times New Roman" w:hAnsi="Times New Roman" w:cs="Times New Roman"/>
          <w:i/>
          <w:color w:val="auto"/>
          <w:sz w:val="20"/>
          <w:szCs w:val="20"/>
        </w:rPr>
        <w:t>Widespreadness</w:t>
      </w:r>
      <w:proofErr w:type="spellEnd"/>
      <w:r w:rsidRPr="007B0763">
        <w:rPr>
          <w:rFonts w:ascii="Times New Roman" w:hAnsi="Times New Roman" w:cs="Times New Roman"/>
          <w:i/>
          <w:color w:val="auto"/>
          <w:sz w:val="20"/>
          <w:szCs w:val="20"/>
        </w:rPr>
        <w:t xml:space="preserve"> of Pain Subgroup Criteria</w:t>
      </w:r>
      <w:bookmarkEnd w:id="21"/>
      <w:bookmarkEnd w:id="22"/>
    </w:p>
    <w:p w14:paraId="1D17A532" w14:textId="77777777" w:rsidR="00B724C5" w:rsidRPr="004B7E92" w:rsidRDefault="00B724C5" w:rsidP="00B724C5">
      <w:pPr>
        <w:spacing w:line="276" w:lineRule="auto"/>
        <w:ind w:firstLine="720"/>
        <w:rPr>
          <w:rFonts w:ascii="Times New Roman" w:hAnsi="Times New Roman" w:cs="Times New Roman"/>
          <w:sz w:val="20"/>
        </w:rPr>
      </w:pPr>
      <w:r w:rsidRPr="004B7E92">
        <w:rPr>
          <w:rFonts w:ascii="Times New Roman" w:hAnsi="Times New Roman" w:cs="Times New Roman"/>
          <w:sz w:val="20"/>
        </w:rPr>
        <w:t xml:space="preserve">Since clustering results are sample dependent, the optimal number of clusters K, and/or the severity of symptoms within clusters will vary for new RCTs. Thus, a highly reliable classification rule will be needed to guide baseline stratification into high/low pain </w:t>
      </w:r>
      <w:proofErr w:type="spellStart"/>
      <w:r w:rsidRPr="004B7E92">
        <w:rPr>
          <w:rFonts w:ascii="Times New Roman" w:hAnsi="Times New Roman" w:cs="Times New Roman"/>
          <w:sz w:val="20"/>
        </w:rPr>
        <w:t>widespreadness</w:t>
      </w:r>
      <w:proofErr w:type="spellEnd"/>
      <w:r w:rsidRPr="004B7E92">
        <w:rPr>
          <w:rFonts w:ascii="Times New Roman" w:hAnsi="Times New Roman" w:cs="Times New Roman"/>
          <w:sz w:val="20"/>
        </w:rPr>
        <w:t xml:space="preserve"> subgroups in advance of baseline data collection for new RCT studies.  The CC results obtained from the harmonized baseline dataset (across 3 RCTs) resulted in K=2 clusters (with high mean consensus for both clusters), where Cluster 1 patients were indicative of low pain </w:t>
      </w:r>
      <w:proofErr w:type="spellStart"/>
      <w:r w:rsidRPr="004B7E92">
        <w:rPr>
          <w:rFonts w:ascii="Times New Roman" w:hAnsi="Times New Roman" w:cs="Times New Roman"/>
          <w:sz w:val="20"/>
        </w:rPr>
        <w:t>widespreadness</w:t>
      </w:r>
      <w:proofErr w:type="spellEnd"/>
      <w:r w:rsidRPr="004B7E92">
        <w:rPr>
          <w:rFonts w:ascii="Times New Roman" w:hAnsi="Times New Roman" w:cs="Times New Roman"/>
          <w:sz w:val="20"/>
        </w:rPr>
        <w:t xml:space="preserve">, as the five non pelvic WSS severity was lower, and Cluster 2 of high pain </w:t>
      </w:r>
      <w:proofErr w:type="spellStart"/>
      <w:r w:rsidRPr="004B7E92">
        <w:rPr>
          <w:rFonts w:ascii="Times New Roman" w:hAnsi="Times New Roman" w:cs="Times New Roman"/>
          <w:sz w:val="20"/>
        </w:rPr>
        <w:t>widespreadness</w:t>
      </w:r>
      <w:proofErr w:type="spellEnd"/>
      <w:r w:rsidRPr="004B7E92">
        <w:rPr>
          <w:rFonts w:ascii="Times New Roman" w:hAnsi="Times New Roman" w:cs="Times New Roman"/>
          <w:sz w:val="20"/>
        </w:rPr>
        <w:t>, as the five non-pelvic WSS severity was higher (</w:t>
      </w:r>
      <w:proofErr w:type="spellStart"/>
      <w:r>
        <w:rPr>
          <w:rFonts w:ascii="Times New Roman" w:hAnsi="Times New Roman" w:cs="Times New Roman"/>
          <w:sz w:val="20"/>
        </w:rPr>
        <w:t>eFigures</w:t>
      </w:r>
      <w:proofErr w:type="spellEnd"/>
      <w:r>
        <w:rPr>
          <w:rFonts w:ascii="Times New Roman" w:hAnsi="Times New Roman" w:cs="Times New Roman"/>
          <w:sz w:val="20"/>
        </w:rPr>
        <w:t xml:space="preserve"> 1-2</w:t>
      </w:r>
      <w:r w:rsidRPr="004B7E92">
        <w:rPr>
          <w:rFonts w:ascii="Times New Roman" w:hAnsi="Times New Roman" w:cs="Times New Roman"/>
          <w:sz w:val="20"/>
        </w:rPr>
        <w:t>).</w:t>
      </w:r>
    </w:p>
    <w:p w14:paraId="2F2926FD" w14:textId="77777777" w:rsidR="00B724C5" w:rsidRPr="004B7E92" w:rsidRDefault="00B724C5" w:rsidP="00B724C5">
      <w:pPr>
        <w:spacing w:line="276" w:lineRule="auto"/>
        <w:ind w:firstLine="720"/>
        <w:rPr>
          <w:rFonts w:ascii="Times New Roman" w:hAnsi="Times New Roman" w:cs="Times New Roman"/>
          <w:sz w:val="20"/>
        </w:rPr>
      </w:pPr>
      <w:r w:rsidRPr="004B7E92">
        <w:rPr>
          <w:rFonts w:ascii="Times New Roman" w:hAnsi="Times New Roman" w:cs="Times New Roman"/>
          <w:sz w:val="20"/>
        </w:rPr>
        <w:t xml:space="preserve">We developed a criterion for membership in the high </w:t>
      </w:r>
      <w:proofErr w:type="spellStart"/>
      <w:r w:rsidRPr="004B7E92">
        <w:rPr>
          <w:rFonts w:ascii="Times New Roman" w:hAnsi="Times New Roman" w:cs="Times New Roman"/>
          <w:sz w:val="20"/>
        </w:rPr>
        <w:t>widespreadness</w:t>
      </w:r>
      <w:proofErr w:type="spellEnd"/>
      <w:r w:rsidRPr="004B7E92">
        <w:rPr>
          <w:rFonts w:ascii="Times New Roman" w:hAnsi="Times New Roman" w:cs="Times New Roman"/>
          <w:sz w:val="20"/>
        </w:rPr>
        <w:t xml:space="preserve"> of pain cluster, Cluster 2, given the count and severity of five non-pelvic WSS questions. Predicted membership in Cluster 2 was modeled with a logistic regression model. In two separate univariate models we include as a predictor the </w:t>
      </w:r>
      <w:r>
        <w:rPr>
          <w:rFonts w:ascii="Times New Roman" w:hAnsi="Times New Roman" w:cs="Times New Roman"/>
          <w:sz w:val="20"/>
        </w:rPr>
        <w:t>number</w:t>
      </w:r>
      <w:r w:rsidRPr="004B7E92">
        <w:rPr>
          <w:rFonts w:ascii="Times New Roman" w:hAnsi="Times New Roman" w:cs="Times New Roman"/>
          <w:sz w:val="20"/>
        </w:rPr>
        <w:t xml:space="preserve"> of five non-pelvic WSS items with a severity ≥2</w:t>
      </w:r>
      <w:r>
        <w:rPr>
          <w:rFonts w:ascii="Times New Roman" w:hAnsi="Times New Roman" w:cs="Times New Roman"/>
          <w:sz w:val="20"/>
        </w:rPr>
        <w:t>/6</w:t>
      </w:r>
      <w:r w:rsidRPr="004B7E92">
        <w:rPr>
          <w:rFonts w:ascii="Times New Roman" w:hAnsi="Times New Roman" w:cs="Times New Roman"/>
          <w:sz w:val="20"/>
        </w:rPr>
        <w:t xml:space="preserve">.  </w:t>
      </w:r>
      <w:r>
        <w:rPr>
          <w:rFonts w:ascii="Times New Roman" w:hAnsi="Times New Roman" w:cs="Times New Roman"/>
          <w:sz w:val="20"/>
        </w:rPr>
        <w:t>Given the results of these models, a</w:t>
      </w:r>
      <w:r w:rsidRPr="004B7E92">
        <w:rPr>
          <w:rFonts w:ascii="Times New Roman" w:hAnsi="Times New Roman" w:cs="Times New Roman"/>
          <w:sz w:val="20"/>
        </w:rPr>
        <w:t xml:space="preserve"> classification rule of three or more of the </w:t>
      </w:r>
      <w:r>
        <w:rPr>
          <w:rFonts w:ascii="Times New Roman" w:hAnsi="Times New Roman" w:cs="Times New Roman"/>
          <w:sz w:val="20"/>
        </w:rPr>
        <w:t>5</w:t>
      </w:r>
      <w:r w:rsidRPr="004B7E92">
        <w:rPr>
          <w:rFonts w:ascii="Times New Roman" w:hAnsi="Times New Roman" w:cs="Times New Roman"/>
          <w:sz w:val="20"/>
        </w:rPr>
        <w:t xml:space="preserve"> WSS items </w:t>
      </w:r>
      <w:r>
        <w:rPr>
          <w:rFonts w:ascii="Times New Roman" w:hAnsi="Times New Roman" w:cs="Times New Roman"/>
          <w:sz w:val="20"/>
        </w:rPr>
        <w:t>with levels</w:t>
      </w:r>
      <w:r w:rsidRPr="004B7E92">
        <w:rPr>
          <w:rFonts w:ascii="Times New Roman" w:hAnsi="Times New Roman" w:cs="Times New Roman"/>
          <w:sz w:val="20"/>
        </w:rPr>
        <w:t xml:space="preserve"> ≥2</w:t>
      </w:r>
      <w:r>
        <w:rPr>
          <w:rFonts w:ascii="Times New Roman" w:hAnsi="Times New Roman" w:cs="Times New Roman"/>
          <w:sz w:val="20"/>
        </w:rPr>
        <w:t>/6</w:t>
      </w:r>
      <w:r w:rsidRPr="004B7E92">
        <w:rPr>
          <w:rFonts w:ascii="Times New Roman" w:hAnsi="Times New Roman" w:cs="Times New Roman"/>
          <w:sz w:val="20"/>
        </w:rPr>
        <w:t xml:space="preserve"> was selected to have optimal ROC characteristic. </w:t>
      </w:r>
      <w:r>
        <w:rPr>
          <w:rFonts w:ascii="Times New Roman" w:hAnsi="Times New Roman" w:cs="Times New Roman"/>
          <w:sz w:val="20"/>
        </w:rPr>
        <w:t xml:space="preserve"> </w:t>
      </w:r>
      <w:r w:rsidRPr="004B7E92">
        <w:rPr>
          <w:rFonts w:ascii="Times New Roman" w:hAnsi="Times New Roman" w:cs="Times New Roman"/>
          <w:sz w:val="20"/>
        </w:rPr>
        <w:t>In both models, a ROC curve is plotted along with a table of sensitivity and specificity values for each of the possible cutoffs of the predictor. The AUC was also calculated to determine the strength of the predictor in modeling the outcome of interest.</w:t>
      </w:r>
      <w:r w:rsidRPr="004B7E92">
        <w:rPr>
          <w:rFonts w:ascii="Times New Roman" w:hAnsi="Times New Roman" w:cs="Times New Roman"/>
          <w:sz w:val="20"/>
        </w:rPr>
        <w:fldChar w:fldCharType="begin"/>
      </w:r>
      <w:r w:rsidRPr="004B7E92">
        <w:rPr>
          <w:rFonts w:ascii="Times New Roman" w:hAnsi="Times New Roman" w:cs="Times New Roman"/>
          <w:sz w:val="20"/>
        </w:rPr>
        <w:instrText xml:space="preserve"> ADDIN EN.CITE &lt;EndNote&gt;&lt;Cite&gt;&lt;Author&gt;Gallop&lt;/Author&gt;&lt;Year&gt;2003&lt;/Year&gt;&lt;RecNum&gt;51&lt;/RecNum&gt;&lt;DisplayText&gt;&lt;style face="superscript"&gt;7&lt;/style&gt;&lt;/DisplayText&gt;&lt;record&gt;&lt;rec-number&gt;51&lt;/rec-number&gt;&lt;foreign-keys&gt;&lt;key app="EN" db-id="r0szfvss40rfr2e5sa1v5xv12zx0a0sspzet" timestamp="1633961757"&gt;51&lt;/key&gt;&lt;/foreign-keys&gt;&lt;ref-type name="Journal Article"&gt;17&lt;/ref-type&gt;&lt;contributors&gt;&lt;authors&gt;&lt;author&gt;Gallop, Robert J.&lt;/author&gt;&lt;author&gt;Crits-Christoph, Paul&lt;/author&gt;&lt;author&gt;Muenz, Larry R.&lt;/author&gt;&lt;author&gt;Tu, Xin M.&lt;/author&gt;&lt;/authors&gt;&lt;/contributors&gt;&lt;titles&gt;&lt;title&gt;Determination and Interpretation of the Optimal Operating Point for ROC Curves Derived Through Generalized Linear Models&lt;/title&gt;&lt;secondary-title&gt;Understanding Statistics&lt;/secondary-title&gt;&lt;/titles&gt;&lt;periodical&gt;&lt;full-title&gt;Understanding Statistics&lt;/full-title&gt;&lt;/periodical&gt;&lt;pages&gt;219-242&lt;/pages&gt;&lt;volume&gt;2&lt;/volume&gt;&lt;number&gt;4&lt;/number&gt;&lt;dates&gt;&lt;year&gt;2003&lt;/year&gt;&lt;pub-dates&gt;&lt;date&gt;2003/11/01&lt;/date&gt;&lt;/pub-dates&gt;&lt;/dates&gt;&lt;publisher&gt;Routledge&lt;/publisher&gt;&lt;isbn&gt;1534-844X&lt;/isbn&gt;&lt;urls&gt;&lt;related-urls&gt;&lt;url&gt;https://doi.org/10.1207/S15328031US0204_01&lt;/url&gt;&lt;/related-urls&gt;&lt;/urls&gt;&lt;electronic-resource-num&gt;10.1207/S15328031US0204_01&lt;/electronic-resource-num&gt;&lt;/record&gt;&lt;/Cite&gt;&lt;/EndNote&gt;</w:instrText>
      </w:r>
      <w:r w:rsidRPr="004B7E92">
        <w:rPr>
          <w:rFonts w:ascii="Times New Roman" w:hAnsi="Times New Roman" w:cs="Times New Roman"/>
          <w:sz w:val="20"/>
        </w:rPr>
        <w:fldChar w:fldCharType="separate"/>
      </w:r>
      <w:r w:rsidRPr="004B7E92">
        <w:rPr>
          <w:rFonts w:ascii="Times New Roman" w:hAnsi="Times New Roman" w:cs="Times New Roman"/>
          <w:noProof/>
          <w:sz w:val="20"/>
          <w:vertAlign w:val="superscript"/>
        </w:rPr>
        <w:t>7</w:t>
      </w:r>
      <w:r w:rsidRPr="004B7E92">
        <w:rPr>
          <w:rFonts w:ascii="Times New Roman" w:hAnsi="Times New Roman" w:cs="Times New Roman"/>
          <w:sz w:val="20"/>
        </w:rPr>
        <w:fldChar w:fldCharType="end"/>
      </w:r>
      <w:r w:rsidRPr="004B7E92">
        <w:rPr>
          <w:rFonts w:ascii="Times New Roman" w:hAnsi="Times New Roman" w:cs="Times New Roman"/>
          <w:sz w:val="20"/>
        </w:rPr>
        <w:t xml:space="preserve"> The </w:t>
      </w:r>
      <w:proofErr w:type="spellStart"/>
      <w:r w:rsidRPr="004B7E92">
        <w:rPr>
          <w:rFonts w:ascii="Times New Roman" w:hAnsi="Times New Roman" w:cs="Times New Roman"/>
          <w:sz w:val="20"/>
        </w:rPr>
        <w:t>cutpoint</w:t>
      </w:r>
      <w:proofErr w:type="spellEnd"/>
      <w:r w:rsidRPr="004B7E92">
        <w:rPr>
          <w:rFonts w:ascii="Times New Roman" w:hAnsi="Times New Roman" w:cs="Times New Roman"/>
          <w:sz w:val="20"/>
        </w:rPr>
        <w:t xml:space="preserve"> of the predictor with the highest sum of sensitivity and severity, which if subtracted from 1 would also be known as the Youden index, was chosen to be the optimal cutpoint.</w:t>
      </w:r>
      <w:r w:rsidRPr="004B7E92">
        <w:rPr>
          <w:rFonts w:ascii="Times New Roman" w:hAnsi="Times New Roman" w:cs="Times New Roman"/>
          <w:sz w:val="20"/>
        </w:rPr>
        <w:fldChar w:fldCharType="begin"/>
      </w:r>
      <w:r w:rsidRPr="004B7E92">
        <w:rPr>
          <w:rFonts w:ascii="Times New Roman" w:hAnsi="Times New Roman" w:cs="Times New Roman"/>
          <w:sz w:val="20"/>
        </w:rPr>
        <w:instrText xml:space="preserve"> ADDIN EN.CITE &lt;EndNote&gt;&lt;Cite&gt;&lt;Author&gt;Youden&lt;/Author&gt;&lt;Year&gt;1950&lt;/Year&gt;&lt;RecNum&gt;53&lt;/RecNum&gt;&lt;DisplayText&gt;&lt;style face="superscript"&gt;8&lt;/style&gt;&lt;/DisplayText&gt;&lt;record&gt;&lt;rec-number&gt;53&lt;/rec-number&gt;&lt;foreign-keys&gt;&lt;key app="EN" db-id="r0szfvss40rfr2e5sa1v5xv12zx0a0sspzet" timestamp="1634151103"&gt;53&lt;/key&gt;&lt;/foreign-keys&gt;&lt;ref-type name="Journal Article"&gt;17&lt;/ref-type&gt;&lt;contributors&gt;&lt;authors&gt;&lt;author&gt;Youden, William J&lt;/author&gt;&lt;/authors&gt;&lt;/contributors&gt;&lt;titles&gt;&lt;title&gt;Index for rating diagnostic tests&lt;/title&gt;&lt;secondary-title&gt;Cancer&lt;/secondary-title&gt;&lt;/titles&gt;&lt;periodical&gt;&lt;full-title&gt;Cancer&lt;/full-title&gt;&lt;/periodical&gt;&lt;pages&gt;32-35&lt;/pages&gt;&lt;volume&gt;3&lt;/volume&gt;&lt;number&gt;1&lt;/number&gt;&lt;dates&gt;&lt;year&gt;1950&lt;/year&gt;&lt;/dates&gt;&lt;isbn&gt;0008-543X&lt;/isbn&gt;&lt;urls&gt;&lt;/urls&gt;&lt;/record&gt;&lt;/Cite&gt;&lt;/EndNote&gt;</w:instrText>
      </w:r>
      <w:r w:rsidRPr="004B7E92">
        <w:rPr>
          <w:rFonts w:ascii="Times New Roman" w:hAnsi="Times New Roman" w:cs="Times New Roman"/>
          <w:sz w:val="20"/>
        </w:rPr>
        <w:fldChar w:fldCharType="separate"/>
      </w:r>
      <w:r w:rsidRPr="004B7E92">
        <w:rPr>
          <w:rFonts w:ascii="Times New Roman" w:hAnsi="Times New Roman" w:cs="Times New Roman"/>
          <w:noProof/>
          <w:sz w:val="20"/>
          <w:vertAlign w:val="superscript"/>
        </w:rPr>
        <w:t>8</w:t>
      </w:r>
      <w:r w:rsidRPr="004B7E92">
        <w:rPr>
          <w:rFonts w:ascii="Times New Roman" w:hAnsi="Times New Roman" w:cs="Times New Roman"/>
          <w:sz w:val="20"/>
        </w:rPr>
        <w:fldChar w:fldCharType="end"/>
      </w:r>
      <w:r w:rsidRPr="004B7E92">
        <w:rPr>
          <w:rFonts w:ascii="Times New Roman" w:hAnsi="Times New Roman" w:cs="Times New Roman"/>
          <w:sz w:val="20"/>
        </w:rPr>
        <w:t xml:space="preserve"> ROC curve analyses and sensitivity and specificity tables for both models are shown in</w:t>
      </w:r>
      <w:r>
        <w:rPr>
          <w:rFonts w:ascii="Times New Roman" w:hAnsi="Times New Roman" w:cs="Times New Roman"/>
          <w:sz w:val="20"/>
        </w:rPr>
        <w:t xml:space="preserve"> Extended Figures 3-4</w:t>
      </w:r>
      <w:r w:rsidRPr="004B7E92">
        <w:rPr>
          <w:rFonts w:ascii="Times New Roman" w:hAnsi="Times New Roman" w:cs="Times New Roman"/>
          <w:sz w:val="20"/>
        </w:rPr>
        <w:t>.</w:t>
      </w:r>
    </w:p>
    <w:p w14:paraId="58C977BF" w14:textId="77777777" w:rsidR="00B724C5" w:rsidRPr="007B0763" w:rsidRDefault="00B724C5" w:rsidP="00B724C5">
      <w:pPr>
        <w:pStyle w:val="Heading2"/>
        <w:spacing w:before="120" w:after="120"/>
        <w:rPr>
          <w:rFonts w:ascii="Times New Roman" w:hAnsi="Times New Roman" w:cs="Times New Roman"/>
          <w:i/>
          <w:color w:val="auto"/>
          <w:sz w:val="20"/>
          <w:szCs w:val="20"/>
        </w:rPr>
      </w:pPr>
      <w:bookmarkStart w:id="23" w:name="_Toc110274179"/>
      <w:bookmarkStart w:id="24" w:name="_Toc123674518"/>
      <w:r w:rsidRPr="007B0763">
        <w:rPr>
          <w:rFonts w:ascii="Times New Roman" w:hAnsi="Times New Roman" w:cs="Times New Roman"/>
          <w:i/>
          <w:color w:val="auto"/>
          <w:sz w:val="20"/>
          <w:szCs w:val="20"/>
        </w:rPr>
        <w:t>Multiple Imputation Models</w:t>
      </w:r>
      <w:bookmarkEnd w:id="23"/>
      <w:bookmarkEnd w:id="24"/>
    </w:p>
    <w:p w14:paraId="4403D14C" w14:textId="77777777" w:rsidR="00B724C5" w:rsidRPr="004B7E92" w:rsidRDefault="00B724C5" w:rsidP="00B724C5">
      <w:pPr>
        <w:spacing w:before="120" w:after="120" w:line="276" w:lineRule="auto"/>
        <w:ind w:firstLine="720"/>
        <w:rPr>
          <w:rFonts w:ascii="Times New Roman" w:hAnsi="Times New Roman" w:cs="Times New Roman"/>
          <w:sz w:val="20"/>
          <w:szCs w:val="20"/>
        </w:rPr>
      </w:pPr>
      <w:r w:rsidRPr="004B7E92">
        <w:rPr>
          <w:rFonts w:ascii="Times New Roman" w:hAnsi="Times New Roman" w:cs="Times New Roman"/>
          <w:sz w:val="20"/>
          <w:szCs w:val="20"/>
        </w:rPr>
        <w:t>Missing data in each of the three RCTs precludes a conventional intent-to-treat (ITT) analysis</w:t>
      </w:r>
      <w:r>
        <w:rPr>
          <w:rFonts w:ascii="Times New Roman" w:hAnsi="Times New Roman" w:cs="Times New Roman"/>
          <w:sz w:val="20"/>
          <w:szCs w:val="20"/>
        </w:rPr>
        <w:t xml:space="preserve"> without imputation</w:t>
      </w:r>
      <w:r w:rsidRPr="004B7E92">
        <w:rPr>
          <w:rFonts w:ascii="Times New Roman" w:hAnsi="Times New Roman" w:cs="Times New Roman"/>
          <w:sz w:val="20"/>
          <w:szCs w:val="20"/>
        </w:rPr>
        <w:t xml:space="preserve">. We utilized multiple imputation with predictive mean matching, m=100 imputations and K=5 closest observations, to impute all missing intermediate and end of study </w:t>
      </w:r>
      <w:r>
        <w:rPr>
          <w:rFonts w:ascii="Times New Roman" w:hAnsi="Times New Roman" w:cs="Times New Roman"/>
          <w:sz w:val="20"/>
          <w:szCs w:val="20"/>
        </w:rPr>
        <w:t>numeric rating scale (</w:t>
      </w:r>
      <w:r w:rsidRPr="004B7E92">
        <w:rPr>
          <w:rFonts w:ascii="Times New Roman" w:hAnsi="Times New Roman" w:cs="Times New Roman"/>
          <w:sz w:val="20"/>
          <w:szCs w:val="20"/>
        </w:rPr>
        <w:t>NRS</w:t>
      </w:r>
      <w:r>
        <w:rPr>
          <w:rFonts w:ascii="Times New Roman" w:hAnsi="Times New Roman" w:cs="Times New Roman"/>
          <w:sz w:val="20"/>
          <w:szCs w:val="20"/>
        </w:rPr>
        <w:t>)</w:t>
      </w:r>
      <w:r w:rsidRPr="004B7E92">
        <w:rPr>
          <w:rFonts w:ascii="Times New Roman" w:hAnsi="Times New Roman" w:cs="Times New Roman"/>
          <w:sz w:val="20"/>
          <w:szCs w:val="20"/>
        </w:rPr>
        <w:t xml:space="preserve"> measures of pelvic pain, urinary urgency and frequency</w:t>
      </w:r>
      <w:r>
        <w:rPr>
          <w:rFonts w:ascii="Times New Roman" w:hAnsi="Times New Roman" w:cs="Times New Roman"/>
          <w:sz w:val="20"/>
          <w:szCs w:val="20"/>
        </w:rPr>
        <w:t xml:space="preserve"> </w:t>
      </w:r>
      <w:r w:rsidRPr="004B7E92">
        <w:rPr>
          <w:rFonts w:ascii="Times New Roman" w:hAnsi="Times New Roman" w:cs="Times New Roman"/>
          <w:sz w:val="20"/>
          <w:szCs w:val="20"/>
        </w:rPr>
        <w:t>as well as the GRA outcome on the 1-7 ordinal scale.</w:t>
      </w:r>
      <w:r w:rsidRPr="004B7E92">
        <w:rPr>
          <w:rFonts w:ascii="Times New Roman" w:hAnsi="Times New Roman" w:cs="Times New Roman"/>
          <w:sz w:val="20"/>
          <w:szCs w:val="20"/>
        </w:rPr>
        <w:fldChar w:fldCharType="begin">
          <w:fldData xml:space="preserve">PEVuZE5vdGU+PENpdGU+PEF1dGhvcj5TY2hlbmtlcjwvQXV0aG9yPjxZZWFyPjE5OTY8L1llYXI+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</w:fldData>
        </w:fldChar>
      </w:r>
      <w:r w:rsidRPr="004B7E92">
        <w:rPr>
          <w:rFonts w:ascii="Times New Roman" w:hAnsi="Times New Roman" w:cs="Times New Roman"/>
          <w:sz w:val="20"/>
          <w:szCs w:val="20"/>
        </w:rPr>
        <w:instrText xml:space="preserve"> ADDIN EN.CITE </w:instrText>
      </w:r>
      <w:r w:rsidRPr="004B7E92">
        <w:rPr>
          <w:rFonts w:ascii="Times New Roman" w:hAnsi="Times New Roman" w:cs="Times New Roman"/>
          <w:sz w:val="20"/>
          <w:szCs w:val="20"/>
        </w:rPr>
        <w:fldChar w:fldCharType="begin">
          <w:fldData xml:space="preserve">PEVuZE5vdGU+PENpdGU+PEF1dGhvcj5TY2hlbmtlcjwvQXV0aG9yPjxZZWFyPjE5OTY8L1llYXI+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</w:fldData>
        </w:fldChar>
      </w:r>
      <w:r w:rsidRPr="004B7E92">
        <w:rPr>
          <w:rFonts w:ascii="Times New Roman" w:hAnsi="Times New Roman" w:cs="Times New Roman"/>
          <w:sz w:val="20"/>
          <w:szCs w:val="20"/>
        </w:rPr>
        <w:instrText xml:space="preserve"> ADDIN EN.CITE.DATA </w:instrText>
      </w:r>
      <w:r w:rsidRPr="004B7E92">
        <w:rPr>
          <w:rFonts w:ascii="Times New Roman" w:hAnsi="Times New Roman" w:cs="Times New Roman"/>
          <w:sz w:val="20"/>
          <w:szCs w:val="20"/>
        </w:rPr>
      </w:r>
      <w:r w:rsidRPr="004B7E92">
        <w:rPr>
          <w:rFonts w:ascii="Times New Roman" w:hAnsi="Times New Roman" w:cs="Times New Roman"/>
          <w:sz w:val="20"/>
          <w:szCs w:val="20"/>
        </w:rPr>
        <w:fldChar w:fldCharType="end"/>
      </w:r>
      <w:r w:rsidRPr="004B7E92">
        <w:rPr>
          <w:rFonts w:ascii="Times New Roman" w:hAnsi="Times New Roman" w:cs="Times New Roman"/>
          <w:sz w:val="20"/>
          <w:szCs w:val="20"/>
        </w:rPr>
      </w:r>
      <w:r w:rsidRPr="004B7E92">
        <w:rPr>
          <w:rFonts w:ascii="Times New Roman" w:hAnsi="Times New Roman" w:cs="Times New Roman"/>
          <w:sz w:val="20"/>
          <w:szCs w:val="20"/>
        </w:rPr>
        <w:fldChar w:fldCharType="separate"/>
      </w:r>
      <w:r w:rsidRPr="004B7E92">
        <w:rPr>
          <w:rFonts w:ascii="Times New Roman" w:hAnsi="Times New Roman" w:cs="Times New Roman"/>
          <w:noProof/>
          <w:sz w:val="20"/>
          <w:szCs w:val="20"/>
          <w:vertAlign w:val="superscript"/>
        </w:rPr>
        <w:t>9-11</w:t>
      </w:r>
      <w:r w:rsidRPr="004B7E92">
        <w:rPr>
          <w:rFonts w:ascii="Times New Roman" w:hAnsi="Times New Roman" w:cs="Times New Roman"/>
          <w:sz w:val="20"/>
          <w:szCs w:val="20"/>
        </w:rPr>
        <w:fldChar w:fldCharType="end"/>
      </w:r>
      <w:r w:rsidRPr="004B7E92">
        <w:rPr>
          <w:rFonts w:ascii="Times New Roman" w:hAnsi="Times New Roman" w:cs="Times New Roman"/>
          <w:sz w:val="20"/>
          <w:szCs w:val="20"/>
        </w:rPr>
        <w:t xml:space="preserve"> Each imputation model was run separately for pelvic pain, urinary urgency, frequency and GRA outcomes within each RCT. The imputation model included all longitudinal measures of the outcome of interest, the longitudinal GRA assessment, treatment assignment, </w:t>
      </w:r>
      <w:proofErr w:type="spellStart"/>
      <w:r w:rsidRPr="004B7E92">
        <w:rPr>
          <w:rFonts w:ascii="Times New Roman" w:hAnsi="Times New Roman" w:cs="Times New Roman"/>
          <w:sz w:val="20"/>
          <w:szCs w:val="20"/>
        </w:rPr>
        <w:t>widespreadness</w:t>
      </w:r>
      <w:proofErr w:type="spellEnd"/>
      <w:r w:rsidRPr="004B7E92">
        <w:rPr>
          <w:rFonts w:ascii="Times New Roman" w:hAnsi="Times New Roman" w:cs="Times New Roman"/>
          <w:sz w:val="20"/>
          <w:szCs w:val="20"/>
        </w:rPr>
        <w:t xml:space="preserve"> subgroup indicator and baseline measures of age, race, and sex. In the sensitivity analyses where we model treatment response without regards to </w:t>
      </w:r>
      <w:proofErr w:type="spellStart"/>
      <w:r w:rsidRPr="004B7E92">
        <w:rPr>
          <w:rFonts w:ascii="Times New Roman" w:hAnsi="Times New Roman" w:cs="Times New Roman"/>
          <w:sz w:val="20"/>
          <w:szCs w:val="20"/>
        </w:rPr>
        <w:t>widespreadness</w:t>
      </w:r>
      <w:proofErr w:type="spellEnd"/>
      <w:r w:rsidRPr="004B7E92">
        <w:rPr>
          <w:rFonts w:ascii="Times New Roman" w:hAnsi="Times New Roman" w:cs="Times New Roman"/>
          <w:sz w:val="20"/>
          <w:szCs w:val="20"/>
        </w:rPr>
        <w:t xml:space="preserve"> subgroup, the </w:t>
      </w:r>
      <w:proofErr w:type="spellStart"/>
      <w:r w:rsidRPr="004B7E92">
        <w:rPr>
          <w:rFonts w:ascii="Times New Roman" w:hAnsi="Times New Roman" w:cs="Times New Roman"/>
          <w:sz w:val="20"/>
          <w:szCs w:val="20"/>
        </w:rPr>
        <w:t>widespreadness</w:t>
      </w:r>
      <w:proofErr w:type="spellEnd"/>
      <w:r w:rsidRPr="004B7E92">
        <w:rPr>
          <w:rFonts w:ascii="Times New Roman" w:hAnsi="Times New Roman" w:cs="Times New Roman"/>
          <w:sz w:val="20"/>
          <w:szCs w:val="20"/>
        </w:rPr>
        <w:t xml:space="preserve"> indicator was not included in the imputation model.  </w:t>
      </w:r>
    </w:p>
    <w:p w14:paraId="61813490" w14:textId="77777777" w:rsidR="00B724C5" w:rsidRPr="0088655A" w:rsidRDefault="00B724C5" w:rsidP="00B724C5">
      <w:pPr>
        <w:spacing w:before="120" w:after="120"/>
        <w:ind w:firstLine="720"/>
        <w:rPr>
          <w:rFonts w:ascii="Times New Roman" w:hAnsi="Times New Roman" w:cs="Times New Roman"/>
        </w:rPr>
      </w:pPr>
      <w:r w:rsidRPr="004B7E92">
        <w:rPr>
          <w:rFonts w:ascii="Times New Roman" w:hAnsi="Times New Roman" w:cs="Times New Roman"/>
          <w:sz w:val="20"/>
          <w:szCs w:val="20"/>
        </w:rPr>
        <w:lastRenderedPageBreak/>
        <w:t>Absolute change in NRS outcome at the end of the study for pelvic pain, urinary urgency, and frequency outcomes and the GRA response were calculated after the outcome was imputed for each of the m=100 datasets. Rubin’s rules were used to estimate the pooled coefficients and standard errors from the models run across all imputed datasets.</w:t>
      </w:r>
      <w:r w:rsidRPr="004B7E92">
        <w:rPr>
          <w:rFonts w:ascii="Times New Roman" w:hAnsi="Times New Roman" w:cs="Times New Roman"/>
          <w:sz w:val="20"/>
          <w:szCs w:val="20"/>
        </w:rPr>
        <w:fldChar w:fldCharType="begin"/>
      </w:r>
      <w:r w:rsidRPr="004B7E92">
        <w:rPr>
          <w:rFonts w:ascii="Times New Roman" w:hAnsi="Times New Roman" w:cs="Times New Roman"/>
          <w:sz w:val="20"/>
          <w:szCs w:val="20"/>
        </w:rPr>
        <w:instrText xml:space="preserve"> ADDIN EN.CITE &lt;EndNote&gt;&lt;Cite&gt;&lt;Author&gt;Rubin&lt;/Author&gt;&lt;Year&gt;1987&lt;/Year&gt;&lt;RecNum&gt;20&lt;/RecNum&gt;&lt;DisplayText&gt;&lt;style face="superscript"&gt;11&lt;/style&gt;&lt;/DisplayText&gt;&lt;record&gt;&lt;rec-number&gt;20&lt;/rec-number&gt;&lt;foreign-keys&gt;&lt;key app="EN" db-id="r0szfvss40rfr2e5sa1v5xv12zx0a0sspzet" timestamp="1618000551"&gt;20&lt;/key&gt;&lt;/foreign-keys&gt;&lt;ref-type name="Book"&gt;6&lt;/ref-type&gt;&lt;contributors&gt;&lt;authors&gt;&lt;author&gt;Rubin, D. B.&lt;/author&gt;&lt;/authors&gt;&lt;/contributors&gt;&lt;titles&gt;&lt;title&gt; Multiple Imputation for Nonresponse in Surveys.&lt;/title&gt;&lt;/titles&gt;&lt;dates&gt;&lt;year&gt;1987&lt;/year&gt;&lt;/dates&gt;&lt;pub-location&gt;New York&lt;/pub-location&gt;&lt;publisher&gt;John Wiley &amp;amp; Sons&lt;/publisher&gt;&lt;urls&gt;&lt;/urls&gt;&lt;/record&gt;&lt;/Cite&gt;&lt;/EndNote&gt;</w:instrText>
      </w:r>
      <w:r w:rsidRPr="004B7E92">
        <w:rPr>
          <w:rFonts w:ascii="Times New Roman" w:hAnsi="Times New Roman" w:cs="Times New Roman"/>
          <w:sz w:val="20"/>
          <w:szCs w:val="20"/>
        </w:rPr>
        <w:fldChar w:fldCharType="separate"/>
      </w:r>
      <w:r w:rsidRPr="004B7E92">
        <w:rPr>
          <w:rFonts w:ascii="Times New Roman" w:hAnsi="Times New Roman" w:cs="Times New Roman"/>
          <w:noProof/>
          <w:sz w:val="20"/>
          <w:szCs w:val="20"/>
          <w:vertAlign w:val="superscript"/>
        </w:rPr>
        <w:t>11</w:t>
      </w:r>
      <w:r w:rsidRPr="004B7E92">
        <w:rPr>
          <w:rFonts w:ascii="Times New Roman" w:hAnsi="Times New Roman" w:cs="Times New Roman"/>
          <w:sz w:val="20"/>
          <w:szCs w:val="20"/>
        </w:rPr>
        <w:fldChar w:fldCharType="end"/>
      </w:r>
      <w:r w:rsidRPr="0088655A">
        <w:rPr>
          <w:rFonts w:ascii="Times New Roman" w:hAnsi="Times New Roman" w:cs="Times New Roman"/>
        </w:rPr>
        <w:t xml:space="preserve"> </w:t>
      </w:r>
    </w:p>
    <w:p w14:paraId="34CA5DFE" w14:textId="77777777" w:rsidR="00B724C5" w:rsidRPr="007B0763" w:rsidRDefault="00B724C5" w:rsidP="00B724C5">
      <w:pPr>
        <w:pStyle w:val="Heading2"/>
        <w:spacing w:before="120" w:after="120"/>
        <w:rPr>
          <w:rFonts w:ascii="Times New Roman" w:hAnsi="Times New Roman" w:cs="Times New Roman"/>
          <w:i/>
          <w:color w:val="auto"/>
          <w:sz w:val="20"/>
          <w:szCs w:val="20"/>
        </w:rPr>
      </w:pPr>
      <w:bookmarkStart w:id="25" w:name="_Toc110274180"/>
      <w:bookmarkStart w:id="26" w:name="_Toc123674519"/>
      <w:r w:rsidRPr="007B0763">
        <w:rPr>
          <w:rFonts w:ascii="Times New Roman" w:hAnsi="Times New Roman" w:cs="Times New Roman"/>
          <w:i/>
          <w:color w:val="auto"/>
          <w:sz w:val="20"/>
          <w:szCs w:val="20"/>
        </w:rPr>
        <w:t>Mean Trajectory Plots</w:t>
      </w:r>
      <w:bookmarkEnd w:id="25"/>
      <w:bookmarkEnd w:id="26"/>
    </w:p>
    <w:p w14:paraId="52849F68" w14:textId="77777777" w:rsidR="00B724C5" w:rsidRPr="004B7E92" w:rsidRDefault="00B724C5" w:rsidP="00B724C5">
      <w:pPr>
        <w:spacing w:before="120" w:after="120" w:line="276" w:lineRule="auto"/>
        <w:ind w:firstLine="720"/>
        <w:rPr>
          <w:rFonts w:ascii="Times New Roman" w:hAnsi="Times New Roman" w:cs="Times New Roman"/>
          <w:sz w:val="20"/>
        </w:rPr>
      </w:pPr>
      <w:r w:rsidRPr="004B7E92">
        <w:rPr>
          <w:rFonts w:ascii="Times New Roman" w:hAnsi="Times New Roman" w:cs="Times New Roman"/>
          <w:sz w:val="20"/>
        </w:rPr>
        <w:t>The mean trajectory plots as displayed in Figures 1-3 and</w:t>
      </w:r>
      <w:r>
        <w:rPr>
          <w:rFonts w:ascii="Times New Roman" w:hAnsi="Times New Roman" w:cs="Times New Roman"/>
          <w:sz w:val="20"/>
        </w:rPr>
        <w:t xml:space="preserve"> Extended Figures 5-7 </w:t>
      </w:r>
      <w:r w:rsidRPr="004B7E92">
        <w:rPr>
          <w:rFonts w:ascii="Times New Roman" w:hAnsi="Times New Roman" w:cs="Times New Roman"/>
          <w:sz w:val="20"/>
        </w:rPr>
        <w:t xml:space="preserve">represent the estimated change in NRS outcome from baseline at the end of the study within treatment arm and </w:t>
      </w:r>
      <w:proofErr w:type="spellStart"/>
      <w:r w:rsidRPr="004B7E92">
        <w:rPr>
          <w:rFonts w:ascii="Times New Roman" w:hAnsi="Times New Roman" w:cs="Times New Roman"/>
          <w:sz w:val="20"/>
        </w:rPr>
        <w:t>widespreadness</w:t>
      </w:r>
      <w:proofErr w:type="spellEnd"/>
      <w:r w:rsidRPr="004B7E92">
        <w:rPr>
          <w:rFonts w:ascii="Times New Roman" w:hAnsi="Times New Roman" w:cs="Times New Roman"/>
          <w:sz w:val="20"/>
        </w:rPr>
        <w:t xml:space="preserve"> subgroup for the average RCT participant. They are derived from linear combinations of model coefficients from the primary analysis using multiple imputation. Coefficients for the primary analysis models are included in the tables to the left of the plots in</w:t>
      </w:r>
      <w:r>
        <w:rPr>
          <w:rFonts w:ascii="Times New Roman" w:hAnsi="Times New Roman" w:cs="Times New Roman"/>
          <w:sz w:val="20"/>
        </w:rPr>
        <w:t xml:space="preserve"> Extended Figures 5-7</w:t>
      </w:r>
      <w:r w:rsidRPr="004B7E92">
        <w:rPr>
          <w:rFonts w:ascii="Times New Roman" w:hAnsi="Times New Roman" w:cs="Times New Roman"/>
          <w:sz w:val="20"/>
        </w:rPr>
        <w:t xml:space="preserve">. </w:t>
      </w:r>
      <w:r>
        <w:rPr>
          <w:rFonts w:ascii="Times New Roman" w:hAnsi="Times New Roman" w:cs="Times New Roman"/>
          <w:sz w:val="20"/>
        </w:rPr>
        <w:t xml:space="preserve">A table containing the estimated change in NRS outcome at the end of study for each treatment and </w:t>
      </w:r>
      <w:proofErr w:type="spellStart"/>
      <w:r>
        <w:rPr>
          <w:rFonts w:ascii="Times New Roman" w:hAnsi="Times New Roman" w:cs="Times New Roman"/>
          <w:sz w:val="20"/>
        </w:rPr>
        <w:t>widespreadness</w:t>
      </w:r>
      <w:proofErr w:type="spellEnd"/>
      <w:r>
        <w:rPr>
          <w:rFonts w:ascii="Times New Roman" w:hAnsi="Times New Roman" w:cs="Times New Roman"/>
          <w:sz w:val="20"/>
        </w:rPr>
        <w:t xml:space="preserve"> group along with 95% confidence intervals are contained in Supplementary Table 3. The change in outcome is calculated for the average RCT participant (See Supplementary Table 3 footnotes).</w:t>
      </w:r>
    </w:p>
    <w:p w14:paraId="44E43338" w14:textId="77777777" w:rsidR="00B724C5" w:rsidRPr="007B0763" w:rsidRDefault="00B724C5" w:rsidP="00B724C5">
      <w:pPr>
        <w:pStyle w:val="Heading2"/>
        <w:spacing w:before="120" w:after="120"/>
        <w:rPr>
          <w:rFonts w:ascii="Times New Roman" w:hAnsi="Times New Roman" w:cs="Times New Roman"/>
          <w:i/>
          <w:color w:val="auto"/>
          <w:sz w:val="20"/>
          <w:szCs w:val="20"/>
        </w:rPr>
      </w:pPr>
      <w:bookmarkStart w:id="27" w:name="_Toc110274181"/>
      <w:bookmarkStart w:id="28" w:name="_Toc123674520"/>
      <w:r w:rsidRPr="007B0763">
        <w:rPr>
          <w:rFonts w:ascii="Times New Roman" w:hAnsi="Times New Roman" w:cs="Times New Roman"/>
          <w:i/>
          <w:color w:val="auto"/>
          <w:sz w:val="20"/>
          <w:szCs w:val="20"/>
        </w:rPr>
        <w:t>1-ECDF Empirical Cumulative Distribution Functions Plots</w:t>
      </w:r>
      <w:bookmarkEnd w:id="27"/>
      <w:bookmarkEnd w:id="28"/>
    </w:p>
    <w:p w14:paraId="018DCE67" w14:textId="77777777" w:rsidR="00B724C5" w:rsidRPr="004B7E92" w:rsidRDefault="00B724C5" w:rsidP="00B724C5">
      <w:pPr>
        <w:ind w:firstLine="720"/>
        <w:rPr>
          <w:rFonts w:ascii="Times New Roman" w:hAnsi="Times New Roman" w:cs="Times New Roman"/>
          <w:sz w:val="20"/>
        </w:rPr>
      </w:pPr>
      <w:r w:rsidRPr="004B7E92">
        <w:rPr>
          <w:rFonts w:ascii="Times New Roman" w:hAnsi="Times New Roman" w:cs="Times New Roman"/>
          <w:sz w:val="20"/>
        </w:rPr>
        <w:t>We calculated the observed percentage change in outcome at the end of study from baseline for all NRS outcomes from the following formula.</w:t>
      </w:r>
    </w:p>
    <w:p w14:paraId="3833FDD7" w14:textId="77777777" w:rsidR="00B724C5" w:rsidRPr="0088655A" w:rsidRDefault="00B724C5" w:rsidP="00B724C5">
      <w:pPr>
        <w:tabs>
          <w:tab w:val="center" w:pos="4680"/>
          <w:tab w:val="right" w:pos="9180"/>
        </w:tabs>
        <w:rPr>
          <w:rFonts w:ascii="Times New Roman" w:eastAsiaTheme="minorEastAsia" w:hAnsi="Times New Roman" w:cs="Times New Roman"/>
        </w:rPr>
      </w:pPr>
      <w:r w:rsidRPr="0088655A">
        <w:rPr>
          <w:rFonts w:ascii="Times New Roman" w:eastAsiaTheme="minorEastAsia" w:hAnsi="Times New Roman" w:cs="Times New Roman"/>
        </w:rPr>
        <w:tab/>
      </w:r>
      <m:oMath>
        <m:r>
          <w:rPr>
            <w:rFonts w:ascii="Cambria Math" w:eastAsiaTheme="minorEastAsia" w:hAnsi="Cambria Math" w:cs="Times New Roman"/>
            <w:sz w:val="20"/>
          </w:rPr>
          <m:t>% Improvement from Baseline=</m:t>
        </m:r>
        <m:f>
          <m:fPr>
            <m:ctrlPr>
              <w:rPr>
                <w:rFonts w:ascii="Cambria Math" w:eastAsiaTheme="minorEastAsia" w:hAnsi="Cambria Math" w:cs="Times New Roman"/>
                <w:i/>
                <w:sz w:val="20"/>
              </w:rPr>
            </m:ctrlPr>
          </m:fPr>
          <m:num>
            <m:r>
              <w:rPr>
                <w:rFonts w:ascii="Cambria Math" w:eastAsiaTheme="minorEastAsia" w:hAnsi="Cambria Math" w:cs="Times New Roman"/>
                <w:sz w:val="20"/>
              </w:rPr>
              <m:t>Baseline Value-End of Study Value</m:t>
            </m:r>
          </m:num>
          <m:den>
            <m:r>
              <w:rPr>
                <w:rFonts w:ascii="Cambria Math" w:eastAsiaTheme="minorEastAsia" w:hAnsi="Cambria Math" w:cs="Times New Roman"/>
                <w:sz w:val="20"/>
              </w:rPr>
              <m:t>Baseline Value</m:t>
            </m:r>
          </m:den>
        </m:f>
        <m:r>
          <w:rPr>
            <w:rFonts w:ascii="Cambria Math" w:eastAsiaTheme="minorEastAsia" w:hAnsi="Cambria Math" w:cs="Times New Roman"/>
            <w:sz w:val="20"/>
          </w:rPr>
          <m:t>x100</m:t>
        </m:r>
      </m:oMath>
      <w:r w:rsidRPr="0088655A">
        <w:rPr>
          <w:rFonts w:ascii="Times New Roman" w:eastAsiaTheme="minorEastAsia" w:hAnsi="Times New Roman" w:cs="Times New Roman"/>
        </w:rPr>
        <w:tab/>
        <w:t>(S1)</w:t>
      </w:r>
      <w:r w:rsidRPr="0088655A">
        <w:rPr>
          <w:rFonts w:ascii="Times New Roman" w:eastAsiaTheme="minorEastAsia" w:hAnsi="Times New Roman" w:cs="Times New Roman"/>
        </w:rPr>
        <w:tab/>
      </w:r>
    </w:p>
    <w:p w14:paraId="3D9DF254" w14:textId="77777777" w:rsidR="00B724C5" w:rsidRPr="0088655A" w:rsidRDefault="00B724C5" w:rsidP="00B724C5">
      <w:pPr>
        <w:tabs>
          <w:tab w:val="center" w:pos="4680"/>
          <w:tab w:val="right" w:pos="9180"/>
        </w:tabs>
        <w:rPr>
          <w:rFonts w:ascii="Times New Roman" w:hAnsi="Times New Roman" w:cs="Times New Roman"/>
        </w:rPr>
      </w:pPr>
      <w:r w:rsidRPr="004B7E92">
        <w:rPr>
          <w:rFonts w:ascii="Times New Roman" w:eastAsiaTheme="minorEastAsia" w:hAnsi="Times New Roman" w:cs="Times New Roman"/>
          <w:sz w:val="20"/>
        </w:rPr>
        <w:t xml:space="preserve">For RCT participants who were missing end of study outcome, we assumed their percentage improvement was 0. The ggplot2 package in R </w:t>
      </w:r>
      <w:r>
        <w:rPr>
          <w:rFonts w:ascii="Times New Roman" w:eastAsiaTheme="minorEastAsia" w:hAnsi="Times New Roman" w:cs="Times New Roman"/>
          <w:sz w:val="20"/>
        </w:rPr>
        <w:fldChar w:fldCharType="begin"/>
      </w:r>
      <w:r>
        <w:rPr>
          <w:rFonts w:ascii="Times New Roman" w:eastAsiaTheme="minorEastAsia" w:hAnsi="Times New Roman" w:cs="Times New Roman"/>
          <w:sz w:val="20"/>
        </w:rPr>
        <w:instrText xml:space="preserve"> ADDIN EN.CITE &lt;EndNote&gt;&lt;Cite&gt;&lt;Author&gt;Wickham&lt;/Author&gt;&lt;Year&gt;2016&lt;/Year&gt;&lt;RecNum&gt;23&lt;/RecNum&gt;&lt;DisplayText&gt;&lt;style face="superscript"&gt;12&lt;/style&gt;&lt;/DisplayText&gt;&lt;record&gt;&lt;rec-number&gt;23&lt;/rec-number&gt;&lt;foreign-keys&gt;&lt;key app="EN" db-id="r0szfvss40rfr2e5sa1v5xv12zx0a0sspzet" timestamp="1618000552"&gt;23&lt;/key&gt;&lt;/foreign-keys&gt;&lt;ref-type name="Book"&gt;6&lt;/ref-type&gt;&lt;contributors&gt;&lt;authors&gt;&lt;author&gt;Wickham, H.&lt;/author&gt;&lt;/authors&gt;&lt;/contributors&gt;&lt;titles&gt;&lt;title&gt;ggplot2: Elegant Graphics for Data Analysis.&lt;/title&gt;&lt;/titles&gt;&lt;dates&gt;&lt;year&gt;2016&lt;/year&gt;&lt;/dates&gt;&lt;pub-location&gt;New York&lt;/pub-location&gt;&lt;publisher&gt;Springer-Verlag&lt;/publisher&gt;&lt;urls&gt;&lt;/urls&gt;&lt;/record&gt;&lt;/Cite&gt;&lt;/EndNote&gt;</w:instrText>
      </w:r>
      <w:r>
        <w:rPr>
          <w:rFonts w:ascii="Times New Roman" w:eastAsiaTheme="minorEastAsia" w:hAnsi="Times New Roman" w:cs="Times New Roman"/>
          <w:sz w:val="20"/>
        </w:rPr>
        <w:fldChar w:fldCharType="separate"/>
      </w:r>
      <w:r w:rsidRPr="00C00638">
        <w:rPr>
          <w:rFonts w:ascii="Times New Roman" w:eastAsiaTheme="minorEastAsia" w:hAnsi="Times New Roman" w:cs="Times New Roman"/>
          <w:noProof/>
          <w:sz w:val="20"/>
          <w:vertAlign w:val="superscript"/>
        </w:rPr>
        <w:t>12</w:t>
      </w:r>
      <w:r>
        <w:rPr>
          <w:rFonts w:ascii="Times New Roman" w:eastAsiaTheme="minorEastAsia" w:hAnsi="Times New Roman" w:cs="Times New Roman"/>
          <w:sz w:val="20"/>
        </w:rPr>
        <w:fldChar w:fldCharType="end"/>
      </w:r>
      <w:r>
        <w:rPr>
          <w:rFonts w:ascii="Times New Roman" w:eastAsiaTheme="minorEastAsia" w:hAnsi="Times New Roman" w:cs="Times New Roman"/>
          <w:sz w:val="20"/>
        </w:rPr>
        <w:t xml:space="preserve"> </w:t>
      </w:r>
      <w:r w:rsidRPr="004B7E92">
        <w:rPr>
          <w:rFonts w:ascii="Times New Roman" w:eastAsiaTheme="minorEastAsia" w:hAnsi="Times New Roman" w:cs="Times New Roman"/>
          <w:sz w:val="20"/>
        </w:rPr>
        <w:t>was used to calculate the 1-ECDF (</w:t>
      </w:r>
      <w:r w:rsidRPr="004B7E92">
        <w:rPr>
          <w:rFonts w:ascii="Times New Roman" w:hAnsi="Times New Roman" w:cs="Times New Roman"/>
          <w:sz w:val="20"/>
        </w:rPr>
        <w:t>Empirical cumulative distribution functions)</w:t>
      </w:r>
      <w:r w:rsidRPr="004B7E92">
        <w:rPr>
          <w:rFonts w:ascii="Times New Roman" w:eastAsiaTheme="minorEastAsia" w:hAnsi="Times New Roman" w:cs="Times New Roman"/>
          <w:sz w:val="20"/>
        </w:rPr>
        <w:t xml:space="preserve"> plot for all treatment arm and </w:t>
      </w:r>
      <w:proofErr w:type="spellStart"/>
      <w:r w:rsidRPr="004B7E92">
        <w:rPr>
          <w:rFonts w:ascii="Times New Roman" w:eastAsiaTheme="minorEastAsia" w:hAnsi="Times New Roman" w:cs="Times New Roman"/>
          <w:sz w:val="20"/>
        </w:rPr>
        <w:t>widespreadness</w:t>
      </w:r>
      <w:proofErr w:type="spellEnd"/>
      <w:r w:rsidRPr="004B7E92">
        <w:rPr>
          <w:rFonts w:ascii="Times New Roman" w:eastAsiaTheme="minorEastAsia" w:hAnsi="Times New Roman" w:cs="Times New Roman"/>
          <w:sz w:val="20"/>
        </w:rPr>
        <w:t xml:space="preserve"> subgroup combinations</w:t>
      </w:r>
      <w:r w:rsidRPr="0028329B">
        <w:rPr>
          <w:rFonts w:ascii="Times New Roman" w:eastAsiaTheme="minorEastAsia" w:hAnsi="Times New Roman" w:cs="Times New Roman"/>
          <w:sz w:val="20"/>
          <w:szCs w:val="20"/>
        </w:rPr>
        <w:t xml:space="preserve">. </w:t>
      </w:r>
      <w:r w:rsidRPr="004B7E92">
        <w:rPr>
          <w:rFonts w:ascii="Times New Roman" w:eastAsiaTheme="minorEastAsia" w:hAnsi="Times New Roman" w:cs="Times New Roman"/>
          <w:sz w:val="20"/>
        </w:rPr>
        <w:t xml:space="preserve">The y axis represents the proportion of patients who improve beyond the percentage indicated on the x-axis. In addition, we calculate the proportion of patients who have 30% improvement or higher and 50% improvement or higher in outcome from baseline within treatment and </w:t>
      </w:r>
      <w:proofErr w:type="spellStart"/>
      <w:r w:rsidRPr="004B7E92">
        <w:rPr>
          <w:rFonts w:ascii="Times New Roman" w:eastAsiaTheme="minorEastAsia" w:hAnsi="Times New Roman" w:cs="Times New Roman"/>
          <w:sz w:val="20"/>
        </w:rPr>
        <w:t>widespreadness</w:t>
      </w:r>
      <w:proofErr w:type="spellEnd"/>
      <w:r w:rsidRPr="004B7E92">
        <w:rPr>
          <w:rFonts w:ascii="Times New Roman" w:eastAsiaTheme="minorEastAsia" w:hAnsi="Times New Roman" w:cs="Times New Roman"/>
          <w:sz w:val="20"/>
        </w:rPr>
        <w:t xml:space="preserve"> combination which are displayed in the tables in</w:t>
      </w:r>
      <w:r>
        <w:rPr>
          <w:rFonts w:ascii="Times New Roman" w:eastAsiaTheme="minorEastAsia" w:hAnsi="Times New Roman" w:cs="Times New Roman"/>
          <w:sz w:val="20"/>
        </w:rPr>
        <w:t xml:space="preserve"> Extended Figures 8-10</w:t>
      </w:r>
      <w:r w:rsidRPr="004B7E92">
        <w:rPr>
          <w:rFonts w:ascii="Times New Roman" w:eastAsiaTheme="minorEastAsia" w:hAnsi="Times New Roman" w:cs="Times New Roman"/>
          <w:sz w:val="20"/>
        </w:rPr>
        <w:t xml:space="preserve">.  The difference in proportion of improvers is calculated between treatment and control for each </w:t>
      </w:r>
      <w:proofErr w:type="spellStart"/>
      <w:r w:rsidRPr="004B7E92">
        <w:rPr>
          <w:rFonts w:ascii="Times New Roman" w:eastAsiaTheme="minorEastAsia" w:hAnsi="Times New Roman" w:cs="Times New Roman"/>
          <w:sz w:val="20"/>
        </w:rPr>
        <w:t>widespreadness</w:t>
      </w:r>
      <w:proofErr w:type="spellEnd"/>
      <w:r w:rsidRPr="004B7E92">
        <w:rPr>
          <w:rFonts w:ascii="Times New Roman" w:eastAsiaTheme="minorEastAsia" w:hAnsi="Times New Roman" w:cs="Times New Roman"/>
          <w:sz w:val="20"/>
        </w:rPr>
        <w:t xml:space="preserve"> subgroup as well as the Number Needed to Treat (NNT).</w:t>
      </w:r>
      <w:r w:rsidRPr="004B7E92">
        <w:rPr>
          <w:rFonts w:ascii="Times New Roman" w:eastAsiaTheme="minorEastAsia" w:hAnsi="Times New Roman" w:cs="Times New Roman"/>
          <w:sz w:val="20"/>
        </w:rPr>
        <w:fldChar w:fldCharType="begin"/>
      </w:r>
      <w:r>
        <w:rPr>
          <w:rFonts w:ascii="Times New Roman" w:eastAsiaTheme="minorEastAsia" w:hAnsi="Times New Roman" w:cs="Times New Roman"/>
          <w:sz w:val="20"/>
        </w:rPr>
        <w:instrText xml:space="preserve"> ADDIN EN.CITE &lt;EndNote&gt;&lt;Cite&gt;&lt;Author&gt;Laupacis&lt;/Author&gt;&lt;Year&gt;1988&lt;/Year&gt;&lt;RecNum&gt;110&lt;/RecNum&gt;&lt;DisplayText&gt;&lt;style face="superscript"&gt;13&lt;/style&gt;&lt;/DisplayText&gt;&lt;record&gt;&lt;rec-number&gt;110&lt;/rec-number&gt;&lt;foreign-keys&gt;&lt;key app="EN" db-id="r0szfvss40rfr2e5sa1v5xv12zx0a0sspzet" timestamp="1661298769"&gt;110&lt;/key&gt;&lt;/foreign-keys&gt;&lt;ref-type name="Journal Article"&gt;17&lt;/ref-type&gt;&lt;contributors&gt;&lt;authors&gt;&lt;author&gt;Laupacis, Andreas&lt;/author&gt;&lt;author&gt;Sackett, David L&lt;/author&gt;&lt;author&gt;Roberts, Robin S&lt;/author&gt;&lt;/authors&gt;&lt;/contributors&gt;&lt;titles&gt;&lt;title&gt;An assessment of clinically useful measures of the consequences of treatment&lt;/title&gt;&lt;secondary-title&gt;New England journal of medicine&lt;/secondary-title&gt;&lt;/titles&gt;&lt;periodical&gt;&lt;full-title&gt;New England journal of medicine&lt;/full-title&gt;&lt;/periodical&gt;&lt;pages&gt;1728-1733&lt;/pages&gt;&lt;volume&gt;318&lt;/volume&gt;&lt;number&gt;26&lt;/number&gt;&lt;dates&gt;&lt;year&gt;1988&lt;/year&gt;&lt;/dates&gt;&lt;isbn&gt;0028-4793&lt;/isbn&gt;&lt;urls&gt;&lt;/urls&gt;&lt;/record&gt;&lt;/Cite&gt;&lt;/EndNote&gt;</w:instrText>
      </w:r>
      <w:r w:rsidRPr="004B7E92">
        <w:rPr>
          <w:rFonts w:ascii="Times New Roman" w:eastAsiaTheme="minorEastAsia" w:hAnsi="Times New Roman" w:cs="Times New Roman"/>
          <w:sz w:val="20"/>
        </w:rPr>
        <w:fldChar w:fldCharType="separate"/>
      </w:r>
      <w:r w:rsidRPr="00C00638">
        <w:rPr>
          <w:rFonts w:ascii="Times New Roman" w:eastAsiaTheme="minorEastAsia" w:hAnsi="Times New Roman" w:cs="Times New Roman"/>
          <w:noProof/>
          <w:sz w:val="20"/>
          <w:vertAlign w:val="superscript"/>
        </w:rPr>
        <w:t>13</w:t>
      </w:r>
      <w:r w:rsidRPr="004B7E92">
        <w:rPr>
          <w:rFonts w:ascii="Times New Roman" w:eastAsiaTheme="minorEastAsia" w:hAnsi="Times New Roman" w:cs="Times New Roman"/>
          <w:sz w:val="20"/>
        </w:rPr>
        <w:fldChar w:fldCharType="end"/>
      </w:r>
      <w:r w:rsidRPr="004B7E92">
        <w:rPr>
          <w:rFonts w:ascii="Times New Roman" w:eastAsiaTheme="minorEastAsia" w:hAnsi="Times New Roman" w:cs="Times New Roman"/>
          <w:sz w:val="20"/>
        </w:rPr>
        <w:t xml:space="preserve">  The non-parametric two-sided Wilcoxon Rank Sum test utilizing normal approximation was used to test the difference in observed percentage change improvement curves between treatment and control within </w:t>
      </w:r>
      <w:proofErr w:type="spellStart"/>
      <w:r w:rsidRPr="004B7E92">
        <w:rPr>
          <w:rFonts w:ascii="Times New Roman" w:eastAsiaTheme="minorEastAsia" w:hAnsi="Times New Roman" w:cs="Times New Roman"/>
          <w:sz w:val="20"/>
        </w:rPr>
        <w:t>widespreadness</w:t>
      </w:r>
      <w:proofErr w:type="spellEnd"/>
      <w:r w:rsidRPr="004B7E92">
        <w:rPr>
          <w:rFonts w:ascii="Times New Roman" w:eastAsiaTheme="minorEastAsia" w:hAnsi="Times New Roman" w:cs="Times New Roman"/>
          <w:sz w:val="20"/>
        </w:rPr>
        <w:t xml:space="preserve"> subgroup.</w:t>
      </w:r>
      <w:r w:rsidRPr="004B7E92">
        <w:rPr>
          <w:rFonts w:ascii="Times New Roman" w:eastAsiaTheme="minorEastAsia" w:hAnsi="Times New Roman" w:cs="Times New Roman"/>
          <w:sz w:val="20"/>
        </w:rPr>
        <w:fldChar w:fldCharType="begin"/>
      </w:r>
      <w:r>
        <w:rPr>
          <w:rFonts w:ascii="Times New Roman" w:eastAsiaTheme="minorEastAsia" w:hAnsi="Times New Roman" w:cs="Times New Roman"/>
          <w:sz w:val="20"/>
        </w:rPr>
        <w:instrText xml:space="preserve"> ADDIN EN.CITE &lt;EndNote&gt;&lt;Cite&gt;&lt;Author&gt;Hollander&lt;/Author&gt;&lt;Year&gt;2013&lt;/Year&gt;&lt;RecNum&gt;111&lt;/RecNum&gt;&lt;DisplayText&gt;&lt;style face="superscript"&gt;14&lt;/style&gt;&lt;/DisplayText&gt;&lt;record&gt;&lt;rec-number&gt;111&lt;/rec-number&gt;&lt;foreign-keys&gt;&lt;key app="EN" db-id="r0szfvss40rfr2e5sa1v5xv12zx0a0sspzet" timestamp="1661298844"&gt;111&lt;/key&gt;&lt;/foreign-keys&gt;&lt;ref-type name="Book"&gt;6&lt;/ref-type&gt;&lt;contributors&gt;&lt;authors&gt;&lt;author&gt;Hollander, Myles&lt;/author&gt;&lt;author&gt;Wolfe, Douglas A&lt;/author&gt;&lt;author&gt;Chicken, Eric&lt;/author&gt;&lt;/authors&gt;&lt;/contributors&gt;&lt;titles&gt;&lt;title&gt;Nonparametric statistical methods&lt;/title&gt;&lt;/titles&gt;&lt;dates&gt;&lt;year&gt;2013&lt;/year&gt;&lt;/dates&gt;&lt;publisher&gt;John Wiley &amp;amp; Sons&lt;/publisher&gt;&lt;isbn&gt;1118553292&lt;/isbn&gt;&lt;urls&gt;&lt;/urls&gt;&lt;/record&gt;&lt;/Cite&gt;&lt;/EndNote&gt;</w:instrText>
      </w:r>
      <w:r w:rsidRPr="004B7E92">
        <w:rPr>
          <w:rFonts w:ascii="Times New Roman" w:eastAsiaTheme="minorEastAsia" w:hAnsi="Times New Roman" w:cs="Times New Roman"/>
          <w:sz w:val="20"/>
        </w:rPr>
        <w:fldChar w:fldCharType="separate"/>
      </w:r>
      <w:r w:rsidRPr="00C00638">
        <w:rPr>
          <w:rFonts w:ascii="Times New Roman" w:eastAsiaTheme="minorEastAsia" w:hAnsi="Times New Roman" w:cs="Times New Roman"/>
          <w:noProof/>
          <w:sz w:val="20"/>
          <w:vertAlign w:val="superscript"/>
        </w:rPr>
        <w:t>14</w:t>
      </w:r>
      <w:r w:rsidRPr="004B7E92">
        <w:rPr>
          <w:rFonts w:ascii="Times New Roman" w:eastAsiaTheme="minorEastAsia" w:hAnsi="Times New Roman" w:cs="Times New Roman"/>
          <w:sz w:val="20"/>
        </w:rPr>
        <w:fldChar w:fldCharType="end"/>
      </w:r>
      <w:r w:rsidRPr="0088655A">
        <w:rPr>
          <w:rFonts w:ascii="Times New Roman" w:eastAsiaTheme="minorEastAsia" w:hAnsi="Times New Roman" w:cs="Times New Roman"/>
        </w:rPr>
        <w:tab/>
      </w:r>
    </w:p>
    <w:p w14:paraId="6F6661EB" w14:textId="77777777" w:rsidR="00B724C5" w:rsidRPr="0044084E" w:rsidRDefault="00B724C5" w:rsidP="00B724C5">
      <w:pPr>
        <w:pStyle w:val="Heading1"/>
        <w:spacing w:before="0" w:after="120"/>
        <w:rPr>
          <w:sz w:val="28"/>
          <w:szCs w:val="28"/>
          <w:u w:val="single"/>
        </w:rPr>
      </w:pPr>
      <w:bookmarkStart w:id="29" w:name="_Toc110274182"/>
      <w:bookmarkStart w:id="30" w:name="_Toc123674521"/>
      <w:r>
        <w:rPr>
          <w:sz w:val="28"/>
          <w:szCs w:val="28"/>
          <w:u w:val="single"/>
        </w:rPr>
        <w:t xml:space="preserve">Supplementary </w:t>
      </w:r>
      <w:r w:rsidRPr="0044084E">
        <w:rPr>
          <w:sz w:val="28"/>
          <w:szCs w:val="28"/>
          <w:u w:val="single"/>
        </w:rPr>
        <w:t>Results</w:t>
      </w:r>
      <w:bookmarkEnd w:id="29"/>
      <w:bookmarkEnd w:id="30"/>
    </w:p>
    <w:p w14:paraId="45C779AB" w14:textId="77777777" w:rsidR="00B724C5" w:rsidRPr="007B0763" w:rsidRDefault="00B724C5" w:rsidP="00B724C5">
      <w:pPr>
        <w:pStyle w:val="Heading2"/>
        <w:spacing w:before="120" w:after="120"/>
        <w:rPr>
          <w:rFonts w:ascii="Times New Roman" w:hAnsi="Times New Roman" w:cs="Times New Roman"/>
          <w:i/>
          <w:color w:val="auto"/>
          <w:sz w:val="20"/>
          <w:szCs w:val="20"/>
        </w:rPr>
      </w:pPr>
      <w:bookmarkStart w:id="31" w:name="_Toc110274183"/>
      <w:bookmarkStart w:id="32" w:name="_Toc123674522"/>
      <w:r w:rsidRPr="007B0763">
        <w:rPr>
          <w:rFonts w:ascii="Times New Roman" w:hAnsi="Times New Roman" w:cs="Times New Roman"/>
          <w:i/>
          <w:color w:val="auto"/>
          <w:sz w:val="20"/>
          <w:szCs w:val="20"/>
        </w:rPr>
        <w:t>Consensus Clustering</w:t>
      </w:r>
      <w:bookmarkEnd w:id="31"/>
      <w:bookmarkEnd w:id="32"/>
      <w:r w:rsidRPr="007B0763">
        <w:rPr>
          <w:rFonts w:ascii="Times New Roman" w:hAnsi="Times New Roman" w:cs="Times New Roman"/>
          <w:i/>
          <w:color w:val="auto"/>
          <w:sz w:val="20"/>
          <w:szCs w:val="20"/>
        </w:rPr>
        <w:t xml:space="preserve"> </w:t>
      </w:r>
    </w:p>
    <w:p w14:paraId="1093745C" w14:textId="77777777" w:rsidR="00B724C5" w:rsidRPr="004B7E92" w:rsidRDefault="00B724C5" w:rsidP="00B724C5">
      <w:pPr>
        <w:keepNext/>
        <w:keepLines/>
        <w:spacing w:before="120" w:after="120"/>
        <w:ind w:firstLine="720"/>
        <w:rPr>
          <w:rFonts w:ascii="Times New Roman" w:hAnsi="Times New Roman" w:cs="Times New Roman"/>
          <w:sz w:val="20"/>
        </w:rPr>
      </w:pPr>
      <w:r w:rsidRPr="004B7E92">
        <w:rPr>
          <w:rFonts w:ascii="Times New Roman" w:hAnsi="Times New Roman" w:cs="Times New Roman"/>
          <w:sz w:val="20"/>
        </w:rPr>
        <w:t xml:space="preserve">From the CC algorithm we determined that K=2 clusters was optimal, having the lowest PAC of 0.072 across all K and the highest mean consensus scores within cluster of 0.972 and 0.990 for Cluster 1 and Cluster 2 respectively (Figure S9). Between the two clusters, there was a strong separation in mean severity of the urinary pain, urgency and frequency items that tracked with the differential prevalence of the five scaled non-pelvic WSS questions of Headache (C1: 0.227, C2: 0.390), Backache (C1: 0.289, C2: 0.547), Chest Pain (C1: 0.036, C2: 0.105), Ache in Joints (C1: 0.240, C2: 0.496), and Abdominal Cramps (C1: 0.138, C2: 0.372). We determined that patients belonging to Cluster 1 are indicative of a low </w:t>
      </w:r>
      <w:proofErr w:type="spellStart"/>
      <w:r w:rsidRPr="004B7E92">
        <w:rPr>
          <w:rFonts w:ascii="Times New Roman" w:hAnsi="Times New Roman" w:cs="Times New Roman"/>
          <w:sz w:val="20"/>
        </w:rPr>
        <w:t>widespreadness</w:t>
      </w:r>
      <w:proofErr w:type="spellEnd"/>
      <w:r w:rsidRPr="004B7E92">
        <w:rPr>
          <w:rFonts w:ascii="Times New Roman" w:hAnsi="Times New Roman" w:cs="Times New Roman"/>
          <w:sz w:val="20"/>
        </w:rPr>
        <w:t xml:space="preserve"> of pain subgroup and Cluster 2 as a high </w:t>
      </w:r>
      <w:proofErr w:type="spellStart"/>
      <w:r w:rsidRPr="004B7E92">
        <w:rPr>
          <w:rFonts w:ascii="Times New Roman" w:hAnsi="Times New Roman" w:cs="Times New Roman"/>
          <w:sz w:val="20"/>
        </w:rPr>
        <w:t>widespreadness</w:t>
      </w:r>
      <w:proofErr w:type="spellEnd"/>
      <w:r w:rsidRPr="004B7E92">
        <w:rPr>
          <w:rFonts w:ascii="Times New Roman" w:hAnsi="Times New Roman" w:cs="Times New Roman"/>
          <w:sz w:val="20"/>
        </w:rPr>
        <w:t xml:space="preserve"> of pain subgroup</w:t>
      </w:r>
      <w:r>
        <w:rPr>
          <w:rFonts w:ascii="Times New Roman" w:hAnsi="Times New Roman" w:cs="Times New Roman"/>
          <w:sz w:val="20"/>
        </w:rPr>
        <w:t xml:space="preserve"> (</w:t>
      </w:r>
      <w:proofErr w:type="spellStart"/>
      <w:r>
        <w:rPr>
          <w:rFonts w:ascii="Times New Roman" w:hAnsi="Times New Roman" w:cs="Times New Roman"/>
          <w:sz w:val="20"/>
        </w:rPr>
        <w:t>eFigures</w:t>
      </w:r>
      <w:proofErr w:type="spellEnd"/>
      <w:r>
        <w:rPr>
          <w:rFonts w:ascii="Times New Roman" w:hAnsi="Times New Roman" w:cs="Times New Roman"/>
          <w:sz w:val="20"/>
        </w:rPr>
        <w:t xml:space="preserve"> 1-2). </w:t>
      </w:r>
    </w:p>
    <w:p w14:paraId="03E39BBB" w14:textId="77777777" w:rsidR="00B724C5" w:rsidRPr="007B0763" w:rsidRDefault="00B724C5" w:rsidP="00B724C5">
      <w:pPr>
        <w:pStyle w:val="Heading2"/>
        <w:spacing w:before="120" w:after="120"/>
        <w:rPr>
          <w:rFonts w:ascii="Times New Roman" w:hAnsi="Times New Roman" w:cs="Times New Roman"/>
          <w:i/>
          <w:color w:val="auto"/>
          <w:sz w:val="20"/>
          <w:szCs w:val="20"/>
        </w:rPr>
      </w:pPr>
      <w:bookmarkStart w:id="33" w:name="_Toc110274184"/>
      <w:bookmarkStart w:id="34" w:name="_Toc123674523"/>
      <w:r w:rsidRPr="007B0763">
        <w:rPr>
          <w:rFonts w:ascii="Times New Roman" w:hAnsi="Times New Roman" w:cs="Times New Roman"/>
          <w:i/>
          <w:color w:val="auto"/>
          <w:sz w:val="20"/>
          <w:szCs w:val="20"/>
        </w:rPr>
        <w:t xml:space="preserve">Optimizing the </w:t>
      </w:r>
      <w:proofErr w:type="spellStart"/>
      <w:r w:rsidRPr="007B0763">
        <w:rPr>
          <w:rFonts w:ascii="Times New Roman" w:hAnsi="Times New Roman" w:cs="Times New Roman"/>
          <w:i/>
          <w:color w:val="auto"/>
          <w:sz w:val="20"/>
          <w:szCs w:val="20"/>
        </w:rPr>
        <w:t>Widespreadness</w:t>
      </w:r>
      <w:proofErr w:type="spellEnd"/>
      <w:r w:rsidRPr="007B0763">
        <w:rPr>
          <w:rFonts w:ascii="Times New Roman" w:hAnsi="Times New Roman" w:cs="Times New Roman"/>
          <w:i/>
          <w:color w:val="auto"/>
          <w:sz w:val="20"/>
          <w:szCs w:val="20"/>
        </w:rPr>
        <w:t xml:space="preserve"> Subgroup Criteria with Consensus Clustering Results</w:t>
      </w:r>
      <w:bookmarkEnd w:id="33"/>
      <w:bookmarkEnd w:id="34"/>
    </w:p>
    <w:p w14:paraId="4DDA1226" w14:textId="77777777" w:rsidR="00B724C5" w:rsidRPr="004B7E92" w:rsidRDefault="00B724C5" w:rsidP="00B724C5">
      <w:pPr>
        <w:keepNext/>
        <w:keepLines/>
        <w:spacing w:before="120" w:after="120"/>
        <w:ind w:firstLine="720"/>
        <w:rPr>
          <w:rFonts w:ascii="Times New Roman" w:hAnsi="Times New Roman" w:cs="Times New Roman"/>
          <w:sz w:val="20"/>
        </w:rPr>
      </w:pPr>
      <w:r w:rsidRPr="004B7E92">
        <w:rPr>
          <w:rFonts w:ascii="Times New Roman" w:hAnsi="Times New Roman" w:cs="Times New Roman"/>
          <w:sz w:val="20"/>
        </w:rPr>
        <w:t>In the univariate logistic regression model with the sum of WSS items exceeding a symptom severity threshold of two or greater as predictor, we found that the cutoff of three or more of the five items provided the highest Youden index of 0.404 with a model AUC of 0.745 (</w:t>
      </w:r>
      <w:proofErr w:type="spellStart"/>
      <w:r>
        <w:rPr>
          <w:rFonts w:ascii="Times New Roman" w:hAnsi="Times New Roman" w:cs="Times New Roman"/>
          <w:sz w:val="20"/>
        </w:rPr>
        <w:t>eFigure</w:t>
      </w:r>
      <w:proofErr w:type="spellEnd"/>
      <w:r>
        <w:rPr>
          <w:rFonts w:ascii="Times New Roman" w:hAnsi="Times New Roman" w:cs="Times New Roman"/>
          <w:sz w:val="20"/>
        </w:rPr>
        <w:t xml:space="preserve"> 3</w:t>
      </w:r>
      <w:r w:rsidRPr="004B7E92">
        <w:rPr>
          <w:rFonts w:ascii="Times New Roman" w:hAnsi="Times New Roman" w:cs="Times New Roman"/>
          <w:sz w:val="20"/>
        </w:rPr>
        <w:t>). For the logistic regression model with the maximum severity (0-6) where three or more of the non-pelvic WSS items are greater than or equal to the severity level as predictor, we verify that a severity threshold of two or higher is optimal with a Youden index of 0.404 and model AUC of 0.742 (</w:t>
      </w:r>
      <w:proofErr w:type="spellStart"/>
      <w:r>
        <w:rPr>
          <w:rFonts w:ascii="Times New Roman" w:hAnsi="Times New Roman" w:cs="Times New Roman"/>
          <w:sz w:val="20"/>
        </w:rPr>
        <w:t>eFigure</w:t>
      </w:r>
      <w:proofErr w:type="spellEnd"/>
      <w:r>
        <w:rPr>
          <w:rFonts w:ascii="Times New Roman" w:hAnsi="Times New Roman" w:cs="Times New Roman"/>
          <w:sz w:val="20"/>
        </w:rPr>
        <w:t xml:space="preserve"> 4</w:t>
      </w:r>
      <w:r w:rsidRPr="004B7E92">
        <w:rPr>
          <w:rFonts w:ascii="Times New Roman" w:hAnsi="Times New Roman" w:cs="Times New Roman"/>
          <w:sz w:val="20"/>
        </w:rPr>
        <w:t xml:space="preserve">). From these models, we determine that a symptom severity score of two or higher for three or more items indicates a patient belongs to the high </w:t>
      </w:r>
      <w:proofErr w:type="spellStart"/>
      <w:r w:rsidRPr="004B7E92">
        <w:rPr>
          <w:rFonts w:ascii="Times New Roman" w:hAnsi="Times New Roman" w:cs="Times New Roman"/>
          <w:sz w:val="20"/>
        </w:rPr>
        <w:t>widespreadness</w:t>
      </w:r>
      <w:proofErr w:type="spellEnd"/>
      <w:r w:rsidRPr="004B7E92">
        <w:rPr>
          <w:rFonts w:ascii="Times New Roman" w:hAnsi="Times New Roman" w:cs="Times New Roman"/>
          <w:sz w:val="20"/>
        </w:rPr>
        <w:t xml:space="preserve"> of pain subgroup. We used this criterion to indicate the high </w:t>
      </w:r>
      <w:proofErr w:type="spellStart"/>
      <w:r w:rsidRPr="004B7E92">
        <w:rPr>
          <w:rFonts w:ascii="Times New Roman" w:hAnsi="Times New Roman" w:cs="Times New Roman"/>
          <w:sz w:val="20"/>
        </w:rPr>
        <w:t>widespreadness</w:t>
      </w:r>
      <w:proofErr w:type="spellEnd"/>
      <w:r w:rsidRPr="004B7E92">
        <w:rPr>
          <w:rFonts w:ascii="Times New Roman" w:hAnsi="Times New Roman" w:cs="Times New Roman"/>
          <w:sz w:val="20"/>
        </w:rPr>
        <w:t xml:space="preserve"> of pain subgroup in our article.</w:t>
      </w:r>
    </w:p>
    <w:p w14:paraId="41F72501" w14:textId="77777777" w:rsidR="00B724C5" w:rsidRPr="0088655A" w:rsidRDefault="00B724C5" w:rsidP="00B724C5">
      <w:bookmarkStart w:id="35" w:name="_Toc110274185"/>
      <w:r w:rsidRPr="0088655A">
        <w:br w:type="page"/>
      </w:r>
    </w:p>
    <w:p w14:paraId="4153721A" w14:textId="77777777" w:rsidR="00B724C5" w:rsidRPr="007B0763" w:rsidRDefault="00B724C5" w:rsidP="00B724C5">
      <w:pPr>
        <w:pStyle w:val="Heading1"/>
        <w:rPr>
          <w:rFonts w:asciiTheme="minorHAnsi" w:hAnsiTheme="minorHAnsi" w:cstheme="minorHAnsi"/>
          <w:sz w:val="22"/>
          <w:szCs w:val="22"/>
          <w:u w:val="single"/>
        </w:rPr>
      </w:pPr>
      <w:bookmarkStart w:id="36" w:name="_Toc123674524"/>
      <w:bookmarkEnd w:id="35"/>
      <w:r w:rsidRPr="007B0763">
        <w:rPr>
          <w:rFonts w:asciiTheme="minorHAnsi" w:hAnsiTheme="minorHAnsi" w:cstheme="minorHAnsi"/>
          <w:sz w:val="22"/>
          <w:szCs w:val="22"/>
          <w:u w:val="single"/>
        </w:rPr>
        <w:lastRenderedPageBreak/>
        <w:t>Supplementary Tables</w:t>
      </w:r>
      <w:bookmarkEnd w:id="36"/>
    </w:p>
    <w:p w14:paraId="394D2803" w14:textId="77777777" w:rsidR="00B724C5" w:rsidRPr="000D0C5F" w:rsidRDefault="00B724C5" w:rsidP="00B724C5">
      <w:pPr>
        <w:pStyle w:val="Heading3"/>
      </w:pPr>
      <w:bookmarkStart w:id="37" w:name="_Toc110274196"/>
      <w:bookmarkStart w:id="38" w:name="_Toc123674525"/>
      <w:r>
        <w:t>Supplementary T</w:t>
      </w:r>
      <w:r w:rsidRPr="000D0C5F">
        <w:t xml:space="preserve">able 1. Observed change in outcome and estimated treatment effects for complete case and multiple imputation </w:t>
      </w:r>
      <w:proofErr w:type="gramStart"/>
      <w:r w:rsidRPr="000D0C5F">
        <w:t>models</w:t>
      </w:r>
      <w:bookmarkEnd w:id="37"/>
      <w:bookmarkEnd w:id="38"/>
      <w:proofErr w:type="gramEnd"/>
    </w:p>
    <w:tbl>
      <w:tblPr>
        <w:tblStyle w:val="TableGrid"/>
        <w:tblW w:w="9985" w:type="dxa"/>
        <w:tblLook w:val="04A0" w:firstRow="1" w:lastRow="0" w:firstColumn="1" w:lastColumn="0" w:noHBand="0" w:noVBand="1"/>
      </w:tblPr>
      <w:tblGrid>
        <w:gridCol w:w="2965"/>
        <w:gridCol w:w="1800"/>
        <w:gridCol w:w="1980"/>
        <w:gridCol w:w="1540"/>
        <w:gridCol w:w="17"/>
        <w:gridCol w:w="1683"/>
      </w:tblGrid>
      <w:tr w:rsidR="00B724C5" w:rsidRPr="00CD028B" w14:paraId="28E11506" w14:textId="77777777" w:rsidTr="00186656">
        <w:trPr>
          <w:trHeight w:val="485"/>
        </w:trPr>
        <w:tc>
          <w:tcPr>
            <w:tcW w:w="2965" w:type="dxa"/>
            <w:hideMark/>
          </w:tcPr>
          <w:p w14:paraId="6004C963" w14:textId="77777777" w:rsidR="00B724C5" w:rsidRPr="00CD028B" w:rsidRDefault="00B724C5" w:rsidP="00186656">
            <w:pPr>
              <w:jc w:val="center"/>
              <w:rPr>
                <w:rFonts w:ascii="Arial" w:eastAsia="Times New Roman" w:hAnsi="Arial" w:cs="Arial"/>
                <w:color w:val="000000"/>
                <w:sz w:val="20"/>
                <w:szCs w:val="20"/>
              </w:rPr>
            </w:pPr>
            <w:bookmarkStart w:id="39" w:name="_Toc110274197"/>
            <w:r w:rsidRPr="00CD028B">
              <w:rPr>
                <w:rFonts w:ascii="Arial" w:eastAsia="Times New Roman" w:hAnsi="Arial" w:cs="Arial"/>
                <w:color w:val="000000"/>
                <w:sz w:val="20"/>
                <w:szCs w:val="20"/>
              </w:rPr>
              <w:t> </w:t>
            </w:r>
          </w:p>
        </w:tc>
        <w:tc>
          <w:tcPr>
            <w:tcW w:w="5337" w:type="dxa"/>
            <w:gridSpan w:val="4"/>
            <w:hideMark/>
          </w:tcPr>
          <w:p w14:paraId="32AED40D"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Complete Cases</w:t>
            </w:r>
          </w:p>
        </w:tc>
        <w:tc>
          <w:tcPr>
            <w:tcW w:w="1683" w:type="dxa"/>
            <w:hideMark/>
          </w:tcPr>
          <w:p w14:paraId="7809BE93"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Intent to Treat</w:t>
            </w:r>
          </w:p>
        </w:tc>
      </w:tr>
      <w:tr w:rsidR="00B724C5" w:rsidRPr="00CD028B" w14:paraId="4435217D" w14:textId="77777777" w:rsidTr="00186656">
        <w:trPr>
          <w:trHeight w:val="728"/>
        </w:trPr>
        <w:tc>
          <w:tcPr>
            <w:tcW w:w="2965" w:type="dxa"/>
            <w:hideMark/>
          </w:tcPr>
          <w:p w14:paraId="5DF05853"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w:t>
            </w:r>
          </w:p>
        </w:tc>
        <w:tc>
          <w:tcPr>
            <w:tcW w:w="1800" w:type="dxa"/>
            <w:hideMark/>
          </w:tcPr>
          <w:p w14:paraId="68795D7D"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Observed Change: Control mean (SD) </w:t>
            </w:r>
          </w:p>
        </w:tc>
        <w:tc>
          <w:tcPr>
            <w:tcW w:w="1980" w:type="dxa"/>
            <w:hideMark/>
          </w:tcPr>
          <w:p w14:paraId="13046F7C" w14:textId="77777777" w:rsidR="00B724C5" w:rsidRPr="00CD028B" w:rsidRDefault="00B724C5" w:rsidP="00186656">
            <w:pPr>
              <w:ind w:right="-103"/>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Observed Change: Treatment mean (SD)</w:t>
            </w:r>
          </w:p>
        </w:tc>
        <w:tc>
          <w:tcPr>
            <w:tcW w:w="1540" w:type="dxa"/>
            <w:hideMark/>
          </w:tcPr>
          <w:p w14:paraId="2C35B12E"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Complete Case Model: </w:t>
            </w:r>
            <w:proofErr w:type="spellStart"/>
            <w:r w:rsidRPr="00CD028B">
              <w:rPr>
                <w:rFonts w:ascii="Arial" w:eastAsia="Times New Roman" w:hAnsi="Arial" w:cs="Arial"/>
                <w:b/>
                <w:bCs/>
                <w:color w:val="000000"/>
                <w:sz w:val="20"/>
                <w:szCs w:val="20"/>
              </w:rPr>
              <w:t>Treatment</w:t>
            </w:r>
            <w:r w:rsidRPr="00CD028B">
              <w:rPr>
                <w:rFonts w:ascii="Arial" w:eastAsia="Times New Roman" w:hAnsi="Arial" w:cs="Arial"/>
                <w:color w:val="000000"/>
                <w:sz w:val="20"/>
                <w:szCs w:val="20"/>
                <w:vertAlign w:val="superscript"/>
              </w:rPr>
              <w:t>c</w:t>
            </w:r>
            <w:proofErr w:type="spellEnd"/>
            <w:r w:rsidRPr="00CD028B">
              <w:rPr>
                <w:rFonts w:ascii="Arial" w:eastAsia="Times New Roman" w:hAnsi="Arial" w:cs="Arial"/>
                <w:b/>
                <w:bCs/>
                <w:color w:val="000000"/>
                <w:sz w:val="20"/>
                <w:szCs w:val="20"/>
              </w:rPr>
              <w:t xml:space="preserve">  </w:t>
            </w:r>
          </w:p>
        </w:tc>
        <w:tc>
          <w:tcPr>
            <w:tcW w:w="1700" w:type="dxa"/>
            <w:gridSpan w:val="2"/>
            <w:hideMark/>
          </w:tcPr>
          <w:p w14:paraId="22DAEFFA"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MI Model: </w:t>
            </w:r>
            <w:proofErr w:type="spellStart"/>
            <w:r w:rsidRPr="00CD028B">
              <w:rPr>
                <w:rFonts w:ascii="Arial" w:eastAsia="Times New Roman" w:hAnsi="Arial" w:cs="Arial"/>
                <w:b/>
                <w:bCs/>
                <w:color w:val="000000"/>
                <w:sz w:val="20"/>
                <w:szCs w:val="20"/>
              </w:rPr>
              <w:t>Treatment</w:t>
            </w:r>
            <w:r w:rsidRPr="00CD028B">
              <w:rPr>
                <w:rFonts w:ascii="Arial" w:eastAsia="Times New Roman" w:hAnsi="Arial" w:cs="Arial"/>
                <w:color w:val="000000"/>
                <w:sz w:val="20"/>
                <w:szCs w:val="20"/>
                <w:vertAlign w:val="superscript"/>
              </w:rPr>
              <w:t>c</w:t>
            </w:r>
            <w:proofErr w:type="spellEnd"/>
            <w:r w:rsidRPr="00CD028B">
              <w:rPr>
                <w:rFonts w:ascii="Arial" w:eastAsia="Times New Roman" w:hAnsi="Arial" w:cs="Arial"/>
                <w:color w:val="000000"/>
                <w:sz w:val="20"/>
                <w:szCs w:val="20"/>
              </w:rPr>
              <w:t xml:space="preserve"> </w:t>
            </w:r>
            <w:r w:rsidRPr="00CD028B">
              <w:rPr>
                <w:rFonts w:ascii="Arial" w:eastAsia="Times New Roman" w:hAnsi="Arial" w:cs="Arial"/>
                <w:b/>
                <w:bCs/>
                <w:color w:val="000000"/>
                <w:sz w:val="20"/>
                <w:szCs w:val="20"/>
              </w:rPr>
              <w:t xml:space="preserve"> </w:t>
            </w:r>
          </w:p>
        </w:tc>
      </w:tr>
      <w:tr w:rsidR="00B724C5" w:rsidRPr="00CD028B" w14:paraId="08FE52BD" w14:textId="77777777" w:rsidTr="00186656">
        <w:trPr>
          <w:trHeight w:val="300"/>
        </w:trPr>
        <w:tc>
          <w:tcPr>
            <w:tcW w:w="9985" w:type="dxa"/>
            <w:gridSpan w:val="6"/>
            <w:noWrap/>
            <w:hideMark/>
          </w:tcPr>
          <w:p w14:paraId="45527FD1"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Oral PPS and Hydroxyzine</w:t>
            </w:r>
          </w:p>
        </w:tc>
      </w:tr>
      <w:tr w:rsidR="00B724C5" w:rsidRPr="00CD028B" w14:paraId="43C7C193" w14:textId="77777777" w:rsidTr="00186656">
        <w:trPr>
          <w:trHeight w:val="300"/>
        </w:trPr>
        <w:tc>
          <w:tcPr>
            <w:tcW w:w="2965" w:type="dxa"/>
            <w:noWrap/>
            <w:hideMark/>
          </w:tcPr>
          <w:p w14:paraId="1FB8E006"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N</w:t>
            </w:r>
          </w:p>
        </w:tc>
        <w:tc>
          <w:tcPr>
            <w:tcW w:w="1800" w:type="dxa"/>
            <w:noWrap/>
            <w:hideMark/>
          </w:tcPr>
          <w:p w14:paraId="127704F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74</w:t>
            </w:r>
          </w:p>
        </w:tc>
        <w:tc>
          <w:tcPr>
            <w:tcW w:w="1980" w:type="dxa"/>
            <w:noWrap/>
            <w:hideMark/>
          </w:tcPr>
          <w:p w14:paraId="7B06802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23</w:t>
            </w:r>
          </w:p>
        </w:tc>
        <w:tc>
          <w:tcPr>
            <w:tcW w:w="1540" w:type="dxa"/>
            <w:noWrap/>
            <w:hideMark/>
          </w:tcPr>
          <w:p w14:paraId="43700F45"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97</w:t>
            </w:r>
            <w:r w:rsidRPr="00CD028B">
              <w:rPr>
                <w:rFonts w:ascii="Arial" w:eastAsia="Times New Roman" w:hAnsi="Arial" w:cs="Arial"/>
                <w:color w:val="000000"/>
                <w:sz w:val="20"/>
                <w:szCs w:val="20"/>
                <w:vertAlign w:val="superscript"/>
              </w:rPr>
              <w:t>d</w:t>
            </w:r>
          </w:p>
        </w:tc>
        <w:tc>
          <w:tcPr>
            <w:tcW w:w="1700" w:type="dxa"/>
            <w:gridSpan w:val="2"/>
            <w:noWrap/>
            <w:hideMark/>
          </w:tcPr>
          <w:p w14:paraId="3D06AA80"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121</w:t>
            </w:r>
            <w:r w:rsidRPr="00CD028B">
              <w:rPr>
                <w:rFonts w:ascii="Arial" w:eastAsia="Times New Roman" w:hAnsi="Arial" w:cs="Arial"/>
                <w:color w:val="000000"/>
                <w:sz w:val="20"/>
                <w:szCs w:val="20"/>
                <w:vertAlign w:val="superscript"/>
              </w:rPr>
              <w:t>d</w:t>
            </w:r>
          </w:p>
        </w:tc>
      </w:tr>
      <w:tr w:rsidR="00B724C5" w:rsidRPr="00CD028B" w14:paraId="51CF40F9" w14:textId="77777777" w:rsidTr="00186656">
        <w:trPr>
          <w:trHeight w:val="242"/>
        </w:trPr>
        <w:tc>
          <w:tcPr>
            <w:tcW w:w="9985" w:type="dxa"/>
            <w:gridSpan w:val="6"/>
            <w:noWrap/>
            <w:hideMark/>
          </w:tcPr>
          <w:p w14:paraId="6159EC68" w14:textId="77777777" w:rsidR="00B724C5" w:rsidRPr="00CD028B" w:rsidRDefault="00B724C5" w:rsidP="00186656">
            <w:pPr>
              <w:jc w:val="center"/>
              <w:rPr>
                <w:rFonts w:ascii="Arial" w:eastAsia="Times New Roman" w:hAnsi="Arial" w:cs="Arial"/>
                <w:color w:val="000000"/>
                <w:sz w:val="16"/>
                <w:szCs w:val="16"/>
              </w:rPr>
            </w:pPr>
            <w:r w:rsidRPr="00CD028B">
              <w:rPr>
                <w:rFonts w:ascii="Arial" w:eastAsia="Times New Roman" w:hAnsi="Arial" w:cs="Arial"/>
                <w:color w:val="000000"/>
                <w:sz w:val="16"/>
                <w:szCs w:val="16"/>
              </w:rPr>
              <w:t>Logistic Regression on Log Odds Scale for Binary Outcome</w:t>
            </w:r>
          </w:p>
        </w:tc>
      </w:tr>
      <w:tr w:rsidR="00B724C5" w:rsidRPr="00CD028B" w14:paraId="4E7AD0AF" w14:textId="77777777" w:rsidTr="00186656">
        <w:trPr>
          <w:trHeight w:val="555"/>
        </w:trPr>
        <w:tc>
          <w:tcPr>
            <w:tcW w:w="2965" w:type="dxa"/>
            <w:noWrap/>
            <w:hideMark/>
          </w:tcPr>
          <w:p w14:paraId="16FC7F94"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GRA </w:t>
            </w:r>
            <w:proofErr w:type="spellStart"/>
            <w:r w:rsidRPr="00CD028B">
              <w:rPr>
                <w:rFonts w:ascii="Arial" w:eastAsia="Times New Roman" w:hAnsi="Arial" w:cs="Arial"/>
                <w:b/>
                <w:bCs/>
                <w:color w:val="000000"/>
                <w:sz w:val="20"/>
                <w:szCs w:val="20"/>
              </w:rPr>
              <w:t>Responder</w:t>
            </w:r>
            <w:r w:rsidRPr="00CD028B">
              <w:rPr>
                <w:rFonts w:ascii="Arial" w:eastAsia="Times New Roman" w:hAnsi="Arial" w:cs="Arial"/>
                <w:color w:val="000000"/>
                <w:sz w:val="20"/>
                <w:szCs w:val="20"/>
                <w:vertAlign w:val="superscript"/>
              </w:rPr>
              <w:t>a</w:t>
            </w:r>
            <w:proofErr w:type="spellEnd"/>
          </w:p>
        </w:tc>
        <w:tc>
          <w:tcPr>
            <w:tcW w:w="1800" w:type="dxa"/>
            <w:noWrap/>
            <w:hideMark/>
          </w:tcPr>
          <w:p w14:paraId="6FB7128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19 (26%)</w:t>
            </w:r>
          </w:p>
        </w:tc>
        <w:tc>
          <w:tcPr>
            <w:tcW w:w="1980" w:type="dxa"/>
            <w:noWrap/>
            <w:hideMark/>
          </w:tcPr>
          <w:p w14:paraId="5D4F977E"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12 (52%)</w:t>
            </w:r>
          </w:p>
        </w:tc>
        <w:tc>
          <w:tcPr>
            <w:tcW w:w="1540" w:type="dxa"/>
            <w:hideMark/>
          </w:tcPr>
          <w:p w14:paraId="5173A8BF"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1.18 (0.02)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0.19,2.17]</w:t>
            </w:r>
            <w:r w:rsidRPr="00CD028B">
              <w:rPr>
                <w:rFonts w:ascii="Arial" w:eastAsia="Times New Roman" w:hAnsi="Arial" w:cs="Arial"/>
                <w:color w:val="000000"/>
                <w:sz w:val="20"/>
                <w:szCs w:val="20"/>
                <w:vertAlign w:val="superscript"/>
              </w:rPr>
              <w:t>e</w:t>
            </w:r>
          </w:p>
        </w:tc>
        <w:tc>
          <w:tcPr>
            <w:tcW w:w="1700" w:type="dxa"/>
            <w:gridSpan w:val="2"/>
            <w:hideMark/>
          </w:tcPr>
          <w:p w14:paraId="5D1D776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1.09 (0.027)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0.12,2.06]</w:t>
            </w:r>
            <w:r w:rsidRPr="00CD028B">
              <w:rPr>
                <w:rFonts w:ascii="Arial" w:eastAsia="Times New Roman" w:hAnsi="Arial" w:cs="Arial"/>
                <w:color w:val="000000"/>
                <w:sz w:val="20"/>
                <w:szCs w:val="20"/>
                <w:vertAlign w:val="superscript"/>
              </w:rPr>
              <w:t>e</w:t>
            </w:r>
          </w:p>
        </w:tc>
      </w:tr>
      <w:tr w:rsidR="00B724C5" w:rsidRPr="00CD028B" w14:paraId="3F77072C" w14:textId="77777777" w:rsidTr="00186656">
        <w:trPr>
          <w:trHeight w:val="242"/>
        </w:trPr>
        <w:tc>
          <w:tcPr>
            <w:tcW w:w="9985" w:type="dxa"/>
            <w:gridSpan w:val="6"/>
            <w:noWrap/>
            <w:hideMark/>
          </w:tcPr>
          <w:p w14:paraId="58A4A5BC" w14:textId="77777777" w:rsidR="00B724C5" w:rsidRPr="00CD028B" w:rsidRDefault="00B724C5" w:rsidP="00186656">
            <w:pPr>
              <w:jc w:val="center"/>
              <w:rPr>
                <w:rFonts w:ascii="Arial" w:eastAsia="Times New Roman" w:hAnsi="Arial" w:cs="Arial"/>
                <w:color w:val="000000"/>
                <w:sz w:val="16"/>
                <w:szCs w:val="16"/>
              </w:rPr>
            </w:pPr>
            <w:r w:rsidRPr="00CD028B">
              <w:rPr>
                <w:rFonts w:ascii="Arial" w:eastAsia="Times New Roman" w:hAnsi="Arial" w:cs="Arial"/>
                <w:color w:val="000000"/>
                <w:sz w:val="16"/>
                <w:szCs w:val="16"/>
              </w:rPr>
              <w:t>Absolute Change on NRS Scale</w:t>
            </w:r>
          </w:p>
        </w:tc>
      </w:tr>
      <w:tr w:rsidR="00B724C5" w:rsidRPr="00CD028B" w14:paraId="33C53BB8" w14:textId="77777777" w:rsidTr="00186656">
        <w:trPr>
          <w:trHeight w:val="525"/>
        </w:trPr>
        <w:tc>
          <w:tcPr>
            <w:tcW w:w="2965" w:type="dxa"/>
            <w:noWrap/>
            <w:hideMark/>
          </w:tcPr>
          <w:p w14:paraId="545AEFB6"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Pain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800" w:type="dxa"/>
            <w:noWrap/>
            <w:hideMark/>
          </w:tcPr>
          <w:p w14:paraId="3FAAF2F5"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-0.76 (1.79)</w:t>
            </w:r>
          </w:p>
        </w:tc>
        <w:tc>
          <w:tcPr>
            <w:tcW w:w="1980" w:type="dxa"/>
            <w:noWrap/>
            <w:hideMark/>
          </w:tcPr>
          <w:p w14:paraId="1C3772AE"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-1.63 (1.95)</w:t>
            </w:r>
          </w:p>
        </w:tc>
        <w:tc>
          <w:tcPr>
            <w:tcW w:w="1540" w:type="dxa"/>
            <w:hideMark/>
          </w:tcPr>
          <w:p w14:paraId="1637303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-0.97 (0.029)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-1.85,-0.10]</w:t>
            </w:r>
          </w:p>
        </w:tc>
        <w:tc>
          <w:tcPr>
            <w:tcW w:w="1700" w:type="dxa"/>
            <w:gridSpan w:val="2"/>
            <w:hideMark/>
          </w:tcPr>
          <w:p w14:paraId="5E42626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-0.83 (0.052)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-1.66,0.01]</w:t>
            </w:r>
          </w:p>
        </w:tc>
      </w:tr>
      <w:tr w:rsidR="00B724C5" w:rsidRPr="00CD028B" w14:paraId="22D78054" w14:textId="77777777" w:rsidTr="00186656">
        <w:trPr>
          <w:trHeight w:val="525"/>
        </w:trPr>
        <w:tc>
          <w:tcPr>
            <w:tcW w:w="2965" w:type="dxa"/>
            <w:noWrap/>
            <w:hideMark/>
          </w:tcPr>
          <w:p w14:paraId="3090CDD3"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Urgency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800" w:type="dxa"/>
            <w:noWrap/>
            <w:hideMark/>
          </w:tcPr>
          <w:p w14:paraId="3E34D22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-0.96 (1.61)</w:t>
            </w:r>
          </w:p>
        </w:tc>
        <w:tc>
          <w:tcPr>
            <w:tcW w:w="1980" w:type="dxa"/>
            <w:noWrap/>
            <w:hideMark/>
          </w:tcPr>
          <w:p w14:paraId="0B6FB68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-1.28 (1.56)</w:t>
            </w:r>
          </w:p>
        </w:tc>
        <w:tc>
          <w:tcPr>
            <w:tcW w:w="1540" w:type="dxa"/>
            <w:hideMark/>
          </w:tcPr>
          <w:p w14:paraId="57B9488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-0.52 (0.184)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-1.28,0.25]</w:t>
            </w:r>
          </w:p>
        </w:tc>
        <w:tc>
          <w:tcPr>
            <w:tcW w:w="1700" w:type="dxa"/>
            <w:gridSpan w:val="2"/>
            <w:hideMark/>
          </w:tcPr>
          <w:p w14:paraId="7A1F6E4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-0.55 (0.134)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-1.26,0.17]</w:t>
            </w:r>
          </w:p>
        </w:tc>
      </w:tr>
      <w:tr w:rsidR="00B724C5" w:rsidRPr="00CD028B" w14:paraId="29CC1CDC" w14:textId="77777777" w:rsidTr="00186656">
        <w:trPr>
          <w:trHeight w:val="260"/>
        </w:trPr>
        <w:tc>
          <w:tcPr>
            <w:tcW w:w="9985" w:type="dxa"/>
            <w:gridSpan w:val="6"/>
            <w:noWrap/>
            <w:hideMark/>
          </w:tcPr>
          <w:p w14:paraId="4062CFD6"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Intravesical BCG</w:t>
            </w:r>
          </w:p>
        </w:tc>
      </w:tr>
      <w:tr w:rsidR="00B724C5" w:rsidRPr="00CD028B" w14:paraId="2A26D13F" w14:textId="77777777" w:rsidTr="00186656">
        <w:trPr>
          <w:trHeight w:val="98"/>
        </w:trPr>
        <w:tc>
          <w:tcPr>
            <w:tcW w:w="2965" w:type="dxa"/>
            <w:noWrap/>
            <w:hideMark/>
          </w:tcPr>
          <w:p w14:paraId="167BEEC7"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N</w:t>
            </w:r>
          </w:p>
        </w:tc>
        <w:tc>
          <w:tcPr>
            <w:tcW w:w="1800" w:type="dxa"/>
            <w:noWrap/>
            <w:hideMark/>
          </w:tcPr>
          <w:p w14:paraId="2B840D6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126</w:t>
            </w:r>
          </w:p>
        </w:tc>
        <w:tc>
          <w:tcPr>
            <w:tcW w:w="1980" w:type="dxa"/>
            <w:noWrap/>
            <w:hideMark/>
          </w:tcPr>
          <w:p w14:paraId="040207DA"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120</w:t>
            </w:r>
          </w:p>
        </w:tc>
        <w:tc>
          <w:tcPr>
            <w:tcW w:w="1540" w:type="dxa"/>
            <w:noWrap/>
            <w:hideMark/>
          </w:tcPr>
          <w:p w14:paraId="5CF3DFD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246</w:t>
            </w:r>
            <w:r w:rsidRPr="00CD028B">
              <w:rPr>
                <w:rFonts w:ascii="Arial" w:eastAsia="Times New Roman" w:hAnsi="Arial" w:cs="Arial"/>
                <w:color w:val="000000"/>
                <w:sz w:val="20"/>
                <w:szCs w:val="20"/>
                <w:vertAlign w:val="superscript"/>
              </w:rPr>
              <w:t>d</w:t>
            </w:r>
          </w:p>
        </w:tc>
        <w:tc>
          <w:tcPr>
            <w:tcW w:w="1700" w:type="dxa"/>
            <w:gridSpan w:val="2"/>
            <w:noWrap/>
            <w:hideMark/>
          </w:tcPr>
          <w:p w14:paraId="12DFAE1A"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265</w:t>
            </w:r>
            <w:r w:rsidRPr="00CD028B">
              <w:rPr>
                <w:rFonts w:ascii="Arial" w:eastAsia="Times New Roman" w:hAnsi="Arial" w:cs="Arial"/>
                <w:color w:val="000000"/>
                <w:sz w:val="20"/>
                <w:szCs w:val="20"/>
                <w:vertAlign w:val="superscript"/>
              </w:rPr>
              <w:t>d</w:t>
            </w:r>
          </w:p>
        </w:tc>
      </w:tr>
      <w:tr w:rsidR="00B724C5" w:rsidRPr="00CD028B" w14:paraId="6DAC12C7" w14:textId="77777777" w:rsidTr="00186656">
        <w:trPr>
          <w:trHeight w:val="242"/>
        </w:trPr>
        <w:tc>
          <w:tcPr>
            <w:tcW w:w="9985" w:type="dxa"/>
            <w:gridSpan w:val="6"/>
            <w:noWrap/>
            <w:hideMark/>
          </w:tcPr>
          <w:p w14:paraId="2E362166" w14:textId="77777777" w:rsidR="00B724C5" w:rsidRPr="00CD028B" w:rsidRDefault="00B724C5" w:rsidP="00186656">
            <w:pPr>
              <w:jc w:val="center"/>
              <w:rPr>
                <w:rFonts w:ascii="Arial" w:eastAsia="Times New Roman" w:hAnsi="Arial" w:cs="Arial"/>
                <w:color w:val="000000"/>
                <w:sz w:val="16"/>
                <w:szCs w:val="16"/>
              </w:rPr>
            </w:pPr>
            <w:r w:rsidRPr="00CD028B">
              <w:rPr>
                <w:rFonts w:ascii="Arial" w:eastAsia="Times New Roman" w:hAnsi="Arial" w:cs="Arial"/>
                <w:color w:val="000000"/>
                <w:sz w:val="16"/>
                <w:szCs w:val="16"/>
              </w:rPr>
              <w:t>Logistic Regression on Log Odds Scale for Binary Outcome</w:t>
            </w:r>
          </w:p>
        </w:tc>
      </w:tr>
      <w:tr w:rsidR="00B724C5" w:rsidRPr="00CD028B" w14:paraId="30430227" w14:textId="77777777" w:rsidTr="00186656">
        <w:trPr>
          <w:trHeight w:val="449"/>
        </w:trPr>
        <w:tc>
          <w:tcPr>
            <w:tcW w:w="2965" w:type="dxa"/>
            <w:noWrap/>
            <w:hideMark/>
          </w:tcPr>
          <w:p w14:paraId="7D595C7E"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GRA </w:t>
            </w:r>
            <w:proofErr w:type="spellStart"/>
            <w:r w:rsidRPr="00CD028B">
              <w:rPr>
                <w:rFonts w:ascii="Arial" w:eastAsia="Times New Roman" w:hAnsi="Arial" w:cs="Arial"/>
                <w:b/>
                <w:bCs/>
                <w:color w:val="000000"/>
                <w:sz w:val="20"/>
                <w:szCs w:val="20"/>
              </w:rPr>
              <w:t>Responder</w:t>
            </w:r>
            <w:r w:rsidRPr="00CD028B">
              <w:rPr>
                <w:rFonts w:ascii="Arial" w:eastAsia="Times New Roman" w:hAnsi="Arial" w:cs="Arial"/>
                <w:color w:val="000000"/>
                <w:sz w:val="20"/>
                <w:szCs w:val="20"/>
                <w:vertAlign w:val="superscript"/>
              </w:rPr>
              <w:t>a</w:t>
            </w:r>
            <w:proofErr w:type="spellEnd"/>
          </w:p>
        </w:tc>
        <w:tc>
          <w:tcPr>
            <w:tcW w:w="1800" w:type="dxa"/>
            <w:noWrap/>
            <w:hideMark/>
          </w:tcPr>
          <w:p w14:paraId="683E45E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16 (13%)</w:t>
            </w:r>
          </w:p>
        </w:tc>
        <w:tc>
          <w:tcPr>
            <w:tcW w:w="1980" w:type="dxa"/>
            <w:noWrap/>
            <w:hideMark/>
          </w:tcPr>
          <w:p w14:paraId="380BCF8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27 (23%)</w:t>
            </w:r>
          </w:p>
        </w:tc>
        <w:tc>
          <w:tcPr>
            <w:tcW w:w="1540" w:type="dxa"/>
            <w:hideMark/>
          </w:tcPr>
          <w:p w14:paraId="38258BD8"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0.71 (0.037)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0.04,1.37]</w:t>
            </w:r>
            <w:r w:rsidRPr="00CD028B">
              <w:rPr>
                <w:rFonts w:ascii="Arial" w:eastAsia="Times New Roman" w:hAnsi="Arial" w:cs="Arial"/>
                <w:color w:val="000000"/>
                <w:sz w:val="20"/>
                <w:szCs w:val="20"/>
                <w:vertAlign w:val="superscript"/>
              </w:rPr>
              <w:t>e</w:t>
            </w:r>
          </w:p>
        </w:tc>
        <w:tc>
          <w:tcPr>
            <w:tcW w:w="1700" w:type="dxa"/>
            <w:gridSpan w:val="2"/>
            <w:hideMark/>
          </w:tcPr>
          <w:p w14:paraId="1372A57A"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0.67 (0.048)</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0.01,1.33]</w:t>
            </w:r>
            <w:r w:rsidRPr="00CD028B">
              <w:rPr>
                <w:rFonts w:ascii="Arial" w:eastAsia="Times New Roman" w:hAnsi="Arial" w:cs="Arial"/>
                <w:color w:val="000000"/>
                <w:sz w:val="20"/>
                <w:szCs w:val="20"/>
                <w:vertAlign w:val="superscript"/>
              </w:rPr>
              <w:t>e</w:t>
            </w:r>
          </w:p>
        </w:tc>
      </w:tr>
      <w:tr w:rsidR="00B724C5" w:rsidRPr="00CD028B" w14:paraId="0FCAF7E3" w14:textId="77777777" w:rsidTr="00186656">
        <w:trPr>
          <w:trHeight w:val="300"/>
        </w:trPr>
        <w:tc>
          <w:tcPr>
            <w:tcW w:w="9985" w:type="dxa"/>
            <w:gridSpan w:val="6"/>
            <w:noWrap/>
            <w:hideMark/>
          </w:tcPr>
          <w:p w14:paraId="15B65AED" w14:textId="77777777" w:rsidR="00B724C5" w:rsidRPr="00CD028B" w:rsidRDefault="00B724C5" w:rsidP="00186656">
            <w:pPr>
              <w:jc w:val="center"/>
              <w:rPr>
                <w:rFonts w:ascii="Arial" w:eastAsia="Times New Roman" w:hAnsi="Arial" w:cs="Arial"/>
                <w:color w:val="000000"/>
                <w:sz w:val="16"/>
                <w:szCs w:val="16"/>
              </w:rPr>
            </w:pPr>
            <w:r w:rsidRPr="00CD028B">
              <w:rPr>
                <w:rFonts w:ascii="Arial" w:eastAsia="Times New Roman" w:hAnsi="Arial" w:cs="Arial"/>
                <w:color w:val="000000"/>
                <w:sz w:val="16"/>
                <w:szCs w:val="16"/>
              </w:rPr>
              <w:t>Absolute Change on NRS Scale</w:t>
            </w:r>
          </w:p>
        </w:tc>
      </w:tr>
      <w:tr w:rsidR="00B724C5" w:rsidRPr="00CD028B" w14:paraId="548C0EFE" w14:textId="77777777" w:rsidTr="00186656">
        <w:trPr>
          <w:trHeight w:val="386"/>
        </w:trPr>
        <w:tc>
          <w:tcPr>
            <w:tcW w:w="2965" w:type="dxa"/>
            <w:noWrap/>
            <w:hideMark/>
          </w:tcPr>
          <w:p w14:paraId="7894855F"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Pain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800" w:type="dxa"/>
            <w:noWrap/>
            <w:hideMark/>
          </w:tcPr>
          <w:p w14:paraId="74CD7968"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-0.91 (2.12)</w:t>
            </w:r>
          </w:p>
        </w:tc>
        <w:tc>
          <w:tcPr>
            <w:tcW w:w="1980" w:type="dxa"/>
            <w:noWrap/>
            <w:hideMark/>
          </w:tcPr>
          <w:p w14:paraId="09B77A34"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-1.44 (2.43)</w:t>
            </w:r>
          </w:p>
        </w:tc>
        <w:tc>
          <w:tcPr>
            <w:tcW w:w="1540" w:type="dxa"/>
            <w:hideMark/>
          </w:tcPr>
          <w:p w14:paraId="5ED7D443"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-0.51 (0.086)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-1.09,0.07]</w:t>
            </w:r>
          </w:p>
        </w:tc>
        <w:tc>
          <w:tcPr>
            <w:tcW w:w="1700" w:type="dxa"/>
            <w:gridSpan w:val="2"/>
            <w:hideMark/>
          </w:tcPr>
          <w:p w14:paraId="18F6F11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-0.49 (0.087)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-1.06,0.07]</w:t>
            </w:r>
          </w:p>
        </w:tc>
      </w:tr>
      <w:tr w:rsidR="00B724C5" w:rsidRPr="00CD028B" w14:paraId="7120CD07" w14:textId="77777777" w:rsidTr="00186656">
        <w:trPr>
          <w:trHeight w:val="449"/>
        </w:trPr>
        <w:tc>
          <w:tcPr>
            <w:tcW w:w="2965" w:type="dxa"/>
            <w:noWrap/>
            <w:hideMark/>
          </w:tcPr>
          <w:p w14:paraId="1C2807FC"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Urgency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800" w:type="dxa"/>
            <w:noWrap/>
            <w:hideMark/>
          </w:tcPr>
          <w:p w14:paraId="46C6FCA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-0.93 (1.99)</w:t>
            </w:r>
          </w:p>
        </w:tc>
        <w:tc>
          <w:tcPr>
            <w:tcW w:w="1980" w:type="dxa"/>
            <w:noWrap/>
            <w:hideMark/>
          </w:tcPr>
          <w:p w14:paraId="5AD67B2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-1.53 (2.32)</w:t>
            </w:r>
          </w:p>
        </w:tc>
        <w:tc>
          <w:tcPr>
            <w:tcW w:w="1540" w:type="dxa"/>
            <w:hideMark/>
          </w:tcPr>
          <w:p w14:paraId="713FC974"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-0.63 (0.024)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-1.17,-0.08]</w:t>
            </w:r>
          </w:p>
        </w:tc>
        <w:tc>
          <w:tcPr>
            <w:tcW w:w="1700" w:type="dxa"/>
            <w:gridSpan w:val="2"/>
            <w:hideMark/>
          </w:tcPr>
          <w:p w14:paraId="3720671E"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-0.57 (0.034)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-1.09,-0.04]</w:t>
            </w:r>
          </w:p>
        </w:tc>
      </w:tr>
      <w:tr w:rsidR="00B724C5" w:rsidRPr="00CD028B" w14:paraId="7E2F0FDB" w14:textId="77777777" w:rsidTr="00186656">
        <w:trPr>
          <w:trHeight w:val="161"/>
        </w:trPr>
        <w:tc>
          <w:tcPr>
            <w:tcW w:w="9985" w:type="dxa"/>
            <w:gridSpan w:val="6"/>
            <w:noWrap/>
            <w:hideMark/>
          </w:tcPr>
          <w:p w14:paraId="12666B4C"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Oral Amitriptyline with EBMP</w:t>
            </w:r>
          </w:p>
        </w:tc>
      </w:tr>
      <w:tr w:rsidR="00B724C5" w:rsidRPr="00CD028B" w14:paraId="7C392477" w14:textId="77777777" w:rsidTr="00186656">
        <w:trPr>
          <w:trHeight w:val="242"/>
        </w:trPr>
        <w:tc>
          <w:tcPr>
            <w:tcW w:w="2965" w:type="dxa"/>
            <w:noWrap/>
            <w:hideMark/>
          </w:tcPr>
          <w:p w14:paraId="6E804F2C"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N</w:t>
            </w:r>
          </w:p>
        </w:tc>
        <w:tc>
          <w:tcPr>
            <w:tcW w:w="1800" w:type="dxa"/>
            <w:noWrap/>
            <w:hideMark/>
          </w:tcPr>
          <w:p w14:paraId="4B6A4CAF"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119</w:t>
            </w:r>
          </w:p>
        </w:tc>
        <w:tc>
          <w:tcPr>
            <w:tcW w:w="1980" w:type="dxa"/>
            <w:noWrap/>
            <w:hideMark/>
          </w:tcPr>
          <w:p w14:paraId="480CBF9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111</w:t>
            </w:r>
          </w:p>
        </w:tc>
        <w:tc>
          <w:tcPr>
            <w:tcW w:w="1540" w:type="dxa"/>
            <w:noWrap/>
            <w:hideMark/>
          </w:tcPr>
          <w:p w14:paraId="2C1F2B3F"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230</w:t>
            </w:r>
            <w:r w:rsidRPr="00CD028B">
              <w:rPr>
                <w:rFonts w:ascii="Arial" w:eastAsia="Times New Roman" w:hAnsi="Arial" w:cs="Arial"/>
                <w:color w:val="000000"/>
                <w:sz w:val="20"/>
                <w:szCs w:val="20"/>
                <w:vertAlign w:val="superscript"/>
              </w:rPr>
              <w:t>d</w:t>
            </w:r>
          </w:p>
        </w:tc>
        <w:tc>
          <w:tcPr>
            <w:tcW w:w="1700" w:type="dxa"/>
            <w:gridSpan w:val="2"/>
            <w:noWrap/>
            <w:hideMark/>
          </w:tcPr>
          <w:p w14:paraId="42CAE17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270</w:t>
            </w:r>
            <w:r w:rsidRPr="00CD028B">
              <w:rPr>
                <w:rFonts w:ascii="Arial" w:eastAsia="Times New Roman" w:hAnsi="Arial" w:cs="Arial"/>
                <w:color w:val="000000"/>
                <w:sz w:val="20"/>
                <w:szCs w:val="20"/>
                <w:vertAlign w:val="superscript"/>
              </w:rPr>
              <w:t>d</w:t>
            </w:r>
          </w:p>
        </w:tc>
      </w:tr>
      <w:tr w:rsidR="00B724C5" w:rsidRPr="00CD028B" w14:paraId="1C40A602" w14:textId="77777777" w:rsidTr="00186656">
        <w:trPr>
          <w:trHeight w:val="300"/>
        </w:trPr>
        <w:tc>
          <w:tcPr>
            <w:tcW w:w="9985" w:type="dxa"/>
            <w:gridSpan w:val="6"/>
            <w:noWrap/>
            <w:hideMark/>
          </w:tcPr>
          <w:p w14:paraId="3738E1F1" w14:textId="77777777" w:rsidR="00B724C5" w:rsidRPr="00CD028B" w:rsidRDefault="00B724C5" w:rsidP="00186656">
            <w:pPr>
              <w:jc w:val="center"/>
              <w:rPr>
                <w:rFonts w:ascii="Arial" w:eastAsia="Times New Roman" w:hAnsi="Arial" w:cs="Arial"/>
                <w:color w:val="000000"/>
                <w:sz w:val="16"/>
                <w:szCs w:val="16"/>
              </w:rPr>
            </w:pPr>
            <w:r w:rsidRPr="00CD028B">
              <w:rPr>
                <w:rFonts w:ascii="Arial" w:eastAsia="Times New Roman" w:hAnsi="Arial" w:cs="Arial"/>
                <w:color w:val="000000"/>
                <w:sz w:val="16"/>
                <w:szCs w:val="16"/>
              </w:rPr>
              <w:t>Logistic Regression on Log Odds Scale for Binary Outcome</w:t>
            </w:r>
          </w:p>
        </w:tc>
      </w:tr>
      <w:tr w:rsidR="00B724C5" w:rsidRPr="00CD028B" w14:paraId="1C661890" w14:textId="77777777" w:rsidTr="00186656">
        <w:trPr>
          <w:trHeight w:val="386"/>
        </w:trPr>
        <w:tc>
          <w:tcPr>
            <w:tcW w:w="2965" w:type="dxa"/>
            <w:noWrap/>
            <w:hideMark/>
          </w:tcPr>
          <w:p w14:paraId="772D4AD4"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GRA </w:t>
            </w:r>
            <w:proofErr w:type="spellStart"/>
            <w:r w:rsidRPr="00CD028B">
              <w:rPr>
                <w:rFonts w:ascii="Arial" w:eastAsia="Times New Roman" w:hAnsi="Arial" w:cs="Arial"/>
                <w:b/>
                <w:bCs/>
                <w:color w:val="000000"/>
                <w:sz w:val="20"/>
                <w:szCs w:val="20"/>
              </w:rPr>
              <w:t>Responder</w:t>
            </w:r>
            <w:r w:rsidRPr="00CD028B">
              <w:rPr>
                <w:rFonts w:ascii="Arial" w:eastAsia="Times New Roman" w:hAnsi="Arial" w:cs="Arial"/>
                <w:color w:val="000000"/>
                <w:sz w:val="20"/>
                <w:szCs w:val="20"/>
                <w:vertAlign w:val="superscript"/>
              </w:rPr>
              <w:t>a</w:t>
            </w:r>
            <w:proofErr w:type="spellEnd"/>
          </w:p>
        </w:tc>
        <w:tc>
          <w:tcPr>
            <w:tcW w:w="1800" w:type="dxa"/>
            <w:noWrap/>
            <w:hideMark/>
          </w:tcPr>
          <w:p w14:paraId="1F9C986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61 (51%)</w:t>
            </w:r>
          </w:p>
        </w:tc>
        <w:tc>
          <w:tcPr>
            <w:tcW w:w="1980" w:type="dxa"/>
            <w:noWrap/>
            <w:hideMark/>
          </w:tcPr>
          <w:p w14:paraId="558EBAB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74 (67%)</w:t>
            </w:r>
          </w:p>
        </w:tc>
        <w:tc>
          <w:tcPr>
            <w:tcW w:w="1540" w:type="dxa"/>
            <w:hideMark/>
          </w:tcPr>
          <w:p w14:paraId="5F9D295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0.66 (0.017)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0.12,1.20]</w:t>
            </w:r>
            <w:r w:rsidRPr="00CD028B">
              <w:rPr>
                <w:rFonts w:ascii="Arial" w:eastAsia="Times New Roman" w:hAnsi="Arial" w:cs="Arial"/>
                <w:color w:val="000000"/>
                <w:sz w:val="20"/>
                <w:szCs w:val="20"/>
                <w:vertAlign w:val="superscript"/>
              </w:rPr>
              <w:t>e</w:t>
            </w:r>
          </w:p>
        </w:tc>
        <w:tc>
          <w:tcPr>
            <w:tcW w:w="1700" w:type="dxa"/>
            <w:gridSpan w:val="2"/>
            <w:hideMark/>
          </w:tcPr>
          <w:p w14:paraId="2B48A170"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0.67 (0.012)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0.15,1.19]</w:t>
            </w:r>
            <w:r w:rsidRPr="00CD028B">
              <w:rPr>
                <w:rFonts w:ascii="Arial" w:eastAsia="Times New Roman" w:hAnsi="Arial" w:cs="Arial"/>
                <w:color w:val="000000"/>
                <w:sz w:val="20"/>
                <w:szCs w:val="20"/>
                <w:vertAlign w:val="superscript"/>
              </w:rPr>
              <w:t>e</w:t>
            </w:r>
          </w:p>
        </w:tc>
      </w:tr>
      <w:tr w:rsidR="00B724C5" w:rsidRPr="00CD028B" w14:paraId="206E810A" w14:textId="77777777" w:rsidTr="00186656">
        <w:trPr>
          <w:trHeight w:val="300"/>
        </w:trPr>
        <w:tc>
          <w:tcPr>
            <w:tcW w:w="9985" w:type="dxa"/>
            <w:gridSpan w:val="6"/>
            <w:noWrap/>
            <w:hideMark/>
          </w:tcPr>
          <w:p w14:paraId="13C8FBBF" w14:textId="77777777" w:rsidR="00B724C5" w:rsidRPr="00CD028B" w:rsidRDefault="00B724C5" w:rsidP="00186656">
            <w:pPr>
              <w:jc w:val="center"/>
              <w:rPr>
                <w:rFonts w:ascii="Arial" w:eastAsia="Times New Roman" w:hAnsi="Arial" w:cs="Arial"/>
                <w:color w:val="000000"/>
                <w:sz w:val="16"/>
                <w:szCs w:val="16"/>
              </w:rPr>
            </w:pPr>
            <w:r w:rsidRPr="00CD028B">
              <w:rPr>
                <w:rFonts w:ascii="Arial" w:eastAsia="Times New Roman" w:hAnsi="Arial" w:cs="Arial"/>
                <w:color w:val="000000"/>
                <w:sz w:val="16"/>
                <w:szCs w:val="16"/>
              </w:rPr>
              <w:t>Absolute Change on NRS Scale</w:t>
            </w:r>
          </w:p>
        </w:tc>
      </w:tr>
      <w:tr w:rsidR="00B724C5" w:rsidRPr="00CD028B" w14:paraId="6A0E0520" w14:textId="77777777" w:rsidTr="00186656">
        <w:trPr>
          <w:trHeight w:val="413"/>
        </w:trPr>
        <w:tc>
          <w:tcPr>
            <w:tcW w:w="2965" w:type="dxa"/>
            <w:noWrap/>
            <w:hideMark/>
          </w:tcPr>
          <w:p w14:paraId="4A592E61"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Pain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800" w:type="dxa"/>
            <w:noWrap/>
            <w:hideMark/>
          </w:tcPr>
          <w:p w14:paraId="5A551F98"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-2.25 (2.42)</w:t>
            </w:r>
          </w:p>
        </w:tc>
        <w:tc>
          <w:tcPr>
            <w:tcW w:w="1980" w:type="dxa"/>
            <w:noWrap/>
            <w:hideMark/>
          </w:tcPr>
          <w:p w14:paraId="0EA9FAB0"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-2.62 (2.49)</w:t>
            </w:r>
          </w:p>
        </w:tc>
        <w:tc>
          <w:tcPr>
            <w:tcW w:w="1540" w:type="dxa"/>
            <w:hideMark/>
          </w:tcPr>
          <w:p w14:paraId="2A02FE1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-0.48 (0.116)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-1.08,0.12]</w:t>
            </w:r>
          </w:p>
        </w:tc>
        <w:tc>
          <w:tcPr>
            <w:tcW w:w="1700" w:type="dxa"/>
            <w:gridSpan w:val="2"/>
            <w:hideMark/>
          </w:tcPr>
          <w:p w14:paraId="4FD99AA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-0.46 (0.128)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-1.05,0.13]</w:t>
            </w:r>
          </w:p>
        </w:tc>
      </w:tr>
      <w:tr w:rsidR="00B724C5" w:rsidRPr="00CD028B" w14:paraId="20F2399E" w14:textId="77777777" w:rsidTr="00186656">
        <w:trPr>
          <w:trHeight w:val="525"/>
        </w:trPr>
        <w:tc>
          <w:tcPr>
            <w:tcW w:w="2965" w:type="dxa"/>
            <w:noWrap/>
            <w:hideMark/>
          </w:tcPr>
          <w:p w14:paraId="36E79962"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Urgency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800" w:type="dxa"/>
            <w:noWrap/>
            <w:hideMark/>
          </w:tcPr>
          <w:p w14:paraId="6DF408A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-2.51 (2.56)</w:t>
            </w:r>
          </w:p>
        </w:tc>
        <w:tc>
          <w:tcPr>
            <w:tcW w:w="1980" w:type="dxa"/>
            <w:noWrap/>
            <w:hideMark/>
          </w:tcPr>
          <w:p w14:paraId="45FC2C5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-3.05 (2.50)</w:t>
            </w:r>
          </w:p>
        </w:tc>
        <w:tc>
          <w:tcPr>
            <w:tcW w:w="1540" w:type="dxa"/>
            <w:hideMark/>
          </w:tcPr>
          <w:p w14:paraId="763E827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-0.50 (0.098)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-1.09,0.09]</w:t>
            </w:r>
          </w:p>
        </w:tc>
        <w:tc>
          <w:tcPr>
            <w:tcW w:w="1700" w:type="dxa"/>
            <w:gridSpan w:val="2"/>
            <w:hideMark/>
          </w:tcPr>
          <w:p w14:paraId="5720D0A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-0.47 (0.112)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-1.04,0.11]</w:t>
            </w:r>
          </w:p>
        </w:tc>
      </w:tr>
      <w:tr w:rsidR="00B724C5" w:rsidRPr="00CD028B" w14:paraId="07E95A83" w14:textId="77777777" w:rsidTr="00186656">
        <w:trPr>
          <w:trHeight w:val="525"/>
        </w:trPr>
        <w:tc>
          <w:tcPr>
            <w:tcW w:w="2965" w:type="dxa"/>
            <w:noWrap/>
            <w:hideMark/>
          </w:tcPr>
          <w:p w14:paraId="079921CB"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Frequency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800" w:type="dxa"/>
            <w:noWrap/>
            <w:hideMark/>
          </w:tcPr>
          <w:p w14:paraId="18B20F7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-2.61 (2.51)</w:t>
            </w:r>
          </w:p>
        </w:tc>
        <w:tc>
          <w:tcPr>
            <w:tcW w:w="1980" w:type="dxa"/>
            <w:noWrap/>
            <w:hideMark/>
          </w:tcPr>
          <w:p w14:paraId="0208DE5E"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-3.51 (2.28)</w:t>
            </w:r>
          </w:p>
        </w:tc>
        <w:tc>
          <w:tcPr>
            <w:tcW w:w="1540" w:type="dxa"/>
            <w:hideMark/>
          </w:tcPr>
          <w:p w14:paraId="29477937"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-0.85 (0.006)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-1.46,-0.25]</w:t>
            </w:r>
          </w:p>
        </w:tc>
        <w:tc>
          <w:tcPr>
            <w:tcW w:w="1700" w:type="dxa"/>
            <w:gridSpan w:val="2"/>
            <w:hideMark/>
          </w:tcPr>
          <w:p w14:paraId="36020E3F"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-0.78 (0.011)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-1.38,-0.18]</w:t>
            </w:r>
          </w:p>
        </w:tc>
      </w:tr>
      <w:tr w:rsidR="00B724C5" w:rsidRPr="00CD028B" w14:paraId="646C7BFC" w14:textId="77777777" w:rsidTr="00186656">
        <w:trPr>
          <w:trHeight w:val="233"/>
        </w:trPr>
        <w:tc>
          <w:tcPr>
            <w:tcW w:w="9985" w:type="dxa"/>
            <w:gridSpan w:val="6"/>
            <w:noWrap/>
            <w:hideMark/>
          </w:tcPr>
          <w:p w14:paraId="1E41FBFB" w14:textId="77777777" w:rsidR="00B724C5" w:rsidRPr="00CD028B" w:rsidRDefault="00B724C5" w:rsidP="00186656">
            <w:pPr>
              <w:rPr>
                <w:rFonts w:ascii="Arial" w:eastAsia="Times New Roman" w:hAnsi="Arial" w:cs="Arial"/>
                <w:color w:val="000000"/>
                <w:sz w:val="16"/>
                <w:szCs w:val="16"/>
              </w:rPr>
            </w:pPr>
            <w:r w:rsidRPr="00CD028B">
              <w:rPr>
                <w:rFonts w:ascii="Arial" w:eastAsia="Times New Roman" w:hAnsi="Arial" w:cs="Arial"/>
                <w:color w:val="000000"/>
                <w:sz w:val="16"/>
                <w:szCs w:val="16"/>
                <w:vertAlign w:val="superscript"/>
              </w:rPr>
              <w:t xml:space="preserve">a </w:t>
            </w:r>
            <w:r w:rsidRPr="00CD028B">
              <w:rPr>
                <w:rFonts w:ascii="Arial" w:eastAsia="Times New Roman" w:hAnsi="Arial" w:cs="Arial"/>
                <w:color w:val="000000"/>
                <w:sz w:val="16"/>
                <w:szCs w:val="16"/>
              </w:rPr>
              <w:t>No. (%)</w:t>
            </w:r>
          </w:p>
        </w:tc>
      </w:tr>
      <w:tr w:rsidR="00B724C5" w:rsidRPr="00CD028B" w14:paraId="39E148EC" w14:textId="77777777" w:rsidTr="00186656">
        <w:trPr>
          <w:trHeight w:val="242"/>
        </w:trPr>
        <w:tc>
          <w:tcPr>
            <w:tcW w:w="9985" w:type="dxa"/>
            <w:gridSpan w:val="6"/>
            <w:noWrap/>
            <w:hideMark/>
          </w:tcPr>
          <w:p w14:paraId="30DD6E68" w14:textId="77777777" w:rsidR="00B724C5" w:rsidRPr="00CD028B" w:rsidRDefault="00B724C5" w:rsidP="00186656">
            <w:pPr>
              <w:rPr>
                <w:rFonts w:ascii="Arial" w:eastAsia="Times New Roman" w:hAnsi="Arial" w:cs="Arial"/>
                <w:color w:val="000000"/>
                <w:sz w:val="16"/>
                <w:szCs w:val="16"/>
              </w:rPr>
            </w:pPr>
            <w:r w:rsidRPr="00CD028B">
              <w:rPr>
                <w:rFonts w:ascii="Arial" w:eastAsia="Times New Roman" w:hAnsi="Arial" w:cs="Arial"/>
                <w:color w:val="000000"/>
                <w:sz w:val="16"/>
                <w:szCs w:val="16"/>
                <w:vertAlign w:val="superscript"/>
              </w:rPr>
              <w:t xml:space="preserve">b </w:t>
            </w:r>
            <w:r w:rsidRPr="00CD028B">
              <w:rPr>
                <w:rFonts w:ascii="Arial" w:eastAsia="Times New Roman" w:hAnsi="Arial" w:cs="Arial"/>
                <w:color w:val="000000"/>
                <w:sz w:val="16"/>
                <w:szCs w:val="16"/>
              </w:rPr>
              <w:t>Change is calculated as the outcome at the end of study subtracted from averaged baseline</w:t>
            </w:r>
          </w:p>
        </w:tc>
      </w:tr>
      <w:tr w:rsidR="00B724C5" w:rsidRPr="00CD028B" w14:paraId="211C4D98" w14:textId="77777777" w:rsidTr="00186656">
        <w:trPr>
          <w:trHeight w:val="368"/>
        </w:trPr>
        <w:tc>
          <w:tcPr>
            <w:tcW w:w="9985" w:type="dxa"/>
            <w:gridSpan w:val="6"/>
            <w:hideMark/>
          </w:tcPr>
          <w:p w14:paraId="12B767F8" w14:textId="77777777" w:rsidR="00B724C5" w:rsidRPr="00CD028B" w:rsidRDefault="00B724C5" w:rsidP="00186656">
            <w:pPr>
              <w:rPr>
                <w:rFonts w:ascii="Arial" w:eastAsia="Times New Roman" w:hAnsi="Arial" w:cs="Arial"/>
                <w:color w:val="000000"/>
                <w:sz w:val="16"/>
                <w:szCs w:val="16"/>
              </w:rPr>
            </w:pPr>
            <w:r w:rsidRPr="00CD028B">
              <w:rPr>
                <w:rFonts w:ascii="Arial" w:eastAsia="Times New Roman" w:hAnsi="Arial" w:cs="Arial"/>
                <w:color w:val="000000"/>
                <w:sz w:val="16"/>
                <w:szCs w:val="16"/>
                <w:vertAlign w:val="superscript"/>
              </w:rPr>
              <w:t>c</w:t>
            </w:r>
            <w:r w:rsidRPr="00CD028B">
              <w:rPr>
                <w:rFonts w:ascii="Arial" w:eastAsia="Times New Roman" w:hAnsi="Arial" w:cs="Arial"/>
                <w:color w:val="000000"/>
                <w:sz w:val="16"/>
                <w:szCs w:val="16"/>
              </w:rPr>
              <w:t xml:space="preserve"> Estimated treatment effect (Change in outcome on treatment compared to control within </w:t>
            </w:r>
            <w:proofErr w:type="spellStart"/>
            <w:r w:rsidRPr="00CD028B">
              <w:rPr>
                <w:rFonts w:ascii="Arial" w:eastAsia="Times New Roman" w:hAnsi="Arial" w:cs="Arial"/>
                <w:color w:val="000000"/>
                <w:sz w:val="16"/>
                <w:szCs w:val="16"/>
              </w:rPr>
              <w:t>widespreadness</w:t>
            </w:r>
            <w:proofErr w:type="spellEnd"/>
            <w:r w:rsidRPr="00CD028B">
              <w:rPr>
                <w:rFonts w:ascii="Arial" w:eastAsia="Times New Roman" w:hAnsi="Arial" w:cs="Arial"/>
                <w:color w:val="000000"/>
                <w:sz w:val="16"/>
                <w:szCs w:val="16"/>
              </w:rPr>
              <w:t xml:space="preserve"> subgroup) from model results: Effect (p-value) [95% CI]</w:t>
            </w:r>
          </w:p>
        </w:tc>
      </w:tr>
      <w:tr w:rsidR="00B724C5" w:rsidRPr="00CD028B" w14:paraId="11F9082F" w14:textId="77777777" w:rsidTr="00186656">
        <w:trPr>
          <w:trHeight w:val="251"/>
        </w:trPr>
        <w:tc>
          <w:tcPr>
            <w:tcW w:w="9985" w:type="dxa"/>
            <w:gridSpan w:val="6"/>
            <w:noWrap/>
            <w:hideMark/>
          </w:tcPr>
          <w:p w14:paraId="55D9720C" w14:textId="77777777" w:rsidR="00B724C5" w:rsidRPr="00CD028B" w:rsidRDefault="00B724C5" w:rsidP="00186656">
            <w:pPr>
              <w:rPr>
                <w:rFonts w:ascii="Arial" w:eastAsia="Times New Roman" w:hAnsi="Arial" w:cs="Arial"/>
                <w:color w:val="000000"/>
                <w:sz w:val="16"/>
                <w:szCs w:val="16"/>
              </w:rPr>
            </w:pPr>
            <w:r w:rsidRPr="00CD028B">
              <w:rPr>
                <w:rFonts w:ascii="Arial" w:eastAsia="Times New Roman" w:hAnsi="Arial" w:cs="Arial"/>
                <w:color w:val="000000"/>
                <w:sz w:val="16"/>
                <w:szCs w:val="16"/>
                <w:vertAlign w:val="superscript"/>
              </w:rPr>
              <w:t>d</w:t>
            </w:r>
            <w:r w:rsidRPr="00CD028B">
              <w:rPr>
                <w:rFonts w:ascii="Arial" w:eastAsia="Times New Roman" w:hAnsi="Arial" w:cs="Arial"/>
                <w:color w:val="000000"/>
                <w:sz w:val="16"/>
                <w:szCs w:val="16"/>
              </w:rPr>
              <w:t xml:space="preserve"> Sample size of treatment and control within </w:t>
            </w:r>
            <w:proofErr w:type="spellStart"/>
            <w:r w:rsidRPr="00CD028B">
              <w:rPr>
                <w:rFonts w:ascii="Arial" w:eastAsia="Times New Roman" w:hAnsi="Arial" w:cs="Arial"/>
                <w:color w:val="000000"/>
                <w:sz w:val="16"/>
                <w:szCs w:val="16"/>
              </w:rPr>
              <w:t>widespreadness</w:t>
            </w:r>
            <w:proofErr w:type="spellEnd"/>
            <w:r w:rsidRPr="00CD028B">
              <w:rPr>
                <w:rFonts w:ascii="Arial" w:eastAsia="Times New Roman" w:hAnsi="Arial" w:cs="Arial"/>
                <w:color w:val="000000"/>
                <w:sz w:val="16"/>
                <w:szCs w:val="16"/>
              </w:rPr>
              <w:t xml:space="preserve"> subgroup</w:t>
            </w:r>
          </w:p>
        </w:tc>
      </w:tr>
      <w:tr w:rsidR="00B724C5" w:rsidRPr="00CD028B" w14:paraId="50F6A99D" w14:textId="77777777" w:rsidTr="00186656">
        <w:trPr>
          <w:trHeight w:val="170"/>
        </w:trPr>
        <w:tc>
          <w:tcPr>
            <w:tcW w:w="9985" w:type="dxa"/>
            <w:gridSpan w:val="6"/>
            <w:hideMark/>
          </w:tcPr>
          <w:p w14:paraId="19BBB40A" w14:textId="77777777" w:rsidR="00B724C5" w:rsidRPr="00CD028B" w:rsidRDefault="00B724C5" w:rsidP="00186656">
            <w:pPr>
              <w:rPr>
                <w:rFonts w:ascii="Arial" w:eastAsia="Times New Roman" w:hAnsi="Arial" w:cs="Arial"/>
                <w:color w:val="000000"/>
                <w:sz w:val="16"/>
                <w:szCs w:val="16"/>
              </w:rPr>
            </w:pPr>
            <w:r w:rsidRPr="00CD028B">
              <w:rPr>
                <w:rFonts w:ascii="Arial" w:eastAsia="Times New Roman" w:hAnsi="Arial" w:cs="Arial"/>
                <w:color w:val="000000"/>
                <w:sz w:val="16"/>
                <w:szCs w:val="16"/>
                <w:vertAlign w:val="superscript"/>
              </w:rPr>
              <w:t xml:space="preserve">e </w:t>
            </w:r>
            <w:r w:rsidRPr="00CD028B">
              <w:rPr>
                <w:rFonts w:ascii="Arial" w:eastAsia="Times New Roman" w:hAnsi="Arial" w:cs="Arial"/>
                <w:color w:val="000000"/>
                <w:sz w:val="16"/>
                <w:szCs w:val="16"/>
              </w:rPr>
              <w:t xml:space="preserve">Treatment effect log odds ratio from model results: Log odds ratio (p-value) [95% CI] </w:t>
            </w:r>
          </w:p>
        </w:tc>
      </w:tr>
    </w:tbl>
    <w:p w14:paraId="21D5DEE7" w14:textId="77777777" w:rsidR="00B724C5" w:rsidRDefault="00B724C5" w:rsidP="00B724C5">
      <w:pPr>
        <w:ind w:right="-720"/>
        <w:outlineLvl w:val="0"/>
        <w:rPr>
          <w:rFonts w:eastAsiaTheme="majorEastAsia" w:cstheme="minorHAnsi"/>
          <w:b/>
        </w:rPr>
      </w:pPr>
    </w:p>
    <w:p w14:paraId="24D508DB" w14:textId="77777777" w:rsidR="00B724C5" w:rsidRDefault="00B724C5" w:rsidP="00B724C5">
      <w:pPr>
        <w:ind w:right="-720"/>
        <w:outlineLvl w:val="0"/>
        <w:rPr>
          <w:rFonts w:ascii="Times New Roman" w:eastAsiaTheme="majorEastAsia" w:hAnsi="Times New Roman" w:cs="Times New Roman"/>
          <w:b/>
        </w:rPr>
        <w:sectPr w:rsidR="00B724C5" w:rsidSect="00F77ABA">
          <w:footerReference w:type="default" r:id="rId14"/>
          <w:pgSz w:w="12240" w:h="15840"/>
          <w:pgMar w:top="1440" w:right="1440" w:bottom="1440" w:left="1440" w:header="720" w:footer="720" w:gutter="0"/>
          <w:cols w:space="720"/>
          <w:docGrid w:linePitch="360"/>
        </w:sectPr>
      </w:pPr>
    </w:p>
    <w:p w14:paraId="1BC1713C" w14:textId="77777777" w:rsidR="00B724C5" w:rsidRPr="00F03736" w:rsidRDefault="00B724C5" w:rsidP="00B724C5">
      <w:pPr>
        <w:pStyle w:val="Heading3"/>
        <w:rPr>
          <w:b/>
        </w:rPr>
      </w:pPr>
      <w:bookmarkStart w:id="40" w:name="_Toc123674526"/>
      <w:r>
        <w:lastRenderedPageBreak/>
        <w:t>Supplementary</w:t>
      </w:r>
      <w:r>
        <w:rPr>
          <w:b/>
        </w:rPr>
        <w:t xml:space="preserve"> T</w:t>
      </w:r>
      <w:r w:rsidRPr="00F03736">
        <w:rPr>
          <w:b/>
        </w:rPr>
        <w:t xml:space="preserve">able 2. Observed change in outcome and estimated treatment effects for complete case and multiple imputation models by </w:t>
      </w:r>
      <w:proofErr w:type="spellStart"/>
      <w:r w:rsidRPr="00F03736">
        <w:rPr>
          <w:b/>
        </w:rPr>
        <w:t>widespreadness</w:t>
      </w:r>
      <w:proofErr w:type="spellEnd"/>
      <w:r w:rsidRPr="00F03736">
        <w:rPr>
          <w:b/>
        </w:rPr>
        <w:t xml:space="preserve"> </w:t>
      </w:r>
      <w:proofErr w:type="gramStart"/>
      <w:r w:rsidRPr="00F03736">
        <w:rPr>
          <w:b/>
        </w:rPr>
        <w:t>subgroup</w:t>
      </w:r>
      <w:bookmarkEnd w:id="40"/>
      <w:proofErr w:type="gramEnd"/>
    </w:p>
    <w:tbl>
      <w:tblPr>
        <w:tblW w:w="13817" w:type="dxa"/>
        <w:tblInd w:w="-365" w:type="dxa"/>
        <w:tblLook w:val="04A0" w:firstRow="1" w:lastRow="0" w:firstColumn="1" w:lastColumn="0" w:noHBand="0" w:noVBand="1"/>
      </w:tblPr>
      <w:tblGrid>
        <w:gridCol w:w="1333"/>
        <w:gridCol w:w="1340"/>
        <w:gridCol w:w="1340"/>
        <w:gridCol w:w="1540"/>
        <w:gridCol w:w="1420"/>
        <w:gridCol w:w="1340"/>
        <w:gridCol w:w="1340"/>
        <w:gridCol w:w="1540"/>
        <w:gridCol w:w="1312"/>
        <w:gridCol w:w="1312"/>
      </w:tblGrid>
      <w:tr w:rsidR="00B724C5" w:rsidRPr="00CD028B" w14:paraId="56FD2519" w14:textId="77777777" w:rsidTr="00186656">
        <w:trPr>
          <w:trHeight w:val="179"/>
          <w:tblHeader/>
        </w:trPr>
        <w:tc>
          <w:tcPr>
            <w:tcW w:w="13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21BCB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w:t>
            </w:r>
          </w:p>
        </w:tc>
        <w:tc>
          <w:tcPr>
            <w:tcW w:w="5640" w:type="dxa"/>
            <w:gridSpan w:val="4"/>
            <w:tcBorders>
              <w:top w:val="single" w:sz="4" w:space="0" w:color="auto"/>
              <w:left w:val="nil"/>
              <w:bottom w:val="single" w:sz="4" w:space="0" w:color="auto"/>
              <w:right w:val="single" w:sz="4" w:space="0" w:color="auto"/>
            </w:tcBorders>
            <w:shd w:val="clear" w:color="auto" w:fill="auto"/>
            <w:noWrap/>
            <w:vAlign w:val="center"/>
            <w:hideMark/>
          </w:tcPr>
          <w:p w14:paraId="1450F7D2"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Low </w:t>
            </w:r>
            <w:proofErr w:type="spellStart"/>
            <w:r w:rsidRPr="00CD028B">
              <w:rPr>
                <w:rFonts w:ascii="Arial" w:eastAsia="Times New Roman" w:hAnsi="Arial" w:cs="Arial"/>
                <w:b/>
                <w:bCs/>
                <w:color w:val="000000"/>
                <w:sz w:val="20"/>
                <w:szCs w:val="20"/>
              </w:rPr>
              <w:t>Widespreadness</w:t>
            </w:r>
            <w:proofErr w:type="spellEnd"/>
            <w:r w:rsidRPr="00CD028B">
              <w:rPr>
                <w:rFonts w:ascii="Arial" w:eastAsia="Times New Roman" w:hAnsi="Arial" w:cs="Arial"/>
                <w:b/>
                <w:bCs/>
                <w:color w:val="000000"/>
                <w:sz w:val="20"/>
                <w:szCs w:val="20"/>
              </w:rPr>
              <w:t xml:space="preserve"> </w:t>
            </w:r>
          </w:p>
        </w:tc>
        <w:tc>
          <w:tcPr>
            <w:tcW w:w="5532" w:type="dxa"/>
            <w:gridSpan w:val="4"/>
            <w:tcBorders>
              <w:top w:val="single" w:sz="4" w:space="0" w:color="auto"/>
              <w:left w:val="nil"/>
              <w:bottom w:val="single" w:sz="4" w:space="0" w:color="auto"/>
              <w:right w:val="single" w:sz="4" w:space="0" w:color="auto"/>
            </w:tcBorders>
            <w:shd w:val="clear" w:color="auto" w:fill="auto"/>
            <w:noWrap/>
            <w:vAlign w:val="center"/>
            <w:hideMark/>
          </w:tcPr>
          <w:p w14:paraId="013FF023"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High </w:t>
            </w:r>
            <w:proofErr w:type="spellStart"/>
            <w:r w:rsidRPr="00CD028B">
              <w:rPr>
                <w:rFonts w:ascii="Arial" w:eastAsia="Times New Roman" w:hAnsi="Arial" w:cs="Arial"/>
                <w:b/>
                <w:bCs/>
                <w:color w:val="000000"/>
                <w:sz w:val="20"/>
                <w:szCs w:val="20"/>
              </w:rPr>
              <w:t>Widespreadness</w:t>
            </w:r>
            <w:proofErr w:type="spellEnd"/>
            <w:r w:rsidRPr="00CD028B">
              <w:rPr>
                <w:rFonts w:ascii="Arial" w:eastAsia="Times New Roman" w:hAnsi="Arial" w:cs="Arial"/>
                <w:b/>
                <w:bCs/>
                <w:color w:val="000000"/>
                <w:sz w:val="20"/>
                <w:szCs w:val="20"/>
              </w:rPr>
              <w:t xml:space="preserve"> </w:t>
            </w:r>
          </w:p>
        </w:tc>
        <w:tc>
          <w:tcPr>
            <w:tcW w:w="1312" w:type="dxa"/>
            <w:tcBorders>
              <w:top w:val="single" w:sz="4" w:space="0" w:color="auto"/>
              <w:left w:val="nil"/>
              <w:bottom w:val="single" w:sz="4" w:space="0" w:color="auto"/>
              <w:right w:val="single" w:sz="4" w:space="0" w:color="auto"/>
            </w:tcBorders>
            <w:shd w:val="clear" w:color="auto" w:fill="auto"/>
            <w:noWrap/>
            <w:vAlign w:val="center"/>
            <w:hideMark/>
          </w:tcPr>
          <w:p w14:paraId="0CEC0EB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w:t>
            </w:r>
          </w:p>
        </w:tc>
      </w:tr>
      <w:tr w:rsidR="00B724C5" w:rsidRPr="00CD028B" w14:paraId="503992F8" w14:textId="77777777" w:rsidTr="00186656">
        <w:trPr>
          <w:trHeight w:val="296"/>
          <w:tblHeader/>
        </w:trPr>
        <w:tc>
          <w:tcPr>
            <w:tcW w:w="1333" w:type="dxa"/>
            <w:tcBorders>
              <w:top w:val="nil"/>
              <w:left w:val="single" w:sz="4" w:space="0" w:color="auto"/>
              <w:bottom w:val="single" w:sz="4" w:space="0" w:color="auto"/>
              <w:right w:val="single" w:sz="4" w:space="0" w:color="auto"/>
            </w:tcBorders>
            <w:shd w:val="clear" w:color="auto" w:fill="auto"/>
            <w:noWrap/>
            <w:vAlign w:val="bottom"/>
            <w:hideMark/>
          </w:tcPr>
          <w:p w14:paraId="4885124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w:t>
            </w:r>
          </w:p>
        </w:tc>
        <w:tc>
          <w:tcPr>
            <w:tcW w:w="422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41AF606"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Complete Cases </w:t>
            </w:r>
          </w:p>
        </w:tc>
        <w:tc>
          <w:tcPr>
            <w:tcW w:w="1420" w:type="dxa"/>
            <w:tcBorders>
              <w:top w:val="nil"/>
              <w:left w:val="nil"/>
              <w:bottom w:val="single" w:sz="4" w:space="0" w:color="auto"/>
              <w:right w:val="single" w:sz="4" w:space="0" w:color="auto"/>
            </w:tcBorders>
            <w:shd w:val="clear" w:color="auto" w:fill="auto"/>
            <w:noWrap/>
            <w:vAlign w:val="center"/>
            <w:hideMark/>
          </w:tcPr>
          <w:p w14:paraId="095D21EB"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Intent to Treat</w:t>
            </w:r>
          </w:p>
        </w:tc>
        <w:tc>
          <w:tcPr>
            <w:tcW w:w="422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4EAF0C3"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Complete Cases</w:t>
            </w:r>
          </w:p>
        </w:tc>
        <w:tc>
          <w:tcPr>
            <w:tcW w:w="1312" w:type="dxa"/>
            <w:tcBorders>
              <w:top w:val="nil"/>
              <w:left w:val="nil"/>
              <w:bottom w:val="single" w:sz="4" w:space="0" w:color="auto"/>
              <w:right w:val="single" w:sz="4" w:space="0" w:color="auto"/>
            </w:tcBorders>
            <w:shd w:val="clear" w:color="auto" w:fill="auto"/>
            <w:noWrap/>
            <w:vAlign w:val="center"/>
            <w:hideMark/>
          </w:tcPr>
          <w:p w14:paraId="5423521D"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Intent to Treat</w:t>
            </w:r>
          </w:p>
        </w:tc>
        <w:tc>
          <w:tcPr>
            <w:tcW w:w="1312" w:type="dxa"/>
            <w:tcBorders>
              <w:top w:val="nil"/>
              <w:left w:val="nil"/>
              <w:bottom w:val="single" w:sz="4" w:space="0" w:color="auto"/>
              <w:right w:val="single" w:sz="4" w:space="0" w:color="auto"/>
            </w:tcBorders>
            <w:shd w:val="clear" w:color="auto" w:fill="auto"/>
            <w:noWrap/>
            <w:vAlign w:val="center"/>
            <w:hideMark/>
          </w:tcPr>
          <w:p w14:paraId="6A12043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w:t>
            </w:r>
          </w:p>
        </w:tc>
      </w:tr>
      <w:tr w:rsidR="00B724C5" w:rsidRPr="00CD028B" w14:paraId="24F01107" w14:textId="77777777" w:rsidTr="00186656">
        <w:trPr>
          <w:trHeight w:val="1020"/>
          <w:tblHeader/>
        </w:trPr>
        <w:tc>
          <w:tcPr>
            <w:tcW w:w="1333" w:type="dxa"/>
            <w:tcBorders>
              <w:top w:val="nil"/>
              <w:left w:val="single" w:sz="4" w:space="0" w:color="auto"/>
              <w:bottom w:val="single" w:sz="4" w:space="0" w:color="auto"/>
              <w:right w:val="single" w:sz="4" w:space="0" w:color="auto"/>
            </w:tcBorders>
            <w:shd w:val="clear" w:color="auto" w:fill="auto"/>
            <w:vAlign w:val="bottom"/>
            <w:hideMark/>
          </w:tcPr>
          <w:p w14:paraId="4BC802C5"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w:t>
            </w:r>
          </w:p>
        </w:tc>
        <w:tc>
          <w:tcPr>
            <w:tcW w:w="1340" w:type="dxa"/>
            <w:tcBorders>
              <w:top w:val="nil"/>
              <w:left w:val="nil"/>
              <w:bottom w:val="single" w:sz="4" w:space="0" w:color="auto"/>
              <w:right w:val="single" w:sz="4" w:space="0" w:color="auto"/>
            </w:tcBorders>
            <w:shd w:val="clear" w:color="auto" w:fill="auto"/>
            <w:vAlign w:val="center"/>
            <w:hideMark/>
          </w:tcPr>
          <w:p w14:paraId="531F0EC4"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Observed Change: Control mean (SD) </w:t>
            </w:r>
          </w:p>
        </w:tc>
        <w:tc>
          <w:tcPr>
            <w:tcW w:w="1340" w:type="dxa"/>
            <w:tcBorders>
              <w:top w:val="nil"/>
              <w:left w:val="nil"/>
              <w:bottom w:val="single" w:sz="4" w:space="0" w:color="auto"/>
              <w:right w:val="single" w:sz="4" w:space="0" w:color="auto"/>
            </w:tcBorders>
            <w:shd w:val="clear" w:color="auto" w:fill="auto"/>
            <w:vAlign w:val="center"/>
            <w:hideMark/>
          </w:tcPr>
          <w:p w14:paraId="69864ED1"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Observed Change: Treatment mean (SD)</w:t>
            </w:r>
          </w:p>
        </w:tc>
        <w:tc>
          <w:tcPr>
            <w:tcW w:w="1540" w:type="dxa"/>
            <w:tcBorders>
              <w:top w:val="nil"/>
              <w:left w:val="nil"/>
              <w:bottom w:val="single" w:sz="4" w:space="0" w:color="auto"/>
              <w:right w:val="single" w:sz="4" w:space="0" w:color="auto"/>
            </w:tcBorders>
            <w:shd w:val="clear" w:color="auto" w:fill="auto"/>
            <w:vAlign w:val="center"/>
            <w:hideMark/>
          </w:tcPr>
          <w:p w14:paraId="608A8B0E"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Complete Case Model: </w:t>
            </w:r>
            <w:proofErr w:type="spellStart"/>
            <w:r w:rsidRPr="00CD028B">
              <w:rPr>
                <w:rFonts w:ascii="Arial" w:eastAsia="Times New Roman" w:hAnsi="Arial" w:cs="Arial"/>
                <w:b/>
                <w:bCs/>
                <w:color w:val="000000"/>
                <w:sz w:val="20"/>
                <w:szCs w:val="20"/>
              </w:rPr>
              <w:t>Treatment</w:t>
            </w:r>
            <w:r w:rsidRPr="00CD028B">
              <w:rPr>
                <w:rFonts w:ascii="Arial" w:eastAsia="Times New Roman" w:hAnsi="Arial" w:cs="Arial"/>
                <w:color w:val="000000"/>
                <w:sz w:val="20"/>
                <w:szCs w:val="20"/>
                <w:vertAlign w:val="superscript"/>
              </w:rPr>
              <w:t>c</w:t>
            </w:r>
            <w:proofErr w:type="spellEnd"/>
          </w:p>
        </w:tc>
        <w:tc>
          <w:tcPr>
            <w:tcW w:w="1420" w:type="dxa"/>
            <w:tcBorders>
              <w:top w:val="nil"/>
              <w:left w:val="nil"/>
              <w:bottom w:val="single" w:sz="4" w:space="0" w:color="auto"/>
              <w:right w:val="single" w:sz="4" w:space="0" w:color="auto"/>
            </w:tcBorders>
            <w:shd w:val="clear" w:color="auto" w:fill="auto"/>
            <w:vAlign w:val="center"/>
            <w:hideMark/>
          </w:tcPr>
          <w:p w14:paraId="3E057DD7"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MI Model: </w:t>
            </w:r>
            <w:proofErr w:type="spellStart"/>
            <w:r w:rsidRPr="00CD028B">
              <w:rPr>
                <w:rFonts w:ascii="Arial" w:eastAsia="Times New Roman" w:hAnsi="Arial" w:cs="Arial"/>
                <w:b/>
                <w:bCs/>
                <w:color w:val="000000"/>
                <w:sz w:val="20"/>
                <w:szCs w:val="20"/>
              </w:rPr>
              <w:t>Treatment</w:t>
            </w:r>
            <w:r w:rsidRPr="00CD028B">
              <w:rPr>
                <w:rFonts w:ascii="Arial" w:eastAsia="Times New Roman" w:hAnsi="Arial" w:cs="Arial"/>
                <w:color w:val="000000"/>
                <w:sz w:val="20"/>
                <w:szCs w:val="20"/>
                <w:vertAlign w:val="superscript"/>
              </w:rPr>
              <w:t>c</w:t>
            </w:r>
            <w:proofErr w:type="spellEnd"/>
            <w:r w:rsidRPr="00CD028B">
              <w:rPr>
                <w:rFonts w:ascii="Arial" w:eastAsia="Times New Roman" w:hAnsi="Arial" w:cs="Arial"/>
                <w:b/>
                <w:bCs/>
                <w:color w:val="000000"/>
                <w:sz w:val="20"/>
                <w:szCs w:val="20"/>
              </w:rPr>
              <w:t xml:space="preserve"> </w:t>
            </w:r>
          </w:p>
        </w:tc>
        <w:tc>
          <w:tcPr>
            <w:tcW w:w="1340" w:type="dxa"/>
            <w:tcBorders>
              <w:top w:val="nil"/>
              <w:left w:val="nil"/>
              <w:bottom w:val="single" w:sz="4" w:space="0" w:color="auto"/>
              <w:right w:val="single" w:sz="4" w:space="0" w:color="auto"/>
            </w:tcBorders>
            <w:shd w:val="clear" w:color="auto" w:fill="auto"/>
            <w:vAlign w:val="center"/>
            <w:hideMark/>
          </w:tcPr>
          <w:p w14:paraId="73B96E34"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Observed Change: Control mean (SD) </w:t>
            </w:r>
          </w:p>
        </w:tc>
        <w:tc>
          <w:tcPr>
            <w:tcW w:w="1340" w:type="dxa"/>
            <w:tcBorders>
              <w:top w:val="nil"/>
              <w:left w:val="nil"/>
              <w:bottom w:val="single" w:sz="4" w:space="0" w:color="auto"/>
              <w:right w:val="single" w:sz="4" w:space="0" w:color="auto"/>
            </w:tcBorders>
            <w:shd w:val="clear" w:color="auto" w:fill="auto"/>
            <w:vAlign w:val="center"/>
            <w:hideMark/>
          </w:tcPr>
          <w:p w14:paraId="2BC5BD93"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Observed Change: Treatment mean (SD)</w:t>
            </w:r>
          </w:p>
        </w:tc>
        <w:tc>
          <w:tcPr>
            <w:tcW w:w="1540" w:type="dxa"/>
            <w:tcBorders>
              <w:top w:val="nil"/>
              <w:left w:val="nil"/>
              <w:bottom w:val="single" w:sz="4" w:space="0" w:color="auto"/>
              <w:right w:val="single" w:sz="4" w:space="0" w:color="auto"/>
            </w:tcBorders>
            <w:shd w:val="clear" w:color="auto" w:fill="auto"/>
            <w:vAlign w:val="center"/>
            <w:hideMark/>
          </w:tcPr>
          <w:p w14:paraId="5C066D78"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Complete Case Model: </w:t>
            </w:r>
            <w:proofErr w:type="spellStart"/>
            <w:r w:rsidRPr="00CD028B">
              <w:rPr>
                <w:rFonts w:ascii="Arial" w:eastAsia="Times New Roman" w:hAnsi="Arial" w:cs="Arial"/>
                <w:b/>
                <w:bCs/>
                <w:color w:val="000000"/>
                <w:sz w:val="20"/>
                <w:szCs w:val="20"/>
              </w:rPr>
              <w:t>Treatment</w:t>
            </w:r>
            <w:r w:rsidRPr="00CD028B">
              <w:rPr>
                <w:rFonts w:ascii="Arial" w:eastAsia="Times New Roman" w:hAnsi="Arial" w:cs="Arial"/>
                <w:color w:val="000000"/>
                <w:sz w:val="20"/>
                <w:szCs w:val="20"/>
                <w:vertAlign w:val="superscript"/>
              </w:rPr>
              <w:t>c</w:t>
            </w:r>
            <w:proofErr w:type="spellEnd"/>
          </w:p>
        </w:tc>
        <w:tc>
          <w:tcPr>
            <w:tcW w:w="1312" w:type="dxa"/>
            <w:tcBorders>
              <w:top w:val="nil"/>
              <w:left w:val="nil"/>
              <w:bottom w:val="single" w:sz="4" w:space="0" w:color="auto"/>
              <w:right w:val="single" w:sz="4" w:space="0" w:color="auto"/>
            </w:tcBorders>
            <w:shd w:val="clear" w:color="auto" w:fill="auto"/>
            <w:vAlign w:val="center"/>
            <w:hideMark/>
          </w:tcPr>
          <w:p w14:paraId="7DA26FDA"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MI Model: </w:t>
            </w:r>
            <w:proofErr w:type="spellStart"/>
            <w:r w:rsidRPr="00CD028B">
              <w:rPr>
                <w:rFonts w:ascii="Arial" w:eastAsia="Times New Roman" w:hAnsi="Arial" w:cs="Arial"/>
                <w:b/>
                <w:bCs/>
                <w:color w:val="000000"/>
                <w:sz w:val="20"/>
                <w:szCs w:val="20"/>
              </w:rPr>
              <w:t>Treatment</w:t>
            </w:r>
            <w:r w:rsidRPr="00CD028B">
              <w:rPr>
                <w:rFonts w:ascii="Arial" w:eastAsia="Times New Roman" w:hAnsi="Arial" w:cs="Arial"/>
                <w:color w:val="000000"/>
                <w:sz w:val="20"/>
                <w:szCs w:val="20"/>
                <w:vertAlign w:val="superscript"/>
              </w:rPr>
              <w:t>c</w:t>
            </w:r>
            <w:proofErr w:type="spellEnd"/>
            <w:r w:rsidRPr="00CD028B">
              <w:rPr>
                <w:rFonts w:ascii="Arial" w:eastAsia="Times New Roman" w:hAnsi="Arial" w:cs="Arial"/>
                <w:b/>
                <w:bCs/>
                <w:color w:val="000000"/>
                <w:sz w:val="20"/>
                <w:szCs w:val="20"/>
              </w:rPr>
              <w:t xml:space="preserve"> </w:t>
            </w:r>
          </w:p>
        </w:tc>
        <w:tc>
          <w:tcPr>
            <w:tcW w:w="1312" w:type="dxa"/>
            <w:tcBorders>
              <w:top w:val="nil"/>
              <w:left w:val="nil"/>
              <w:bottom w:val="single" w:sz="4" w:space="0" w:color="auto"/>
              <w:right w:val="single" w:sz="4" w:space="0" w:color="auto"/>
            </w:tcBorders>
            <w:shd w:val="clear" w:color="auto" w:fill="auto"/>
            <w:vAlign w:val="center"/>
            <w:hideMark/>
          </w:tcPr>
          <w:p w14:paraId="5BAA078A"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MI Model: Treatment </w:t>
            </w:r>
            <w:proofErr w:type="spellStart"/>
            <w:r w:rsidRPr="00CD028B">
              <w:rPr>
                <w:rFonts w:ascii="Arial" w:eastAsia="Times New Roman" w:hAnsi="Arial" w:cs="Arial"/>
                <w:b/>
                <w:bCs/>
                <w:color w:val="000000"/>
                <w:sz w:val="20"/>
                <w:szCs w:val="20"/>
              </w:rPr>
              <w:t>Interaction</w:t>
            </w:r>
            <w:r w:rsidRPr="00CD028B">
              <w:rPr>
                <w:rFonts w:ascii="Arial" w:eastAsia="Times New Roman" w:hAnsi="Arial" w:cs="Arial"/>
                <w:color w:val="000000"/>
                <w:sz w:val="20"/>
                <w:szCs w:val="20"/>
                <w:vertAlign w:val="superscript"/>
              </w:rPr>
              <w:t>d</w:t>
            </w:r>
            <w:proofErr w:type="spellEnd"/>
            <w:r w:rsidRPr="00CD028B">
              <w:rPr>
                <w:rFonts w:ascii="Arial" w:eastAsia="Times New Roman" w:hAnsi="Arial" w:cs="Arial"/>
                <w:b/>
                <w:bCs/>
                <w:color w:val="000000"/>
                <w:sz w:val="20"/>
                <w:szCs w:val="20"/>
              </w:rPr>
              <w:t xml:space="preserve">   </w:t>
            </w:r>
          </w:p>
        </w:tc>
      </w:tr>
      <w:tr w:rsidR="00B724C5" w:rsidRPr="00CD028B" w14:paraId="65F58638"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C9EF7E"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Oral PPS and Hydroxyzine</w:t>
            </w:r>
          </w:p>
        </w:tc>
      </w:tr>
      <w:tr w:rsidR="00B724C5" w:rsidRPr="00CD028B" w14:paraId="32DEB382" w14:textId="77777777" w:rsidTr="00186656">
        <w:trPr>
          <w:trHeight w:val="300"/>
        </w:trPr>
        <w:tc>
          <w:tcPr>
            <w:tcW w:w="1333" w:type="dxa"/>
            <w:tcBorders>
              <w:top w:val="nil"/>
              <w:left w:val="single" w:sz="4" w:space="0" w:color="auto"/>
              <w:bottom w:val="single" w:sz="4" w:space="0" w:color="auto"/>
              <w:right w:val="single" w:sz="4" w:space="0" w:color="auto"/>
            </w:tcBorders>
            <w:shd w:val="clear" w:color="auto" w:fill="auto"/>
            <w:vAlign w:val="center"/>
            <w:hideMark/>
          </w:tcPr>
          <w:p w14:paraId="172AFD32"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N</w:t>
            </w:r>
          </w:p>
        </w:tc>
        <w:tc>
          <w:tcPr>
            <w:tcW w:w="1340" w:type="dxa"/>
            <w:tcBorders>
              <w:top w:val="nil"/>
              <w:left w:val="nil"/>
              <w:bottom w:val="single" w:sz="4" w:space="0" w:color="auto"/>
              <w:right w:val="single" w:sz="4" w:space="0" w:color="auto"/>
            </w:tcBorders>
            <w:shd w:val="clear" w:color="auto" w:fill="auto"/>
            <w:noWrap/>
            <w:vAlign w:val="center"/>
            <w:hideMark/>
          </w:tcPr>
          <w:p w14:paraId="67401B63"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47</w:t>
            </w:r>
          </w:p>
        </w:tc>
        <w:tc>
          <w:tcPr>
            <w:tcW w:w="1340" w:type="dxa"/>
            <w:tcBorders>
              <w:top w:val="nil"/>
              <w:left w:val="nil"/>
              <w:bottom w:val="single" w:sz="4" w:space="0" w:color="auto"/>
              <w:right w:val="single" w:sz="4" w:space="0" w:color="auto"/>
            </w:tcBorders>
            <w:shd w:val="clear" w:color="auto" w:fill="auto"/>
            <w:noWrap/>
            <w:vAlign w:val="center"/>
            <w:hideMark/>
          </w:tcPr>
          <w:p w14:paraId="216795F5"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11</w:t>
            </w:r>
          </w:p>
        </w:tc>
        <w:tc>
          <w:tcPr>
            <w:tcW w:w="1540" w:type="dxa"/>
            <w:tcBorders>
              <w:top w:val="nil"/>
              <w:left w:val="nil"/>
              <w:bottom w:val="single" w:sz="4" w:space="0" w:color="auto"/>
              <w:right w:val="single" w:sz="4" w:space="0" w:color="auto"/>
            </w:tcBorders>
            <w:shd w:val="clear" w:color="auto" w:fill="auto"/>
            <w:noWrap/>
            <w:vAlign w:val="bottom"/>
            <w:hideMark/>
          </w:tcPr>
          <w:p w14:paraId="1DF0AE8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58</w:t>
            </w:r>
            <w:r w:rsidRPr="00CD028B">
              <w:rPr>
                <w:rFonts w:ascii="Arial" w:eastAsia="Times New Roman" w:hAnsi="Arial" w:cs="Arial"/>
                <w:color w:val="000000"/>
                <w:sz w:val="20"/>
                <w:szCs w:val="20"/>
                <w:vertAlign w:val="superscript"/>
              </w:rPr>
              <w:t>e</w:t>
            </w:r>
          </w:p>
        </w:tc>
        <w:tc>
          <w:tcPr>
            <w:tcW w:w="1420" w:type="dxa"/>
            <w:tcBorders>
              <w:top w:val="nil"/>
              <w:left w:val="nil"/>
              <w:bottom w:val="single" w:sz="4" w:space="0" w:color="auto"/>
              <w:right w:val="single" w:sz="4" w:space="0" w:color="auto"/>
            </w:tcBorders>
            <w:shd w:val="clear" w:color="auto" w:fill="auto"/>
            <w:noWrap/>
            <w:vAlign w:val="center"/>
            <w:hideMark/>
          </w:tcPr>
          <w:p w14:paraId="356502D5"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74</w:t>
            </w:r>
            <w:r w:rsidRPr="00CD028B">
              <w:rPr>
                <w:rFonts w:ascii="Arial" w:eastAsia="Times New Roman" w:hAnsi="Arial" w:cs="Arial"/>
                <w:color w:val="000000"/>
                <w:sz w:val="20"/>
                <w:szCs w:val="20"/>
                <w:vertAlign w:val="superscript"/>
              </w:rPr>
              <w:t>e</w:t>
            </w:r>
          </w:p>
        </w:tc>
        <w:tc>
          <w:tcPr>
            <w:tcW w:w="1340" w:type="dxa"/>
            <w:tcBorders>
              <w:top w:val="nil"/>
              <w:left w:val="nil"/>
              <w:bottom w:val="single" w:sz="4" w:space="0" w:color="auto"/>
              <w:right w:val="single" w:sz="4" w:space="0" w:color="auto"/>
            </w:tcBorders>
            <w:shd w:val="clear" w:color="auto" w:fill="auto"/>
            <w:noWrap/>
            <w:vAlign w:val="center"/>
            <w:hideMark/>
          </w:tcPr>
          <w:p w14:paraId="7F2A744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27</w:t>
            </w:r>
          </w:p>
        </w:tc>
        <w:tc>
          <w:tcPr>
            <w:tcW w:w="1340" w:type="dxa"/>
            <w:tcBorders>
              <w:top w:val="nil"/>
              <w:left w:val="nil"/>
              <w:bottom w:val="single" w:sz="4" w:space="0" w:color="auto"/>
              <w:right w:val="single" w:sz="4" w:space="0" w:color="auto"/>
            </w:tcBorders>
            <w:shd w:val="clear" w:color="auto" w:fill="auto"/>
            <w:noWrap/>
            <w:vAlign w:val="center"/>
            <w:hideMark/>
          </w:tcPr>
          <w:p w14:paraId="1ABBABE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12</w:t>
            </w:r>
          </w:p>
        </w:tc>
        <w:tc>
          <w:tcPr>
            <w:tcW w:w="1540" w:type="dxa"/>
            <w:tcBorders>
              <w:top w:val="nil"/>
              <w:left w:val="nil"/>
              <w:bottom w:val="single" w:sz="4" w:space="0" w:color="auto"/>
              <w:right w:val="single" w:sz="4" w:space="0" w:color="auto"/>
            </w:tcBorders>
            <w:shd w:val="clear" w:color="auto" w:fill="auto"/>
            <w:noWrap/>
            <w:vAlign w:val="bottom"/>
            <w:hideMark/>
          </w:tcPr>
          <w:p w14:paraId="2CBE63CF"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39</w:t>
            </w:r>
            <w:r w:rsidRPr="00CD028B">
              <w:rPr>
                <w:rFonts w:ascii="Arial" w:eastAsia="Times New Roman" w:hAnsi="Arial" w:cs="Arial"/>
                <w:color w:val="000000"/>
                <w:sz w:val="20"/>
                <w:szCs w:val="20"/>
                <w:vertAlign w:val="superscript"/>
              </w:rPr>
              <w:t>e</w:t>
            </w:r>
          </w:p>
        </w:tc>
        <w:tc>
          <w:tcPr>
            <w:tcW w:w="1312" w:type="dxa"/>
            <w:tcBorders>
              <w:top w:val="nil"/>
              <w:left w:val="nil"/>
              <w:bottom w:val="single" w:sz="4" w:space="0" w:color="auto"/>
              <w:right w:val="single" w:sz="4" w:space="0" w:color="auto"/>
            </w:tcBorders>
            <w:shd w:val="clear" w:color="auto" w:fill="auto"/>
            <w:noWrap/>
            <w:vAlign w:val="center"/>
            <w:hideMark/>
          </w:tcPr>
          <w:p w14:paraId="1F07BA18"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47</w:t>
            </w:r>
            <w:r w:rsidRPr="00CD028B">
              <w:rPr>
                <w:rFonts w:ascii="Arial" w:eastAsia="Times New Roman" w:hAnsi="Arial" w:cs="Arial"/>
                <w:color w:val="000000"/>
                <w:sz w:val="20"/>
                <w:szCs w:val="20"/>
                <w:vertAlign w:val="superscript"/>
              </w:rPr>
              <w:t>e</w:t>
            </w:r>
          </w:p>
        </w:tc>
        <w:tc>
          <w:tcPr>
            <w:tcW w:w="1312" w:type="dxa"/>
            <w:tcBorders>
              <w:top w:val="nil"/>
              <w:left w:val="nil"/>
              <w:bottom w:val="single" w:sz="4" w:space="0" w:color="auto"/>
              <w:right w:val="single" w:sz="4" w:space="0" w:color="auto"/>
            </w:tcBorders>
            <w:shd w:val="clear" w:color="auto" w:fill="auto"/>
            <w:noWrap/>
            <w:vAlign w:val="center"/>
            <w:hideMark/>
          </w:tcPr>
          <w:p w14:paraId="067ADF8C"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w:t>
            </w:r>
          </w:p>
        </w:tc>
      </w:tr>
      <w:tr w:rsidR="00B724C5" w:rsidRPr="00CD028B" w14:paraId="2ABE463A"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4995E2A" w14:textId="77777777" w:rsidR="00B724C5" w:rsidRPr="00CD028B" w:rsidRDefault="00B724C5" w:rsidP="00186656">
            <w:pPr>
              <w:jc w:val="center"/>
              <w:rPr>
                <w:rFonts w:ascii="Arial" w:eastAsia="Times New Roman" w:hAnsi="Arial" w:cs="Arial"/>
                <w:color w:val="000000"/>
                <w:sz w:val="16"/>
                <w:szCs w:val="16"/>
              </w:rPr>
            </w:pPr>
            <w:r w:rsidRPr="00CD028B">
              <w:rPr>
                <w:rFonts w:ascii="Arial" w:eastAsia="Times New Roman" w:hAnsi="Arial" w:cs="Arial"/>
                <w:color w:val="000000"/>
                <w:sz w:val="16"/>
                <w:szCs w:val="16"/>
              </w:rPr>
              <w:t>Logistic Regression on Log Odds Scale for Binary Outcome</w:t>
            </w:r>
          </w:p>
        </w:tc>
      </w:tr>
      <w:tr w:rsidR="00B724C5" w:rsidRPr="00CD028B" w14:paraId="00FD1358" w14:textId="77777777" w:rsidTr="00186656">
        <w:trPr>
          <w:trHeight w:val="795"/>
        </w:trPr>
        <w:tc>
          <w:tcPr>
            <w:tcW w:w="1333" w:type="dxa"/>
            <w:tcBorders>
              <w:top w:val="nil"/>
              <w:left w:val="single" w:sz="4" w:space="0" w:color="auto"/>
              <w:bottom w:val="single" w:sz="4" w:space="0" w:color="auto"/>
              <w:right w:val="single" w:sz="4" w:space="0" w:color="auto"/>
            </w:tcBorders>
            <w:shd w:val="clear" w:color="000000" w:fill="FFFFFF"/>
            <w:vAlign w:val="center"/>
            <w:hideMark/>
          </w:tcPr>
          <w:p w14:paraId="6098F829"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GRA </w:t>
            </w:r>
            <w:proofErr w:type="spellStart"/>
            <w:r w:rsidRPr="00CD028B">
              <w:rPr>
                <w:rFonts w:ascii="Arial" w:eastAsia="Times New Roman" w:hAnsi="Arial" w:cs="Arial"/>
                <w:b/>
                <w:bCs/>
                <w:color w:val="000000"/>
                <w:sz w:val="20"/>
                <w:szCs w:val="20"/>
              </w:rPr>
              <w:t>Responder</w:t>
            </w:r>
            <w:r w:rsidRPr="00CD028B">
              <w:rPr>
                <w:rFonts w:ascii="Arial" w:eastAsia="Times New Roman" w:hAnsi="Arial" w:cs="Arial"/>
                <w:color w:val="000000"/>
                <w:sz w:val="20"/>
                <w:szCs w:val="20"/>
                <w:vertAlign w:val="superscript"/>
              </w:rPr>
              <w:t>a</w:t>
            </w:r>
            <w:proofErr w:type="spellEnd"/>
          </w:p>
        </w:tc>
        <w:tc>
          <w:tcPr>
            <w:tcW w:w="1340" w:type="dxa"/>
            <w:tcBorders>
              <w:top w:val="nil"/>
              <w:left w:val="nil"/>
              <w:bottom w:val="single" w:sz="4" w:space="0" w:color="auto"/>
              <w:right w:val="single" w:sz="4" w:space="0" w:color="auto"/>
            </w:tcBorders>
            <w:shd w:val="clear" w:color="auto" w:fill="auto"/>
            <w:noWrap/>
            <w:vAlign w:val="center"/>
            <w:hideMark/>
          </w:tcPr>
          <w:p w14:paraId="6775159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11 (23%)</w:t>
            </w:r>
          </w:p>
        </w:tc>
        <w:tc>
          <w:tcPr>
            <w:tcW w:w="1340" w:type="dxa"/>
            <w:tcBorders>
              <w:top w:val="nil"/>
              <w:left w:val="nil"/>
              <w:bottom w:val="single" w:sz="4" w:space="0" w:color="auto"/>
              <w:right w:val="single" w:sz="4" w:space="0" w:color="auto"/>
            </w:tcBorders>
            <w:shd w:val="clear" w:color="auto" w:fill="auto"/>
            <w:noWrap/>
            <w:vAlign w:val="center"/>
            <w:hideMark/>
          </w:tcPr>
          <w:p w14:paraId="11CADDE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7 (64%)</w:t>
            </w:r>
          </w:p>
        </w:tc>
        <w:tc>
          <w:tcPr>
            <w:tcW w:w="1540" w:type="dxa"/>
            <w:tcBorders>
              <w:top w:val="nil"/>
              <w:left w:val="nil"/>
              <w:bottom w:val="single" w:sz="4" w:space="0" w:color="auto"/>
              <w:right w:val="single" w:sz="4" w:space="0" w:color="auto"/>
            </w:tcBorders>
            <w:shd w:val="clear" w:color="auto" w:fill="auto"/>
            <w:vAlign w:val="center"/>
            <w:hideMark/>
          </w:tcPr>
          <w:p w14:paraId="2EAFFE20"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1.70 (0.019)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0.28,3.11]</w:t>
            </w:r>
            <w:r w:rsidRPr="00CD028B">
              <w:rPr>
                <w:rFonts w:ascii="Arial" w:eastAsia="Times New Roman" w:hAnsi="Arial" w:cs="Arial"/>
                <w:color w:val="000000"/>
                <w:sz w:val="20"/>
                <w:szCs w:val="20"/>
                <w:vertAlign w:val="superscript"/>
              </w:rPr>
              <w:t>f</w:t>
            </w:r>
          </w:p>
        </w:tc>
        <w:tc>
          <w:tcPr>
            <w:tcW w:w="1420" w:type="dxa"/>
            <w:tcBorders>
              <w:top w:val="nil"/>
              <w:left w:val="nil"/>
              <w:bottom w:val="single" w:sz="4" w:space="0" w:color="auto"/>
              <w:right w:val="single" w:sz="4" w:space="0" w:color="auto"/>
            </w:tcBorders>
            <w:shd w:val="clear" w:color="auto" w:fill="auto"/>
            <w:vAlign w:val="center"/>
            <w:hideMark/>
          </w:tcPr>
          <w:p w14:paraId="30B4DA3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1.28 (0.059)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-0.05,2.61]</w:t>
            </w:r>
            <w:r w:rsidRPr="00CD028B">
              <w:rPr>
                <w:rFonts w:ascii="Arial" w:eastAsia="Times New Roman" w:hAnsi="Arial" w:cs="Arial"/>
                <w:color w:val="000000"/>
                <w:sz w:val="20"/>
                <w:szCs w:val="20"/>
                <w:vertAlign w:val="superscript"/>
              </w:rPr>
              <w:t>f</w:t>
            </w:r>
          </w:p>
        </w:tc>
        <w:tc>
          <w:tcPr>
            <w:tcW w:w="1340" w:type="dxa"/>
            <w:tcBorders>
              <w:top w:val="nil"/>
              <w:left w:val="nil"/>
              <w:bottom w:val="single" w:sz="4" w:space="0" w:color="auto"/>
              <w:right w:val="single" w:sz="4" w:space="0" w:color="auto"/>
            </w:tcBorders>
            <w:shd w:val="clear" w:color="000000" w:fill="FFFFFF"/>
            <w:noWrap/>
            <w:vAlign w:val="center"/>
            <w:hideMark/>
          </w:tcPr>
          <w:p w14:paraId="2524E3A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8 (30%)</w:t>
            </w:r>
          </w:p>
        </w:tc>
        <w:tc>
          <w:tcPr>
            <w:tcW w:w="1340" w:type="dxa"/>
            <w:tcBorders>
              <w:top w:val="nil"/>
              <w:left w:val="nil"/>
              <w:bottom w:val="single" w:sz="4" w:space="0" w:color="auto"/>
              <w:right w:val="single" w:sz="4" w:space="0" w:color="auto"/>
            </w:tcBorders>
            <w:shd w:val="clear" w:color="000000" w:fill="FFFFFF"/>
            <w:noWrap/>
            <w:vAlign w:val="center"/>
            <w:hideMark/>
          </w:tcPr>
          <w:p w14:paraId="133E2575"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5 (42%)</w:t>
            </w:r>
          </w:p>
        </w:tc>
        <w:tc>
          <w:tcPr>
            <w:tcW w:w="1540" w:type="dxa"/>
            <w:tcBorders>
              <w:top w:val="nil"/>
              <w:left w:val="nil"/>
              <w:bottom w:val="single" w:sz="4" w:space="0" w:color="auto"/>
              <w:right w:val="single" w:sz="4" w:space="0" w:color="auto"/>
            </w:tcBorders>
            <w:shd w:val="clear" w:color="auto" w:fill="auto"/>
            <w:vAlign w:val="center"/>
            <w:hideMark/>
          </w:tcPr>
          <w:p w14:paraId="522FBE4A"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0.63 (0.392)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-0.81,2.07]</w:t>
            </w:r>
            <w:r w:rsidRPr="00CD028B">
              <w:rPr>
                <w:rFonts w:ascii="Arial" w:eastAsia="Times New Roman" w:hAnsi="Arial" w:cs="Arial"/>
                <w:color w:val="000000"/>
                <w:sz w:val="20"/>
                <w:szCs w:val="20"/>
                <w:vertAlign w:val="superscript"/>
              </w:rPr>
              <w:t>f</w:t>
            </w:r>
          </w:p>
        </w:tc>
        <w:tc>
          <w:tcPr>
            <w:tcW w:w="1312" w:type="dxa"/>
            <w:tcBorders>
              <w:top w:val="nil"/>
              <w:left w:val="nil"/>
              <w:bottom w:val="single" w:sz="4" w:space="0" w:color="auto"/>
              <w:right w:val="single" w:sz="4" w:space="0" w:color="auto"/>
            </w:tcBorders>
            <w:shd w:val="clear" w:color="auto" w:fill="auto"/>
            <w:vAlign w:val="center"/>
            <w:hideMark/>
          </w:tcPr>
          <w:p w14:paraId="0CA3ECF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0.64 (0.379)</w:t>
            </w:r>
            <w:r>
              <w:rPr>
                <w:rFonts w:ascii="Arial" w:eastAsia="Times New Roman" w:hAnsi="Arial" w:cs="Arial"/>
                <w:color w:val="000000"/>
                <w:sz w:val="20"/>
                <w:szCs w:val="20"/>
              </w:rPr>
              <w:t xml:space="preserve"> </w:t>
            </w:r>
            <w:r w:rsidRPr="00CD028B">
              <w:rPr>
                <w:rFonts w:ascii="Arial" w:eastAsia="Times New Roman" w:hAnsi="Arial" w:cs="Arial"/>
                <w:color w:val="000000"/>
                <w:sz w:val="20"/>
                <w:szCs w:val="20"/>
              </w:rPr>
              <w:t>[-0.79,2.</w:t>
            </w:r>
            <w:proofErr w:type="gramStart"/>
            <w:r w:rsidRPr="00CD028B">
              <w:rPr>
                <w:rFonts w:ascii="Arial" w:eastAsia="Times New Roman" w:hAnsi="Arial" w:cs="Arial"/>
                <w:color w:val="000000"/>
                <w:sz w:val="20"/>
                <w:szCs w:val="20"/>
              </w:rPr>
              <w:t>07]</w:t>
            </w:r>
            <w:r w:rsidRPr="00CD028B">
              <w:rPr>
                <w:rFonts w:ascii="Arial" w:eastAsia="Times New Roman" w:hAnsi="Arial" w:cs="Arial"/>
                <w:color w:val="000000"/>
                <w:sz w:val="20"/>
                <w:szCs w:val="20"/>
                <w:vertAlign w:val="superscript"/>
              </w:rPr>
              <w:t>f</w:t>
            </w:r>
            <w:proofErr w:type="gramEnd"/>
          </w:p>
        </w:tc>
        <w:tc>
          <w:tcPr>
            <w:tcW w:w="1312" w:type="dxa"/>
            <w:tcBorders>
              <w:top w:val="nil"/>
              <w:left w:val="nil"/>
              <w:bottom w:val="single" w:sz="4" w:space="0" w:color="auto"/>
              <w:right w:val="single" w:sz="4" w:space="0" w:color="auto"/>
            </w:tcBorders>
            <w:shd w:val="clear" w:color="auto" w:fill="auto"/>
            <w:vAlign w:val="center"/>
            <w:hideMark/>
          </w:tcPr>
          <w:p w14:paraId="07C739B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-0.64 (0.522)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-2.60,1.32]</w:t>
            </w:r>
          </w:p>
        </w:tc>
      </w:tr>
      <w:tr w:rsidR="00B724C5" w:rsidRPr="00CD028B" w14:paraId="1867CCC4"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7DBDADC" w14:textId="77777777" w:rsidR="00B724C5" w:rsidRPr="00CD028B" w:rsidRDefault="00B724C5" w:rsidP="00186656">
            <w:pPr>
              <w:jc w:val="center"/>
              <w:rPr>
                <w:rFonts w:ascii="Arial" w:eastAsia="Times New Roman" w:hAnsi="Arial" w:cs="Arial"/>
                <w:color w:val="000000"/>
                <w:sz w:val="16"/>
                <w:szCs w:val="16"/>
              </w:rPr>
            </w:pPr>
            <w:r w:rsidRPr="00CD028B">
              <w:rPr>
                <w:rFonts w:ascii="Arial" w:eastAsia="Times New Roman" w:hAnsi="Arial" w:cs="Arial"/>
                <w:color w:val="000000"/>
                <w:sz w:val="16"/>
                <w:szCs w:val="16"/>
              </w:rPr>
              <w:t>Absolute Change on NRS Scale</w:t>
            </w:r>
          </w:p>
        </w:tc>
      </w:tr>
      <w:tr w:rsidR="00B724C5" w:rsidRPr="00CD028B" w14:paraId="4DA45A0D" w14:textId="77777777" w:rsidTr="00186656">
        <w:trPr>
          <w:trHeight w:val="540"/>
        </w:trPr>
        <w:tc>
          <w:tcPr>
            <w:tcW w:w="1333" w:type="dxa"/>
            <w:tcBorders>
              <w:top w:val="nil"/>
              <w:left w:val="single" w:sz="4" w:space="0" w:color="auto"/>
              <w:bottom w:val="single" w:sz="4" w:space="0" w:color="auto"/>
              <w:right w:val="single" w:sz="4" w:space="0" w:color="auto"/>
            </w:tcBorders>
            <w:shd w:val="clear" w:color="000000" w:fill="FFFFFF"/>
            <w:vAlign w:val="center"/>
            <w:hideMark/>
          </w:tcPr>
          <w:p w14:paraId="61274BF0"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Pain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340" w:type="dxa"/>
            <w:tcBorders>
              <w:top w:val="nil"/>
              <w:left w:val="nil"/>
              <w:bottom w:val="single" w:sz="4" w:space="0" w:color="auto"/>
              <w:right w:val="single" w:sz="4" w:space="0" w:color="auto"/>
            </w:tcBorders>
            <w:shd w:val="clear" w:color="auto" w:fill="auto"/>
            <w:noWrap/>
            <w:vAlign w:val="center"/>
            <w:hideMark/>
          </w:tcPr>
          <w:p w14:paraId="3B99186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-0.68 (1.77)</w:t>
            </w:r>
          </w:p>
        </w:tc>
        <w:tc>
          <w:tcPr>
            <w:tcW w:w="1340" w:type="dxa"/>
            <w:tcBorders>
              <w:top w:val="nil"/>
              <w:left w:val="nil"/>
              <w:bottom w:val="single" w:sz="4" w:space="0" w:color="auto"/>
              <w:right w:val="single" w:sz="4" w:space="0" w:color="auto"/>
            </w:tcBorders>
            <w:shd w:val="clear" w:color="auto" w:fill="auto"/>
            <w:noWrap/>
            <w:vAlign w:val="center"/>
            <w:hideMark/>
          </w:tcPr>
          <w:p w14:paraId="7B492FD4"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-2.36 (1.87)</w:t>
            </w:r>
          </w:p>
        </w:tc>
        <w:tc>
          <w:tcPr>
            <w:tcW w:w="1540" w:type="dxa"/>
            <w:tcBorders>
              <w:top w:val="nil"/>
              <w:left w:val="nil"/>
              <w:bottom w:val="single" w:sz="4" w:space="0" w:color="auto"/>
              <w:right w:val="single" w:sz="4" w:space="0" w:color="auto"/>
            </w:tcBorders>
            <w:shd w:val="clear" w:color="000000" w:fill="FFFFFF"/>
            <w:vAlign w:val="bottom"/>
            <w:hideMark/>
          </w:tcPr>
          <w:p w14:paraId="41BCDC1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-1.78 (0.005)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-3.00,-0.57]</w:t>
            </w:r>
          </w:p>
        </w:tc>
        <w:tc>
          <w:tcPr>
            <w:tcW w:w="1420" w:type="dxa"/>
            <w:tcBorders>
              <w:top w:val="nil"/>
              <w:left w:val="nil"/>
              <w:bottom w:val="single" w:sz="4" w:space="0" w:color="auto"/>
              <w:right w:val="single" w:sz="4" w:space="0" w:color="auto"/>
            </w:tcBorders>
            <w:shd w:val="clear" w:color="000000" w:fill="FFFFFF"/>
            <w:vAlign w:val="center"/>
            <w:hideMark/>
          </w:tcPr>
          <w:p w14:paraId="0555275F"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-1.44 (0.018)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-2.64,-.25]</w:t>
            </w:r>
          </w:p>
        </w:tc>
        <w:tc>
          <w:tcPr>
            <w:tcW w:w="1340" w:type="dxa"/>
            <w:tcBorders>
              <w:top w:val="nil"/>
              <w:left w:val="nil"/>
              <w:bottom w:val="single" w:sz="4" w:space="0" w:color="auto"/>
              <w:right w:val="single" w:sz="4" w:space="0" w:color="auto"/>
            </w:tcBorders>
            <w:shd w:val="clear" w:color="000000" w:fill="FFFFFF"/>
            <w:noWrap/>
            <w:vAlign w:val="center"/>
            <w:hideMark/>
          </w:tcPr>
          <w:p w14:paraId="2ED40B07"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-0.91 (1.84)</w:t>
            </w:r>
          </w:p>
        </w:tc>
        <w:tc>
          <w:tcPr>
            <w:tcW w:w="1340" w:type="dxa"/>
            <w:tcBorders>
              <w:top w:val="nil"/>
              <w:left w:val="nil"/>
              <w:bottom w:val="single" w:sz="4" w:space="0" w:color="auto"/>
              <w:right w:val="single" w:sz="4" w:space="0" w:color="auto"/>
            </w:tcBorders>
            <w:shd w:val="clear" w:color="000000" w:fill="FFFFFF"/>
            <w:noWrap/>
            <w:vAlign w:val="center"/>
            <w:hideMark/>
          </w:tcPr>
          <w:p w14:paraId="17B7E92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-0.96 (1.84)</w:t>
            </w:r>
          </w:p>
        </w:tc>
        <w:tc>
          <w:tcPr>
            <w:tcW w:w="1540" w:type="dxa"/>
            <w:tcBorders>
              <w:top w:val="nil"/>
              <w:left w:val="nil"/>
              <w:bottom w:val="single" w:sz="4" w:space="0" w:color="auto"/>
              <w:right w:val="single" w:sz="4" w:space="0" w:color="auto"/>
            </w:tcBorders>
            <w:shd w:val="clear" w:color="000000" w:fill="FFFFFF"/>
            <w:vAlign w:val="bottom"/>
            <w:hideMark/>
          </w:tcPr>
          <w:p w14:paraId="05776BD0"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-0.20 (0.755)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-1.45,1.05]</w:t>
            </w:r>
          </w:p>
        </w:tc>
        <w:tc>
          <w:tcPr>
            <w:tcW w:w="1312" w:type="dxa"/>
            <w:tcBorders>
              <w:top w:val="nil"/>
              <w:left w:val="nil"/>
              <w:bottom w:val="single" w:sz="4" w:space="0" w:color="auto"/>
              <w:right w:val="single" w:sz="4" w:space="0" w:color="auto"/>
            </w:tcBorders>
            <w:shd w:val="clear" w:color="000000" w:fill="FFFFFF"/>
            <w:vAlign w:val="center"/>
            <w:hideMark/>
          </w:tcPr>
          <w:p w14:paraId="516FAF5A" w14:textId="77777777" w:rsidR="00B724C5"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-0.16 (0.790)</w:t>
            </w:r>
          </w:p>
          <w:p w14:paraId="44A6F0A7"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[-1.37,1.04]</w:t>
            </w:r>
          </w:p>
        </w:tc>
        <w:tc>
          <w:tcPr>
            <w:tcW w:w="1312" w:type="dxa"/>
            <w:tcBorders>
              <w:top w:val="nil"/>
              <w:left w:val="nil"/>
              <w:bottom w:val="single" w:sz="4" w:space="0" w:color="auto"/>
              <w:right w:val="single" w:sz="4" w:space="0" w:color="auto"/>
            </w:tcBorders>
            <w:shd w:val="clear" w:color="auto" w:fill="auto"/>
            <w:vAlign w:val="center"/>
            <w:hideMark/>
          </w:tcPr>
          <w:p w14:paraId="536B1228"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1.28 (0.141)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-0.42,2.99]</w:t>
            </w:r>
          </w:p>
        </w:tc>
      </w:tr>
      <w:tr w:rsidR="00B724C5" w:rsidRPr="00CD028B" w14:paraId="216025DE" w14:textId="77777777" w:rsidTr="00186656">
        <w:trPr>
          <w:trHeight w:val="737"/>
        </w:trPr>
        <w:tc>
          <w:tcPr>
            <w:tcW w:w="1333" w:type="dxa"/>
            <w:tcBorders>
              <w:top w:val="nil"/>
              <w:left w:val="single" w:sz="4" w:space="0" w:color="auto"/>
              <w:bottom w:val="single" w:sz="4" w:space="0" w:color="auto"/>
              <w:right w:val="single" w:sz="4" w:space="0" w:color="auto"/>
            </w:tcBorders>
            <w:shd w:val="clear" w:color="000000" w:fill="FFFFFF"/>
            <w:vAlign w:val="center"/>
            <w:hideMark/>
          </w:tcPr>
          <w:p w14:paraId="351F968A"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Urgency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340" w:type="dxa"/>
            <w:tcBorders>
              <w:top w:val="nil"/>
              <w:left w:val="nil"/>
              <w:bottom w:val="single" w:sz="4" w:space="0" w:color="auto"/>
              <w:right w:val="single" w:sz="4" w:space="0" w:color="auto"/>
            </w:tcBorders>
            <w:shd w:val="clear" w:color="auto" w:fill="auto"/>
            <w:noWrap/>
            <w:vAlign w:val="center"/>
            <w:hideMark/>
          </w:tcPr>
          <w:p w14:paraId="17DF029A"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-1.05 (1.48)</w:t>
            </w:r>
          </w:p>
        </w:tc>
        <w:tc>
          <w:tcPr>
            <w:tcW w:w="1340" w:type="dxa"/>
            <w:tcBorders>
              <w:top w:val="nil"/>
              <w:left w:val="nil"/>
              <w:bottom w:val="single" w:sz="4" w:space="0" w:color="auto"/>
              <w:right w:val="single" w:sz="4" w:space="0" w:color="auto"/>
            </w:tcBorders>
            <w:shd w:val="clear" w:color="auto" w:fill="auto"/>
            <w:noWrap/>
            <w:vAlign w:val="center"/>
            <w:hideMark/>
          </w:tcPr>
          <w:p w14:paraId="617398F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-2.05 (1.74)</w:t>
            </w:r>
          </w:p>
        </w:tc>
        <w:tc>
          <w:tcPr>
            <w:tcW w:w="1540" w:type="dxa"/>
            <w:tcBorders>
              <w:top w:val="nil"/>
              <w:left w:val="nil"/>
              <w:bottom w:val="single" w:sz="4" w:space="0" w:color="auto"/>
              <w:right w:val="single" w:sz="4" w:space="0" w:color="auto"/>
            </w:tcBorders>
            <w:shd w:val="clear" w:color="000000" w:fill="FFFFFF"/>
            <w:vAlign w:val="center"/>
            <w:hideMark/>
          </w:tcPr>
          <w:p w14:paraId="2ABF754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-1.11 (0.038)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-2.16,-0.06]</w:t>
            </w:r>
          </w:p>
        </w:tc>
        <w:tc>
          <w:tcPr>
            <w:tcW w:w="1420" w:type="dxa"/>
            <w:tcBorders>
              <w:top w:val="nil"/>
              <w:left w:val="nil"/>
              <w:bottom w:val="single" w:sz="4" w:space="0" w:color="auto"/>
              <w:right w:val="single" w:sz="4" w:space="0" w:color="auto"/>
            </w:tcBorders>
            <w:shd w:val="clear" w:color="000000" w:fill="FFFFFF"/>
            <w:vAlign w:val="center"/>
            <w:hideMark/>
          </w:tcPr>
          <w:p w14:paraId="0E03C858"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 -1.09 (0.031)</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-2.08,-0.10]</w:t>
            </w:r>
          </w:p>
        </w:tc>
        <w:tc>
          <w:tcPr>
            <w:tcW w:w="1340" w:type="dxa"/>
            <w:tcBorders>
              <w:top w:val="nil"/>
              <w:left w:val="nil"/>
              <w:bottom w:val="single" w:sz="4" w:space="0" w:color="auto"/>
              <w:right w:val="single" w:sz="4" w:space="0" w:color="auto"/>
            </w:tcBorders>
            <w:shd w:val="clear" w:color="000000" w:fill="FFFFFF"/>
            <w:noWrap/>
            <w:vAlign w:val="center"/>
            <w:hideMark/>
          </w:tcPr>
          <w:p w14:paraId="4229826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-0.80 (1.83)</w:t>
            </w:r>
          </w:p>
        </w:tc>
        <w:tc>
          <w:tcPr>
            <w:tcW w:w="1340" w:type="dxa"/>
            <w:tcBorders>
              <w:top w:val="nil"/>
              <w:left w:val="nil"/>
              <w:bottom w:val="single" w:sz="4" w:space="0" w:color="auto"/>
              <w:right w:val="single" w:sz="4" w:space="0" w:color="auto"/>
            </w:tcBorders>
            <w:shd w:val="clear" w:color="000000" w:fill="FFFFFF"/>
            <w:noWrap/>
            <w:vAlign w:val="center"/>
            <w:hideMark/>
          </w:tcPr>
          <w:p w14:paraId="4D7B95B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-0.58 (1.00)</w:t>
            </w:r>
          </w:p>
        </w:tc>
        <w:tc>
          <w:tcPr>
            <w:tcW w:w="1540" w:type="dxa"/>
            <w:tcBorders>
              <w:top w:val="nil"/>
              <w:left w:val="nil"/>
              <w:bottom w:val="single" w:sz="4" w:space="0" w:color="auto"/>
              <w:right w:val="single" w:sz="4" w:space="0" w:color="auto"/>
            </w:tcBorders>
            <w:shd w:val="clear" w:color="000000" w:fill="FFFFFF"/>
            <w:vAlign w:val="center"/>
            <w:hideMark/>
          </w:tcPr>
          <w:p w14:paraId="192C269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-0.02 (0.970)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-1.09,1.05]</w:t>
            </w:r>
          </w:p>
        </w:tc>
        <w:tc>
          <w:tcPr>
            <w:tcW w:w="1312" w:type="dxa"/>
            <w:tcBorders>
              <w:top w:val="nil"/>
              <w:left w:val="nil"/>
              <w:bottom w:val="single" w:sz="4" w:space="0" w:color="auto"/>
              <w:right w:val="single" w:sz="4" w:space="0" w:color="auto"/>
            </w:tcBorders>
            <w:shd w:val="clear" w:color="000000" w:fill="FFFFFF"/>
            <w:vAlign w:val="center"/>
            <w:hideMark/>
          </w:tcPr>
          <w:p w14:paraId="4DD21C4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0.07 (0.889)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-0.96,1.11]</w:t>
            </w:r>
          </w:p>
        </w:tc>
        <w:tc>
          <w:tcPr>
            <w:tcW w:w="1312" w:type="dxa"/>
            <w:tcBorders>
              <w:top w:val="nil"/>
              <w:left w:val="nil"/>
              <w:bottom w:val="single" w:sz="4" w:space="0" w:color="auto"/>
              <w:right w:val="single" w:sz="4" w:space="0" w:color="auto"/>
            </w:tcBorders>
            <w:shd w:val="clear" w:color="auto" w:fill="auto"/>
            <w:vAlign w:val="center"/>
            <w:hideMark/>
          </w:tcPr>
          <w:p w14:paraId="1094391F"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1.16 (0.108)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-0.26,2.58]</w:t>
            </w:r>
          </w:p>
        </w:tc>
      </w:tr>
      <w:tr w:rsidR="00B724C5" w:rsidRPr="00CD028B" w14:paraId="19F81011"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9973B1"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Intravesical BCG</w:t>
            </w:r>
          </w:p>
        </w:tc>
      </w:tr>
      <w:tr w:rsidR="00B724C5" w:rsidRPr="00CD028B" w14:paraId="65841590" w14:textId="77777777" w:rsidTr="00186656">
        <w:trPr>
          <w:trHeight w:val="300"/>
        </w:trPr>
        <w:tc>
          <w:tcPr>
            <w:tcW w:w="1333" w:type="dxa"/>
            <w:tcBorders>
              <w:top w:val="nil"/>
              <w:left w:val="single" w:sz="4" w:space="0" w:color="auto"/>
              <w:bottom w:val="single" w:sz="4" w:space="0" w:color="auto"/>
              <w:right w:val="single" w:sz="4" w:space="0" w:color="auto"/>
            </w:tcBorders>
            <w:shd w:val="clear" w:color="auto" w:fill="auto"/>
            <w:vAlign w:val="center"/>
            <w:hideMark/>
          </w:tcPr>
          <w:p w14:paraId="5C8D0995"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N</w:t>
            </w:r>
          </w:p>
        </w:tc>
        <w:tc>
          <w:tcPr>
            <w:tcW w:w="1340" w:type="dxa"/>
            <w:tcBorders>
              <w:top w:val="nil"/>
              <w:left w:val="nil"/>
              <w:bottom w:val="single" w:sz="4" w:space="0" w:color="auto"/>
              <w:right w:val="single" w:sz="4" w:space="0" w:color="auto"/>
            </w:tcBorders>
            <w:shd w:val="clear" w:color="auto" w:fill="auto"/>
            <w:noWrap/>
            <w:vAlign w:val="center"/>
            <w:hideMark/>
          </w:tcPr>
          <w:p w14:paraId="29B5815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64</w:t>
            </w:r>
          </w:p>
        </w:tc>
        <w:tc>
          <w:tcPr>
            <w:tcW w:w="1340" w:type="dxa"/>
            <w:tcBorders>
              <w:top w:val="nil"/>
              <w:left w:val="nil"/>
              <w:bottom w:val="single" w:sz="4" w:space="0" w:color="auto"/>
              <w:right w:val="single" w:sz="4" w:space="0" w:color="auto"/>
            </w:tcBorders>
            <w:shd w:val="clear" w:color="auto" w:fill="auto"/>
            <w:noWrap/>
            <w:vAlign w:val="center"/>
            <w:hideMark/>
          </w:tcPr>
          <w:p w14:paraId="332EDD0A"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67</w:t>
            </w:r>
          </w:p>
        </w:tc>
        <w:tc>
          <w:tcPr>
            <w:tcW w:w="1540" w:type="dxa"/>
            <w:tcBorders>
              <w:top w:val="nil"/>
              <w:left w:val="nil"/>
              <w:bottom w:val="single" w:sz="4" w:space="0" w:color="auto"/>
              <w:right w:val="single" w:sz="4" w:space="0" w:color="auto"/>
            </w:tcBorders>
            <w:shd w:val="clear" w:color="auto" w:fill="auto"/>
            <w:noWrap/>
            <w:vAlign w:val="bottom"/>
            <w:hideMark/>
          </w:tcPr>
          <w:p w14:paraId="27E28F97"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131</w:t>
            </w:r>
            <w:r w:rsidRPr="00CD028B">
              <w:rPr>
                <w:rFonts w:ascii="Arial" w:eastAsia="Times New Roman" w:hAnsi="Arial" w:cs="Arial"/>
                <w:color w:val="000000"/>
                <w:sz w:val="20"/>
                <w:szCs w:val="20"/>
                <w:vertAlign w:val="superscript"/>
              </w:rPr>
              <w:t>e</w:t>
            </w:r>
          </w:p>
        </w:tc>
        <w:tc>
          <w:tcPr>
            <w:tcW w:w="1420" w:type="dxa"/>
            <w:tcBorders>
              <w:top w:val="nil"/>
              <w:left w:val="nil"/>
              <w:bottom w:val="single" w:sz="4" w:space="0" w:color="auto"/>
              <w:right w:val="single" w:sz="4" w:space="0" w:color="auto"/>
            </w:tcBorders>
            <w:shd w:val="clear" w:color="auto" w:fill="auto"/>
            <w:noWrap/>
            <w:vAlign w:val="center"/>
            <w:hideMark/>
          </w:tcPr>
          <w:p w14:paraId="39AB6E38"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138</w:t>
            </w:r>
            <w:r w:rsidRPr="00CD028B">
              <w:rPr>
                <w:rFonts w:ascii="Arial" w:eastAsia="Times New Roman" w:hAnsi="Arial" w:cs="Arial"/>
                <w:color w:val="000000"/>
                <w:sz w:val="20"/>
                <w:szCs w:val="20"/>
                <w:vertAlign w:val="superscript"/>
              </w:rPr>
              <w:t>e</w:t>
            </w:r>
          </w:p>
        </w:tc>
        <w:tc>
          <w:tcPr>
            <w:tcW w:w="1340" w:type="dxa"/>
            <w:tcBorders>
              <w:top w:val="nil"/>
              <w:left w:val="nil"/>
              <w:bottom w:val="single" w:sz="4" w:space="0" w:color="auto"/>
              <w:right w:val="single" w:sz="4" w:space="0" w:color="auto"/>
            </w:tcBorders>
            <w:shd w:val="clear" w:color="auto" w:fill="auto"/>
            <w:noWrap/>
            <w:vAlign w:val="center"/>
            <w:hideMark/>
          </w:tcPr>
          <w:p w14:paraId="00B0366F"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62</w:t>
            </w:r>
          </w:p>
        </w:tc>
        <w:tc>
          <w:tcPr>
            <w:tcW w:w="1340" w:type="dxa"/>
            <w:tcBorders>
              <w:top w:val="nil"/>
              <w:left w:val="nil"/>
              <w:bottom w:val="single" w:sz="4" w:space="0" w:color="auto"/>
              <w:right w:val="single" w:sz="4" w:space="0" w:color="auto"/>
            </w:tcBorders>
            <w:shd w:val="clear" w:color="auto" w:fill="auto"/>
            <w:noWrap/>
            <w:vAlign w:val="center"/>
            <w:hideMark/>
          </w:tcPr>
          <w:p w14:paraId="0324FCDF"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53</w:t>
            </w:r>
          </w:p>
        </w:tc>
        <w:tc>
          <w:tcPr>
            <w:tcW w:w="1540" w:type="dxa"/>
            <w:tcBorders>
              <w:top w:val="nil"/>
              <w:left w:val="nil"/>
              <w:bottom w:val="single" w:sz="4" w:space="0" w:color="auto"/>
              <w:right w:val="single" w:sz="4" w:space="0" w:color="auto"/>
            </w:tcBorders>
            <w:shd w:val="clear" w:color="auto" w:fill="auto"/>
            <w:noWrap/>
            <w:vAlign w:val="bottom"/>
            <w:hideMark/>
          </w:tcPr>
          <w:p w14:paraId="3D05A17F"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115</w:t>
            </w:r>
            <w:r w:rsidRPr="00CD028B">
              <w:rPr>
                <w:rFonts w:ascii="Arial" w:eastAsia="Times New Roman" w:hAnsi="Arial" w:cs="Arial"/>
                <w:color w:val="000000"/>
                <w:sz w:val="20"/>
                <w:szCs w:val="20"/>
                <w:vertAlign w:val="superscript"/>
              </w:rPr>
              <w:t>e</w:t>
            </w:r>
          </w:p>
        </w:tc>
        <w:tc>
          <w:tcPr>
            <w:tcW w:w="1312" w:type="dxa"/>
            <w:tcBorders>
              <w:top w:val="nil"/>
              <w:left w:val="nil"/>
              <w:bottom w:val="single" w:sz="4" w:space="0" w:color="auto"/>
              <w:right w:val="single" w:sz="4" w:space="0" w:color="auto"/>
            </w:tcBorders>
            <w:shd w:val="clear" w:color="auto" w:fill="auto"/>
            <w:noWrap/>
            <w:vAlign w:val="center"/>
            <w:hideMark/>
          </w:tcPr>
          <w:p w14:paraId="1C116A1A"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127</w:t>
            </w:r>
            <w:r w:rsidRPr="00CD028B">
              <w:rPr>
                <w:rFonts w:ascii="Arial" w:eastAsia="Times New Roman" w:hAnsi="Arial" w:cs="Arial"/>
                <w:color w:val="000000"/>
                <w:sz w:val="20"/>
                <w:szCs w:val="20"/>
                <w:vertAlign w:val="superscript"/>
              </w:rPr>
              <w:t>e</w:t>
            </w:r>
          </w:p>
        </w:tc>
        <w:tc>
          <w:tcPr>
            <w:tcW w:w="1312" w:type="dxa"/>
            <w:tcBorders>
              <w:top w:val="nil"/>
              <w:left w:val="nil"/>
              <w:bottom w:val="single" w:sz="4" w:space="0" w:color="auto"/>
              <w:right w:val="single" w:sz="4" w:space="0" w:color="auto"/>
            </w:tcBorders>
            <w:shd w:val="clear" w:color="auto" w:fill="auto"/>
            <w:noWrap/>
            <w:vAlign w:val="center"/>
            <w:hideMark/>
          </w:tcPr>
          <w:p w14:paraId="63203452"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w:t>
            </w:r>
          </w:p>
        </w:tc>
      </w:tr>
      <w:tr w:rsidR="00B724C5" w:rsidRPr="00CD028B" w14:paraId="796856F2"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73C251C" w14:textId="77777777" w:rsidR="00B724C5" w:rsidRPr="00CD028B" w:rsidRDefault="00B724C5" w:rsidP="00186656">
            <w:pPr>
              <w:jc w:val="center"/>
              <w:rPr>
                <w:rFonts w:ascii="Arial" w:eastAsia="Times New Roman" w:hAnsi="Arial" w:cs="Arial"/>
                <w:color w:val="000000"/>
                <w:sz w:val="16"/>
                <w:szCs w:val="16"/>
              </w:rPr>
            </w:pPr>
            <w:r w:rsidRPr="00CD028B">
              <w:rPr>
                <w:rFonts w:ascii="Arial" w:eastAsia="Times New Roman" w:hAnsi="Arial" w:cs="Arial"/>
                <w:color w:val="000000"/>
                <w:sz w:val="16"/>
                <w:szCs w:val="16"/>
              </w:rPr>
              <w:t>Logistic Regression on Log Odds Scale for Binary Outcome</w:t>
            </w:r>
          </w:p>
        </w:tc>
      </w:tr>
      <w:tr w:rsidR="00B724C5" w:rsidRPr="00CD028B" w14:paraId="5E41E9B7" w14:textId="77777777" w:rsidTr="00186656">
        <w:trPr>
          <w:trHeight w:val="458"/>
        </w:trPr>
        <w:tc>
          <w:tcPr>
            <w:tcW w:w="1333" w:type="dxa"/>
            <w:tcBorders>
              <w:top w:val="nil"/>
              <w:left w:val="single" w:sz="4" w:space="0" w:color="auto"/>
              <w:bottom w:val="single" w:sz="4" w:space="0" w:color="auto"/>
              <w:right w:val="single" w:sz="4" w:space="0" w:color="auto"/>
            </w:tcBorders>
            <w:shd w:val="clear" w:color="000000" w:fill="FFFFFF"/>
            <w:vAlign w:val="center"/>
            <w:hideMark/>
          </w:tcPr>
          <w:p w14:paraId="32DC6F76"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GRA </w:t>
            </w:r>
            <w:proofErr w:type="spellStart"/>
            <w:r w:rsidRPr="00CD028B">
              <w:rPr>
                <w:rFonts w:ascii="Arial" w:eastAsia="Times New Roman" w:hAnsi="Arial" w:cs="Arial"/>
                <w:b/>
                <w:bCs/>
                <w:color w:val="000000"/>
                <w:sz w:val="20"/>
                <w:szCs w:val="20"/>
              </w:rPr>
              <w:t>Responder</w:t>
            </w:r>
            <w:r w:rsidRPr="00CD028B">
              <w:rPr>
                <w:rFonts w:ascii="Arial" w:eastAsia="Times New Roman" w:hAnsi="Arial" w:cs="Arial"/>
                <w:color w:val="000000"/>
                <w:sz w:val="20"/>
                <w:szCs w:val="20"/>
                <w:vertAlign w:val="superscript"/>
              </w:rPr>
              <w:t>a</w:t>
            </w:r>
            <w:proofErr w:type="spellEnd"/>
          </w:p>
        </w:tc>
        <w:tc>
          <w:tcPr>
            <w:tcW w:w="1340" w:type="dxa"/>
            <w:tcBorders>
              <w:top w:val="nil"/>
              <w:left w:val="nil"/>
              <w:bottom w:val="single" w:sz="4" w:space="0" w:color="auto"/>
              <w:right w:val="single" w:sz="4" w:space="0" w:color="auto"/>
            </w:tcBorders>
            <w:shd w:val="clear" w:color="auto" w:fill="auto"/>
            <w:noWrap/>
            <w:vAlign w:val="center"/>
            <w:hideMark/>
          </w:tcPr>
          <w:p w14:paraId="4DACCAE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11 (17%)</w:t>
            </w:r>
          </w:p>
        </w:tc>
        <w:tc>
          <w:tcPr>
            <w:tcW w:w="1340" w:type="dxa"/>
            <w:tcBorders>
              <w:top w:val="nil"/>
              <w:left w:val="nil"/>
              <w:bottom w:val="single" w:sz="4" w:space="0" w:color="auto"/>
              <w:right w:val="single" w:sz="4" w:space="0" w:color="auto"/>
            </w:tcBorders>
            <w:shd w:val="clear" w:color="auto" w:fill="auto"/>
            <w:noWrap/>
            <w:vAlign w:val="center"/>
            <w:hideMark/>
          </w:tcPr>
          <w:p w14:paraId="78F19D64"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14 (21%)</w:t>
            </w:r>
          </w:p>
        </w:tc>
        <w:tc>
          <w:tcPr>
            <w:tcW w:w="1540" w:type="dxa"/>
            <w:tcBorders>
              <w:top w:val="nil"/>
              <w:left w:val="nil"/>
              <w:bottom w:val="single" w:sz="4" w:space="0" w:color="auto"/>
              <w:right w:val="single" w:sz="4" w:space="0" w:color="auto"/>
            </w:tcBorders>
            <w:shd w:val="clear" w:color="auto" w:fill="auto"/>
            <w:vAlign w:val="center"/>
            <w:hideMark/>
          </w:tcPr>
          <w:p w14:paraId="6830077A"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0.30 (0.494)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-0.55,1.15]</w:t>
            </w:r>
            <w:r w:rsidRPr="00CD028B">
              <w:rPr>
                <w:rFonts w:ascii="Arial" w:eastAsia="Times New Roman" w:hAnsi="Arial" w:cs="Arial"/>
                <w:color w:val="000000"/>
                <w:sz w:val="20"/>
                <w:szCs w:val="20"/>
                <w:vertAlign w:val="superscript"/>
              </w:rPr>
              <w:t>f</w:t>
            </w:r>
          </w:p>
        </w:tc>
        <w:tc>
          <w:tcPr>
            <w:tcW w:w="1420" w:type="dxa"/>
            <w:tcBorders>
              <w:top w:val="nil"/>
              <w:left w:val="nil"/>
              <w:bottom w:val="single" w:sz="4" w:space="0" w:color="auto"/>
              <w:right w:val="single" w:sz="4" w:space="0" w:color="auto"/>
            </w:tcBorders>
            <w:shd w:val="clear" w:color="auto" w:fill="auto"/>
            <w:vAlign w:val="center"/>
            <w:hideMark/>
          </w:tcPr>
          <w:p w14:paraId="159BC0C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0.31 (0.471)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-0.54,1.16]</w:t>
            </w:r>
            <w:r w:rsidRPr="00CD028B">
              <w:rPr>
                <w:rFonts w:ascii="Arial" w:eastAsia="Times New Roman" w:hAnsi="Arial" w:cs="Arial"/>
                <w:color w:val="000000"/>
                <w:sz w:val="20"/>
                <w:szCs w:val="20"/>
                <w:vertAlign w:val="superscript"/>
              </w:rPr>
              <w:t>f</w:t>
            </w:r>
          </w:p>
        </w:tc>
        <w:tc>
          <w:tcPr>
            <w:tcW w:w="1340" w:type="dxa"/>
            <w:tcBorders>
              <w:top w:val="nil"/>
              <w:left w:val="nil"/>
              <w:bottom w:val="single" w:sz="4" w:space="0" w:color="auto"/>
              <w:right w:val="single" w:sz="4" w:space="0" w:color="auto"/>
            </w:tcBorders>
            <w:shd w:val="clear" w:color="000000" w:fill="FFFFFF"/>
            <w:noWrap/>
            <w:vAlign w:val="center"/>
            <w:hideMark/>
          </w:tcPr>
          <w:p w14:paraId="133FEDB0"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5 (8%)</w:t>
            </w:r>
          </w:p>
        </w:tc>
        <w:tc>
          <w:tcPr>
            <w:tcW w:w="1340" w:type="dxa"/>
            <w:tcBorders>
              <w:top w:val="nil"/>
              <w:left w:val="nil"/>
              <w:bottom w:val="single" w:sz="4" w:space="0" w:color="auto"/>
              <w:right w:val="single" w:sz="4" w:space="0" w:color="auto"/>
            </w:tcBorders>
            <w:shd w:val="clear" w:color="000000" w:fill="FFFFFF"/>
            <w:noWrap/>
            <w:vAlign w:val="center"/>
            <w:hideMark/>
          </w:tcPr>
          <w:p w14:paraId="168E266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13 (25%)</w:t>
            </w:r>
          </w:p>
        </w:tc>
        <w:tc>
          <w:tcPr>
            <w:tcW w:w="1540" w:type="dxa"/>
            <w:tcBorders>
              <w:top w:val="nil"/>
              <w:left w:val="nil"/>
              <w:bottom w:val="single" w:sz="4" w:space="0" w:color="auto"/>
              <w:right w:val="single" w:sz="4" w:space="0" w:color="auto"/>
            </w:tcBorders>
            <w:shd w:val="clear" w:color="auto" w:fill="auto"/>
            <w:vAlign w:val="center"/>
            <w:hideMark/>
          </w:tcPr>
          <w:p w14:paraId="6664BA8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1.32 (0.020)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0.21,2.43]</w:t>
            </w:r>
            <w:r w:rsidRPr="00CD028B">
              <w:rPr>
                <w:rFonts w:ascii="Arial" w:eastAsia="Times New Roman" w:hAnsi="Arial" w:cs="Arial"/>
                <w:color w:val="000000"/>
                <w:sz w:val="20"/>
                <w:szCs w:val="20"/>
                <w:vertAlign w:val="superscript"/>
              </w:rPr>
              <w:t>f</w:t>
            </w:r>
          </w:p>
        </w:tc>
        <w:tc>
          <w:tcPr>
            <w:tcW w:w="1312" w:type="dxa"/>
            <w:tcBorders>
              <w:top w:val="nil"/>
              <w:left w:val="nil"/>
              <w:bottom w:val="single" w:sz="4" w:space="0" w:color="auto"/>
              <w:right w:val="single" w:sz="4" w:space="0" w:color="auto"/>
            </w:tcBorders>
            <w:shd w:val="clear" w:color="auto" w:fill="auto"/>
            <w:vAlign w:val="center"/>
            <w:hideMark/>
          </w:tcPr>
          <w:p w14:paraId="415496D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1.18 (0.037)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0.07,2.28]</w:t>
            </w:r>
            <w:r w:rsidRPr="00CD028B">
              <w:rPr>
                <w:rFonts w:ascii="Arial" w:eastAsia="Times New Roman" w:hAnsi="Arial" w:cs="Arial"/>
                <w:color w:val="000000"/>
                <w:sz w:val="20"/>
                <w:szCs w:val="20"/>
                <w:vertAlign w:val="superscript"/>
              </w:rPr>
              <w:t>f</w:t>
            </w:r>
          </w:p>
        </w:tc>
        <w:tc>
          <w:tcPr>
            <w:tcW w:w="1312" w:type="dxa"/>
            <w:tcBorders>
              <w:top w:val="nil"/>
              <w:left w:val="nil"/>
              <w:bottom w:val="single" w:sz="4" w:space="0" w:color="auto"/>
              <w:right w:val="single" w:sz="4" w:space="0" w:color="auto"/>
            </w:tcBorders>
            <w:shd w:val="clear" w:color="auto" w:fill="auto"/>
            <w:vAlign w:val="center"/>
            <w:hideMark/>
          </w:tcPr>
          <w:p w14:paraId="652BD97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0.86 (0.225)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-0.53,2.26]</w:t>
            </w:r>
          </w:p>
        </w:tc>
      </w:tr>
      <w:tr w:rsidR="00B724C5" w:rsidRPr="00CD028B" w14:paraId="7861723D"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1B002A0" w14:textId="77777777" w:rsidR="00B724C5" w:rsidRPr="00CD028B" w:rsidRDefault="00B724C5" w:rsidP="00186656">
            <w:pPr>
              <w:jc w:val="center"/>
              <w:rPr>
                <w:rFonts w:ascii="Arial" w:eastAsia="Times New Roman" w:hAnsi="Arial" w:cs="Arial"/>
                <w:color w:val="000000"/>
                <w:sz w:val="16"/>
                <w:szCs w:val="16"/>
              </w:rPr>
            </w:pPr>
            <w:r w:rsidRPr="00CD028B">
              <w:rPr>
                <w:rFonts w:ascii="Arial" w:eastAsia="Times New Roman" w:hAnsi="Arial" w:cs="Arial"/>
                <w:color w:val="000000"/>
                <w:sz w:val="16"/>
                <w:szCs w:val="16"/>
              </w:rPr>
              <w:t>Absolute Change on NRS Scale</w:t>
            </w:r>
          </w:p>
        </w:tc>
      </w:tr>
      <w:tr w:rsidR="00B724C5" w:rsidRPr="00CD028B" w14:paraId="71C04129" w14:textId="77777777" w:rsidTr="00186656">
        <w:trPr>
          <w:trHeight w:val="791"/>
        </w:trPr>
        <w:tc>
          <w:tcPr>
            <w:tcW w:w="1333" w:type="dxa"/>
            <w:tcBorders>
              <w:top w:val="nil"/>
              <w:left w:val="single" w:sz="4" w:space="0" w:color="auto"/>
              <w:bottom w:val="single" w:sz="4" w:space="0" w:color="auto"/>
              <w:right w:val="single" w:sz="4" w:space="0" w:color="auto"/>
            </w:tcBorders>
            <w:shd w:val="clear" w:color="000000" w:fill="FFFFFF"/>
            <w:vAlign w:val="center"/>
            <w:hideMark/>
          </w:tcPr>
          <w:p w14:paraId="4D687E41"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Pain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340" w:type="dxa"/>
            <w:tcBorders>
              <w:top w:val="nil"/>
              <w:left w:val="nil"/>
              <w:bottom w:val="single" w:sz="4" w:space="0" w:color="auto"/>
              <w:right w:val="single" w:sz="4" w:space="0" w:color="auto"/>
            </w:tcBorders>
            <w:shd w:val="clear" w:color="auto" w:fill="auto"/>
            <w:noWrap/>
            <w:vAlign w:val="center"/>
            <w:hideMark/>
          </w:tcPr>
          <w:p w14:paraId="3CC05343"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-0.96 (2.27)</w:t>
            </w:r>
          </w:p>
        </w:tc>
        <w:tc>
          <w:tcPr>
            <w:tcW w:w="1340" w:type="dxa"/>
            <w:tcBorders>
              <w:top w:val="nil"/>
              <w:left w:val="nil"/>
              <w:bottom w:val="single" w:sz="4" w:space="0" w:color="auto"/>
              <w:right w:val="single" w:sz="4" w:space="0" w:color="auto"/>
            </w:tcBorders>
            <w:shd w:val="clear" w:color="auto" w:fill="auto"/>
            <w:noWrap/>
            <w:vAlign w:val="center"/>
            <w:hideMark/>
          </w:tcPr>
          <w:p w14:paraId="39470E67"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-1.40 (2.61)</w:t>
            </w:r>
          </w:p>
        </w:tc>
        <w:tc>
          <w:tcPr>
            <w:tcW w:w="1540" w:type="dxa"/>
            <w:tcBorders>
              <w:top w:val="nil"/>
              <w:left w:val="nil"/>
              <w:bottom w:val="single" w:sz="4" w:space="0" w:color="auto"/>
              <w:right w:val="single" w:sz="4" w:space="0" w:color="auto"/>
            </w:tcBorders>
            <w:shd w:val="clear" w:color="000000" w:fill="FFFFFF"/>
            <w:vAlign w:val="center"/>
            <w:hideMark/>
          </w:tcPr>
          <w:p w14:paraId="76004FD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-0.39 (0.337)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-1.18,0.41]</w:t>
            </w:r>
          </w:p>
        </w:tc>
        <w:tc>
          <w:tcPr>
            <w:tcW w:w="1420" w:type="dxa"/>
            <w:tcBorders>
              <w:top w:val="nil"/>
              <w:left w:val="nil"/>
              <w:bottom w:val="single" w:sz="4" w:space="0" w:color="auto"/>
              <w:right w:val="single" w:sz="4" w:space="0" w:color="auto"/>
            </w:tcBorders>
            <w:shd w:val="clear" w:color="000000" w:fill="FFFFFF"/>
            <w:vAlign w:val="center"/>
            <w:hideMark/>
          </w:tcPr>
          <w:p w14:paraId="0503134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-0.40 (0.311)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-1.18,0.38]</w:t>
            </w:r>
          </w:p>
        </w:tc>
        <w:tc>
          <w:tcPr>
            <w:tcW w:w="1340" w:type="dxa"/>
            <w:tcBorders>
              <w:top w:val="nil"/>
              <w:left w:val="nil"/>
              <w:bottom w:val="single" w:sz="4" w:space="0" w:color="auto"/>
              <w:right w:val="single" w:sz="4" w:space="0" w:color="auto"/>
            </w:tcBorders>
            <w:shd w:val="clear" w:color="000000" w:fill="FFFFFF"/>
            <w:noWrap/>
            <w:vAlign w:val="center"/>
            <w:hideMark/>
          </w:tcPr>
          <w:p w14:paraId="6207DC37"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-0.86 (1.97)</w:t>
            </w:r>
          </w:p>
        </w:tc>
        <w:tc>
          <w:tcPr>
            <w:tcW w:w="1340" w:type="dxa"/>
            <w:tcBorders>
              <w:top w:val="nil"/>
              <w:left w:val="nil"/>
              <w:bottom w:val="single" w:sz="4" w:space="0" w:color="auto"/>
              <w:right w:val="single" w:sz="4" w:space="0" w:color="auto"/>
            </w:tcBorders>
            <w:shd w:val="clear" w:color="000000" w:fill="FFFFFF"/>
            <w:noWrap/>
            <w:vAlign w:val="center"/>
            <w:hideMark/>
          </w:tcPr>
          <w:p w14:paraId="62981E1E"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-1.50 (2.21)</w:t>
            </w:r>
          </w:p>
        </w:tc>
        <w:tc>
          <w:tcPr>
            <w:tcW w:w="1540" w:type="dxa"/>
            <w:tcBorders>
              <w:top w:val="nil"/>
              <w:left w:val="nil"/>
              <w:bottom w:val="single" w:sz="4" w:space="0" w:color="auto"/>
              <w:right w:val="single" w:sz="4" w:space="0" w:color="auto"/>
            </w:tcBorders>
            <w:shd w:val="clear" w:color="000000" w:fill="FFFFFF"/>
            <w:vAlign w:val="center"/>
            <w:hideMark/>
          </w:tcPr>
          <w:p w14:paraId="00C8539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-0.63 (0.146)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-1.48,0.22]</w:t>
            </w:r>
          </w:p>
        </w:tc>
        <w:tc>
          <w:tcPr>
            <w:tcW w:w="1312" w:type="dxa"/>
            <w:tcBorders>
              <w:top w:val="nil"/>
              <w:left w:val="nil"/>
              <w:bottom w:val="single" w:sz="4" w:space="0" w:color="auto"/>
              <w:right w:val="single" w:sz="4" w:space="0" w:color="auto"/>
            </w:tcBorders>
            <w:shd w:val="clear" w:color="000000" w:fill="FFFFFF"/>
            <w:vAlign w:val="center"/>
            <w:hideMark/>
          </w:tcPr>
          <w:p w14:paraId="203AC66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-0.54 (0.195)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-1.36,0.28]</w:t>
            </w:r>
          </w:p>
        </w:tc>
        <w:tc>
          <w:tcPr>
            <w:tcW w:w="1312" w:type="dxa"/>
            <w:tcBorders>
              <w:top w:val="nil"/>
              <w:left w:val="nil"/>
              <w:bottom w:val="single" w:sz="4" w:space="0" w:color="auto"/>
              <w:right w:val="single" w:sz="4" w:space="0" w:color="auto"/>
            </w:tcBorders>
            <w:shd w:val="clear" w:color="auto" w:fill="auto"/>
            <w:vAlign w:val="center"/>
            <w:hideMark/>
          </w:tcPr>
          <w:p w14:paraId="09D955E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-0.14 (0.807)    </w:t>
            </w:r>
            <w:proofErr w:type="gramStart"/>
            <w:r w:rsidRPr="00CD028B">
              <w:rPr>
                <w:rFonts w:ascii="Arial" w:eastAsia="Times New Roman" w:hAnsi="Arial" w:cs="Arial"/>
                <w:color w:val="000000"/>
                <w:sz w:val="20"/>
                <w:szCs w:val="20"/>
              </w:rPr>
              <w:t xml:space="preserve"> </w:t>
            </w:r>
            <w:r>
              <w:rPr>
                <w:rFonts w:ascii="Arial" w:eastAsia="Times New Roman" w:hAnsi="Arial" w:cs="Arial"/>
                <w:color w:val="000000"/>
                <w:sz w:val="20"/>
                <w:szCs w:val="20"/>
              </w:rPr>
              <w:t xml:space="preserve">  </w:t>
            </w:r>
            <w:r w:rsidRPr="00CD028B">
              <w:rPr>
                <w:rFonts w:ascii="Arial" w:eastAsia="Times New Roman" w:hAnsi="Arial" w:cs="Arial"/>
                <w:color w:val="000000"/>
                <w:sz w:val="20"/>
                <w:szCs w:val="20"/>
              </w:rPr>
              <w:t>[</w:t>
            </w:r>
            <w:proofErr w:type="gramEnd"/>
            <w:r w:rsidRPr="00CD028B">
              <w:rPr>
                <w:rFonts w:ascii="Arial" w:eastAsia="Times New Roman" w:hAnsi="Arial" w:cs="Arial"/>
                <w:color w:val="000000"/>
                <w:sz w:val="20"/>
                <w:szCs w:val="20"/>
              </w:rPr>
              <w:t>-1.27,0.99]</w:t>
            </w:r>
          </w:p>
        </w:tc>
      </w:tr>
      <w:tr w:rsidR="00B724C5" w:rsidRPr="00CD028B" w14:paraId="2E4C1D6C" w14:textId="77777777" w:rsidTr="00186656">
        <w:trPr>
          <w:trHeight w:val="413"/>
        </w:trPr>
        <w:tc>
          <w:tcPr>
            <w:tcW w:w="1333" w:type="dxa"/>
            <w:tcBorders>
              <w:top w:val="nil"/>
              <w:left w:val="single" w:sz="4" w:space="0" w:color="auto"/>
              <w:bottom w:val="single" w:sz="4" w:space="0" w:color="auto"/>
              <w:right w:val="single" w:sz="4" w:space="0" w:color="auto"/>
            </w:tcBorders>
            <w:shd w:val="clear" w:color="000000" w:fill="FFFFFF"/>
            <w:vAlign w:val="center"/>
            <w:hideMark/>
          </w:tcPr>
          <w:p w14:paraId="7790AEBA"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Urgency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340" w:type="dxa"/>
            <w:tcBorders>
              <w:top w:val="nil"/>
              <w:left w:val="nil"/>
              <w:bottom w:val="single" w:sz="4" w:space="0" w:color="auto"/>
              <w:right w:val="single" w:sz="4" w:space="0" w:color="auto"/>
            </w:tcBorders>
            <w:shd w:val="clear" w:color="auto" w:fill="auto"/>
            <w:noWrap/>
            <w:vAlign w:val="center"/>
            <w:hideMark/>
          </w:tcPr>
          <w:p w14:paraId="048BFC4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-0.98 (2.03)</w:t>
            </w:r>
          </w:p>
        </w:tc>
        <w:tc>
          <w:tcPr>
            <w:tcW w:w="1340" w:type="dxa"/>
            <w:tcBorders>
              <w:top w:val="nil"/>
              <w:left w:val="nil"/>
              <w:bottom w:val="single" w:sz="4" w:space="0" w:color="auto"/>
              <w:right w:val="single" w:sz="4" w:space="0" w:color="auto"/>
            </w:tcBorders>
            <w:shd w:val="clear" w:color="auto" w:fill="auto"/>
            <w:noWrap/>
            <w:vAlign w:val="center"/>
            <w:hideMark/>
          </w:tcPr>
          <w:p w14:paraId="095ACAA7"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-1.57 (2.37)</w:t>
            </w:r>
          </w:p>
        </w:tc>
        <w:tc>
          <w:tcPr>
            <w:tcW w:w="1540" w:type="dxa"/>
            <w:tcBorders>
              <w:top w:val="nil"/>
              <w:left w:val="nil"/>
              <w:bottom w:val="single" w:sz="4" w:space="0" w:color="auto"/>
              <w:right w:val="single" w:sz="4" w:space="0" w:color="auto"/>
            </w:tcBorders>
            <w:shd w:val="clear" w:color="000000" w:fill="FFFFFF"/>
            <w:vAlign w:val="center"/>
            <w:hideMark/>
          </w:tcPr>
          <w:p w14:paraId="7B1D1060"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-0.60 (0.111)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-1.34,0.14]</w:t>
            </w:r>
          </w:p>
        </w:tc>
        <w:tc>
          <w:tcPr>
            <w:tcW w:w="1420" w:type="dxa"/>
            <w:tcBorders>
              <w:top w:val="nil"/>
              <w:left w:val="nil"/>
              <w:bottom w:val="single" w:sz="4" w:space="0" w:color="auto"/>
              <w:right w:val="single" w:sz="4" w:space="0" w:color="auto"/>
            </w:tcBorders>
            <w:shd w:val="clear" w:color="000000" w:fill="FFFFFF"/>
            <w:vAlign w:val="center"/>
            <w:hideMark/>
          </w:tcPr>
          <w:p w14:paraId="250A3D6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-0.60 (0.103)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-1.32,0.12]</w:t>
            </w:r>
          </w:p>
        </w:tc>
        <w:tc>
          <w:tcPr>
            <w:tcW w:w="1340" w:type="dxa"/>
            <w:tcBorders>
              <w:top w:val="nil"/>
              <w:left w:val="nil"/>
              <w:bottom w:val="single" w:sz="4" w:space="0" w:color="auto"/>
              <w:right w:val="single" w:sz="4" w:space="0" w:color="auto"/>
            </w:tcBorders>
            <w:shd w:val="clear" w:color="000000" w:fill="FFFFFF"/>
            <w:noWrap/>
            <w:vAlign w:val="center"/>
            <w:hideMark/>
          </w:tcPr>
          <w:p w14:paraId="14E3062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-0.89 (1.96)</w:t>
            </w:r>
          </w:p>
        </w:tc>
        <w:tc>
          <w:tcPr>
            <w:tcW w:w="1340" w:type="dxa"/>
            <w:tcBorders>
              <w:top w:val="nil"/>
              <w:left w:val="nil"/>
              <w:bottom w:val="single" w:sz="4" w:space="0" w:color="auto"/>
              <w:right w:val="single" w:sz="4" w:space="0" w:color="auto"/>
            </w:tcBorders>
            <w:shd w:val="clear" w:color="000000" w:fill="FFFFFF"/>
            <w:noWrap/>
            <w:vAlign w:val="center"/>
            <w:hideMark/>
          </w:tcPr>
          <w:p w14:paraId="6470605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-1.48 (2.29)</w:t>
            </w:r>
          </w:p>
        </w:tc>
        <w:tc>
          <w:tcPr>
            <w:tcW w:w="1540" w:type="dxa"/>
            <w:tcBorders>
              <w:top w:val="nil"/>
              <w:left w:val="nil"/>
              <w:bottom w:val="single" w:sz="4" w:space="0" w:color="auto"/>
              <w:right w:val="single" w:sz="4" w:space="0" w:color="auto"/>
            </w:tcBorders>
            <w:shd w:val="clear" w:color="000000" w:fill="FFFFFF"/>
            <w:vAlign w:val="center"/>
            <w:hideMark/>
          </w:tcPr>
          <w:p w14:paraId="462D80D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-0.64 (0.114</w:t>
            </w:r>
            <w:proofErr w:type="gramStart"/>
            <w:r w:rsidRPr="00CD028B">
              <w:rPr>
                <w:rFonts w:ascii="Arial" w:eastAsia="Times New Roman" w:hAnsi="Arial" w:cs="Arial"/>
                <w:color w:val="000000"/>
                <w:sz w:val="20"/>
                <w:szCs w:val="20"/>
              </w:rPr>
              <w:t>)  [</w:t>
            </w:r>
            <w:proofErr w:type="gramEnd"/>
            <w:r w:rsidRPr="00CD028B">
              <w:rPr>
                <w:rFonts w:ascii="Arial" w:eastAsia="Times New Roman" w:hAnsi="Arial" w:cs="Arial"/>
                <w:color w:val="000000"/>
                <w:sz w:val="20"/>
                <w:szCs w:val="20"/>
              </w:rPr>
              <w:t>-1.43,0.15]</w:t>
            </w:r>
          </w:p>
        </w:tc>
        <w:tc>
          <w:tcPr>
            <w:tcW w:w="1312" w:type="dxa"/>
            <w:tcBorders>
              <w:top w:val="nil"/>
              <w:left w:val="nil"/>
              <w:bottom w:val="single" w:sz="4" w:space="0" w:color="auto"/>
              <w:right w:val="single" w:sz="4" w:space="0" w:color="auto"/>
            </w:tcBorders>
            <w:shd w:val="clear" w:color="000000" w:fill="FFFFFF"/>
            <w:vAlign w:val="center"/>
            <w:hideMark/>
          </w:tcPr>
          <w:p w14:paraId="5AB5772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-0.52 (0.183)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-1.28,0.24]</w:t>
            </w:r>
          </w:p>
        </w:tc>
        <w:tc>
          <w:tcPr>
            <w:tcW w:w="1312" w:type="dxa"/>
            <w:tcBorders>
              <w:top w:val="nil"/>
              <w:left w:val="nil"/>
              <w:bottom w:val="single" w:sz="4" w:space="0" w:color="auto"/>
              <w:right w:val="single" w:sz="4" w:space="0" w:color="auto"/>
            </w:tcBorders>
            <w:shd w:val="clear" w:color="auto" w:fill="auto"/>
            <w:vAlign w:val="center"/>
            <w:hideMark/>
          </w:tcPr>
          <w:p w14:paraId="7EA8D6F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0.08 (0.880)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-0.97,1.13]</w:t>
            </w:r>
          </w:p>
        </w:tc>
      </w:tr>
      <w:tr w:rsidR="00B724C5" w:rsidRPr="00CD028B" w14:paraId="6FA55106"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9118197"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lastRenderedPageBreak/>
              <w:t>Oral Amitriptyline with EBMP</w:t>
            </w:r>
          </w:p>
        </w:tc>
      </w:tr>
      <w:tr w:rsidR="00B724C5" w:rsidRPr="00CD028B" w14:paraId="63CC6320" w14:textId="77777777" w:rsidTr="00186656">
        <w:trPr>
          <w:trHeight w:val="300"/>
        </w:trPr>
        <w:tc>
          <w:tcPr>
            <w:tcW w:w="1333" w:type="dxa"/>
            <w:tcBorders>
              <w:top w:val="nil"/>
              <w:left w:val="single" w:sz="4" w:space="0" w:color="auto"/>
              <w:bottom w:val="single" w:sz="4" w:space="0" w:color="auto"/>
              <w:right w:val="single" w:sz="4" w:space="0" w:color="auto"/>
            </w:tcBorders>
            <w:shd w:val="clear" w:color="auto" w:fill="auto"/>
            <w:vAlign w:val="center"/>
            <w:hideMark/>
          </w:tcPr>
          <w:p w14:paraId="342244D9"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N</w:t>
            </w:r>
          </w:p>
        </w:tc>
        <w:tc>
          <w:tcPr>
            <w:tcW w:w="1340" w:type="dxa"/>
            <w:tcBorders>
              <w:top w:val="nil"/>
              <w:left w:val="nil"/>
              <w:bottom w:val="single" w:sz="4" w:space="0" w:color="auto"/>
              <w:right w:val="single" w:sz="4" w:space="0" w:color="auto"/>
            </w:tcBorders>
            <w:shd w:val="clear" w:color="auto" w:fill="auto"/>
            <w:noWrap/>
            <w:vAlign w:val="center"/>
            <w:hideMark/>
          </w:tcPr>
          <w:p w14:paraId="21B8017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75</w:t>
            </w:r>
          </w:p>
        </w:tc>
        <w:tc>
          <w:tcPr>
            <w:tcW w:w="1340" w:type="dxa"/>
            <w:tcBorders>
              <w:top w:val="nil"/>
              <w:left w:val="nil"/>
              <w:bottom w:val="single" w:sz="4" w:space="0" w:color="auto"/>
              <w:right w:val="single" w:sz="4" w:space="0" w:color="auto"/>
            </w:tcBorders>
            <w:shd w:val="clear" w:color="auto" w:fill="auto"/>
            <w:noWrap/>
            <w:vAlign w:val="center"/>
            <w:hideMark/>
          </w:tcPr>
          <w:p w14:paraId="2B1BFFE7"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74</w:t>
            </w:r>
          </w:p>
        </w:tc>
        <w:tc>
          <w:tcPr>
            <w:tcW w:w="1540" w:type="dxa"/>
            <w:tcBorders>
              <w:top w:val="nil"/>
              <w:left w:val="nil"/>
              <w:bottom w:val="single" w:sz="4" w:space="0" w:color="auto"/>
              <w:right w:val="single" w:sz="4" w:space="0" w:color="auto"/>
            </w:tcBorders>
            <w:shd w:val="clear" w:color="auto" w:fill="auto"/>
            <w:noWrap/>
            <w:vAlign w:val="bottom"/>
            <w:hideMark/>
          </w:tcPr>
          <w:p w14:paraId="6C350F1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149</w:t>
            </w:r>
            <w:r w:rsidRPr="00CD028B">
              <w:rPr>
                <w:rFonts w:ascii="Arial" w:eastAsia="Times New Roman" w:hAnsi="Arial" w:cs="Arial"/>
                <w:color w:val="000000"/>
                <w:sz w:val="20"/>
                <w:szCs w:val="20"/>
                <w:vertAlign w:val="superscript"/>
              </w:rPr>
              <w:t>e</w:t>
            </w:r>
          </w:p>
        </w:tc>
        <w:tc>
          <w:tcPr>
            <w:tcW w:w="1420" w:type="dxa"/>
            <w:tcBorders>
              <w:top w:val="nil"/>
              <w:left w:val="nil"/>
              <w:bottom w:val="single" w:sz="4" w:space="0" w:color="auto"/>
              <w:right w:val="single" w:sz="4" w:space="0" w:color="auto"/>
            </w:tcBorders>
            <w:shd w:val="clear" w:color="auto" w:fill="auto"/>
            <w:noWrap/>
            <w:vAlign w:val="center"/>
            <w:hideMark/>
          </w:tcPr>
          <w:p w14:paraId="4A8FEA53"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171</w:t>
            </w:r>
            <w:r w:rsidRPr="00CD028B">
              <w:rPr>
                <w:rFonts w:ascii="Arial" w:eastAsia="Times New Roman" w:hAnsi="Arial" w:cs="Arial"/>
                <w:color w:val="000000"/>
                <w:sz w:val="20"/>
                <w:szCs w:val="20"/>
                <w:vertAlign w:val="superscript"/>
              </w:rPr>
              <w:t>e</w:t>
            </w:r>
          </w:p>
        </w:tc>
        <w:tc>
          <w:tcPr>
            <w:tcW w:w="1340" w:type="dxa"/>
            <w:tcBorders>
              <w:top w:val="nil"/>
              <w:left w:val="nil"/>
              <w:bottom w:val="single" w:sz="4" w:space="0" w:color="auto"/>
              <w:right w:val="single" w:sz="4" w:space="0" w:color="auto"/>
            </w:tcBorders>
            <w:shd w:val="clear" w:color="auto" w:fill="auto"/>
            <w:noWrap/>
            <w:vAlign w:val="center"/>
            <w:hideMark/>
          </w:tcPr>
          <w:p w14:paraId="0E1D4267"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44</w:t>
            </w:r>
          </w:p>
        </w:tc>
        <w:tc>
          <w:tcPr>
            <w:tcW w:w="1340" w:type="dxa"/>
            <w:tcBorders>
              <w:top w:val="nil"/>
              <w:left w:val="nil"/>
              <w:bottom w:val="single" w:sz="4" w:space="0" w:color="auto"/>
              <w:right w:val="single" w:sz="4" w:space="0" w:color="auto"/>
            </w:tcBorders>
            <w:shd w:val="clear" w:color="auto" w:fill="auto"/>
            <w:noWrap/>
            <w:vAlign w:val="center"/>
            <w:hideMark/>
          </w:tcPr>
          <w:p w14:paraId="1389318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37</w:t>
            </w:r>
          </w:p>
        </w:tc>
        <w:tc>
          <w:tcPr>
            <w:tcW w:w="1540" w:type="dxa"/>
            <w:tcBorders>
              <w:top w:val="nil"/>
              <w:left w:val="nil"/>
              <w:bottom w:val="single" w:sz="4" w:space="0" w:color="auto"/>
              <w:right w:val="single" w:sz="4" w:space="0" w:color="auto"/>
            </w:tcBorders>
            <w:shd w:val="clear" w:color="auto" w:fill="auto"/>
            <w:noWrap/>
            <w:vAlign w:val="bottom"/>
            <w:hideMark/>
          </w:tcPr>
          <w:p w14:paraId="113CCB4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81</w:t>
            </w:r>
            <w:r w:rsidRPr="00CD028B">
              <w:rPr>
                <w:rFonts w:ascii="Arial" w:eastAsia="Times New Roman" w:hAnsi="Arial" w:cs="Arial"/>
                <w:color w:val="000000"/>
                <w:sz w:val="20"/>
                <w:szCs w:val="20"/>
                <w:vertAlign w:val="superscript"/>
              </w:rPr>
              <w:t>e</w:t>
            </w:r>
          </w:p>
        </w:tc>
        <w:tc>
          <w:tcPr>
            <w:tcW w:w="1312" w:type="dxa"/>
            <w:tcBorders>
              <w:top w:val="nil"/>
              <w:left w:val="nil"/>
              <w:bottom w:val="single" w:sz="4" w:space="0" w:color="auto"/>
              <w:right w:val="single" w:sz="4" w:space="0" w:color="auto"/>
            </w:tcBorders>
            <w:shd w:val="clear" w:color="auto" w:fill="auto"/>
            <w:noWrap/>
            <w:vAlign w:val="center"/>
            <w:hideMark/>
          </w:tcPr>
          <w:p w14:paraId="64500D9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99</w:t>
            </w:r>
            <w:r w:rsidRPr="00CD028B">
              <w:rPr>
                <w:rFonts w:ascii="Arial" w:eastAsia="Times New Roman" w:hAnsi="Arial" w:cs="Arial"/>
                <w:color w:val="000000"/>
                <w:sz w:val="20"/>
                <w:szCs w:val="20"/>
                <w:vertAlign w:val="superscript"/>
              </w:rPr>
              <w:t>e</w:t>
            </w:r>
          </w:p>
        </w:tc>
        <w:tc>
          <w:tcPr>
            <w:tcW w:w="1312" w:type="dxa"/>
            <w:tcBorders>
              <w:top w:val="nil"/>
              <w:left w:val="nil"/>
              <w:bottom w:val="single" w:sz="4" w:space="0" w:color="auto"/>
              <w:right w:val="single" w:sz="4" w:space="0" w:color="auto"/>
            </w:tcBorders>
            <w:shd w:val="clear" w:color="auto" w:fill="auto"/>
            <w:noWrap/>
            <w:vAlign w:val="center"/>
            <w:hideMark/>
          </w:tcPr>
          <w:p w14:paraId="6E26DBD5"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w:t>
            </w:r>
          </w:p>
        </w:tc>
      </w:tr>
      <w:tr w:rsidR="00B724C5" w:rsidRPr="00CD028B" w14:paraId="31FA14D4"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303C06E" w14:textId="77777777" w:rsidR="00B724C5" w:rsidRPr="00CD028B" w:rsidRDefault="00B724C5" w:rsidP="00186656">
            <w:pPr>
              <w:jc w:val="center"/>
              <w:rPr>
                <w:rFonts w:ascii="Arial" w:eastAsia="Times New Roman" w:hAnsi="Arial" w:cs="Arial"/>
                <w:color w:val="000000"/>
                <w:sz w:val="16"/>
                <w:szCs w:val="16"/>
              </w:rPr>
            </w:pPr>
            <w:r w:rsidRPr="00CD028B">
              <w:rPr>
                <w:rFonts w:ascii="Arial" w:eastAsia="Times New Roman" w:hAnsi="Arial" w:cs="Arial"/>
                <w:color w:val="000000"/>
                <w:sz w:val="16"/>
                <w:szCs w:val="16"/>
              </w:rPr>
              <w:t>Logistic Regression on Log Odds Scale for Binary Outcome</w:t>
            </w:r>
          </w:p>
        </w:tc>
      </w:tr>
      <w:tr w:rsidR="00B724C5" w:rsidRPr="00CD028B" w14:paraId="462AFFDB" w14:textId="77777777" w:rsidTr="00186656">
        <w:trPr>
          <w:trHeight w:val="647"/>
        </w:trPr>
        <w:tc>
          <w:tcPr>
            <w:tcW w:w="1333" w:type="dxa"/>
            <w:tcBorders>
              <w:top w:val="nil"/>
              <w:left w:val="single" w:sz="4" w:space="0" w:color="auto"/>
              <w:bottom w:val="single" w:sz="4" w:space="0" w:color="auto"/>
              <w:right w:val="single" w:sz="4" w:space="0" w:color="auto"/>
            </w:tcBorders>
            <w:shd w:val="clear" w:color="000000" w:fill="FFFFFF"/>
            <w:vAlign w:val="center"/>
            <w:hideMark/>
          </w:tcPr>
          <w:p w14:paraId="61FDCCD3"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GRA </w:t>
            </w:r>
            <w:proofErr w:type="spellStart"/>
            <w:r w:rsidRPr="00CD028B">
              <w:rPr>
                <w:rFonts w:ascii="Arial" w:eastAsia="Times New Roman" w:hAnsi="Arial" w:cs="Arial"/>
                <w:b/>
                <w:bCs/>
                <w:color w:val="000000"/>
                <w:sz w:val="20"/>
                <w:szCs w:val="20"/>
              </w:rPr>
              <w:t>Responder</w:t>
            </w:r>
            <w:r w:rsidRPr="00CD028B">
              <w:rPr>
                <w:rFonts w:ascii="Arial" w:eastAsia="Times New Roman" w:hAnsi="Arial" w:cs="Arial"/>
                <w:color w:val="000000"/>
                <w:sz w:val="20"/>
                <w:szCs w:val="20"/>
                <w:vertAlign w:val="superscript"/>
              </w:rPr>
              <w:t>a</w:t>
            </w:r>
            <w:proofErr w:type="spellEnd"/>
          </w:p>
        </w:tc>
        <w:tc>
          <w:tcPr>
            <w:tcW w:w="1340" w:type="dxa"/>
            <w:tcBorders>
              <w:top w:val="nil"/>
              <w:left w:val="nil"/>
              <w:bottom w:val="single" w:sz="4" w:space="0" w:color="auto"/>
              <w:right w:val="single" w:sz="4" w:space="0" w:color="auto"/>
            </w:tcBorders>
            <w:shd w:val="clear" w:color="auto" w:fill="auto"/>
            <w:noWrap/>
            <w:vAlign w:val="center"/>
            <w:hideMark/>
          </w:tcPr>
          <w:p w14:paraId="60A7A340"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44 (59%)</w:t>
            </w:r>
          </w:p>
        </w:tc>
        <w:tc>
          <w:tcPr>
            <w:tcW w:w="1340" w:type="dxa"/>
            <w:tcBorders>
              <w:top w:val="nil"/>
              <w:left w:val="nil"/>
              <w:bottom w:val="single" w:sz="4" w:space="0" w:color="auto"/>
              <w:right w:val="single" w:sz="4" w:space="0" w:color="auto"/>
            </w:tcBorders>
            <w:shd w:val="clear" w:color="auto" w:fill="auto"/>
            <w:noWrap/>
            <w:vAlign w:val="center"/>
            <w:hideMark/>
          </w:tcPr>
          <w:p w14:paraId="1A2EBDF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49 (66%)</w:t>
            </w:r>
          </w:p>
        </w:tc>
        <w:tc>
          <w:tcPr>
            <w:tcW w:w="1540" w:type="dxa"/>
            <w:tcBorders>
              <w:top w:val="nil"/>
              <w:left w:val="nil"/>
              <w:bottom w:val="single" w:sz="4" w:space="0" w:color="auto"/>
              <w:right w:val="single" w:sz="4" w:space="0" w:color="auto"/>
            </w:tcBorders>
            <w:shd w:val="clear" w:color="auto" w:fill="auto"/>
            <w:vAlign w:val="center"/>
            <w:hideMark/>
          </w:tcPr>
          <w:p w14:paraId="0E3AA644"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0.35 (0.309)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-0.33,1.03]</w:t>
            </w:r>
            <w:r w:rsidRPr="00CD028B">
              <w:rPr>
                <w:rFonts w:ascii="Arial" w:eastAsia="Times New Roman" w:hAnsi="Arial" w:cs="Arial"/>
                <w:color w:val="000000"/>
                <w:sz w:val="20"/>
                <w:szCs w:val="20"/>
                <w:vertAlign w:val="superscript"/>
              </w:rPr>
              <w:t>f</w:t>
            </w:r>
          </w:p>
        </w:tc>
        <w:tc>
          <w:tcPr>
            <w:tcW w:w="1420" w:type="dxa"/>
            <w:tcBorders>
              <w:top w:val="nil"/>
              <w:left w:val="nil"/>
              <w:bottom w:val="single" w:sz="4" w:space="0" w:color="auto"/>
              <w:right w:val="single" w:sz="4" w:space="0" w:color="auto"/>
            </w:tcBorders>
            <w:shd w:val="clear" w:color="auto" w:fill="auto"/>
            <w:vAlign w:val="center"/>
            <w:hideMark/>
          </w:tcPr>
          <w:p w14:paraId="7B094A0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0.30 (0.379)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-0.36,0.96]</w:t>
            </w:r>
            <w:r w:rsidRPr="00CD028B">
              <w:rPr>
                <w:rFonts w:ascii="Arial" w:eastAsia="Times New Roman" w:hAnsi="Arial" w:cs="Arial"/>
                <w:color w:val="000000"/>
                <w:sz w:val="20"/>
                <w:szCs w:val="20"/>
                <w:vertAlign w:val="superscript"/>
              </w:rPr>
              <w:t>f</w:t>
            </w:r>
          </w:p>
        </w:tc>
        <w:tc>
          <w:tcPr>
            <w:tcW w:w="1340" w:type="dxa"/>
            <w:tcBorders>
              <w:top w:val="nil"/>
              <w:left w:val="nil"/>
              <w:bottom w:val="single" w:sz="4" w:space="0" w:color="auto"/>
              <w:right w:val="single" w:sz="4" w:space="0" w:color="auto"/>
            </w:tcBorders>
            <w:shd w:val="clear" w:color="000000" w:fill="FFFFFF"/>
            <w:noWrap/>
            <w:vAlign w:val="center"/>
            <w:hideMark/>
          </w:tcPr>
          <w:p w14:paraId="2E68F74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17 (39%)</w:t>
            </w:r>
          </w:p>
        </w:tc>
        <w:tc>
          <w:tcPr>
            <w:tcW w:w="1340" w:type="dxa"/>
            <w:tcBorders>
              <w:top w:val="nil"/>
              <w:left w:val="nil"/>
              <w:bottom w:val="single" w:sz="4" w:space="0" w:color="auto"/>
              <w:right w:val="single" w:sz="4" w:space="0" w:color="auto"/>
            </w:tcBorders>
            <w:shd w:val="clear" w:color="000000" w:fill="FFFFFF"/>
            <w:noWrap/>
            <w:vAlign w:val="center"/>
            <w:hideMark/>
          </w:tcPr>
          <w:p w14:paraId="0BE2723A"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25 (68%)</w:t>
            </w:r>
          </w:p>
        </w:tc>
        <w:tc>
          <w:tcPr>
            <w:tcW w:w="1540" w:type="dxa"/>
            <w:tcBorders>
              <w:top w:val="nil"/>
              <w:left w:val="nil"/>
              <w:bottom w:val="single" w:sz="4" w:space="0" w:color="auto"/>
              <w:right w:val="single" w:sz="4" w:space="0" w:color="auto"/>
            </w:tcBorders>
            <w:shd w:val="clear" w:color="auto" w:fill="auto"/>
            <w:vAlign w:val="center"/>
            <w:hideMark/>
          </w:tcPr>
          <w:p w14:paraId="0944C6F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1.13 (0.017)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0.20,2.06]</w:t>
            </w:r>
            <w:r w:rsidRPr="00CD028B">
              <w:rPr>
                <w:rFonts w:ascii="Arial" w:eastAsia="Times New Roman" w:hAnsi="Arial" w:cs="Arial"/>
                <w:color w:val="000000"/>
                <w:sz w:val="20"/>
                <w:szCs w:val="20"/>
                <w:vertAlign w:val="superscript"/>
              </w:rPr>
              <w:t>f</w:t>
            </w:r>
          </w:p>
        </w:tc>
        <w:tc>
          <w:tcPr>
            <w:tcW w:w="1312" w:type="dxa"/>
            <w:tcBorders>
              <w:top w:val="nil"/>
              <w:left w:val="nil"/>
              <w:bottom w:val="single" w:sz="4" w:space="0" w:color="auto"/>
              <w:right w:val="single" w:sz="4" w:space="0" w:color="auto"/>
            </w:tcBorders>
            <w:shd w:val="clear" w:color="auto" w:fill="auto"/>
            <w:vAlign w:val="center"/>
            <w:hideMark/>
          </w:tcPr>
          <w:p w14:paraId="2E924F98"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1.18 (0.009</w:t>
            </w:r>
            <w:proofErr w:type="gramStart"/>
            <w:r w:rsidRPr="00CD028B">
              <w:rPr>
                <w:rFonts w:ascii="Arial" w:eastAsia="Times New Roman" w:hAnsi="Arial" w:cs="Arial"/>
                <w:color w:val="000000"/>
                <w:sz w:val="20"/>
                <w:szCs w:val="20"/>
              </w:rPr>
              <w:t>)  [</w:t>
            </w:r>
            <w:proofErr w:type="gramEnd"/>
            <w:r w:rsidRPr="00CD028B">
              <w:rPr>
                <w:rFonts w:ascii="Arial" w:eastAsia="Times New Roman" w:hAnsi="Arial" w:cs="Arial"/>
                <w:color w:val="000000"/>
                <w:sz w:val="20"/>
                <w:szCs w:val="20"/>
              </w:rPr>
              <w:t>0.29,2.07]</w:t>
            </w:r>
            <w:r w:rsidRPr="00CD028B">
              <w:rPr>
                <w:rFonts w:ascii="Arial" w:eastAsia="Times New Roman" w:hAnsi="Arial" w:cs="Arial"/>
                <w:color w:val="000000"/>
                <w:sz w:val="20"/>
                <w:szCs w:val="20"/>
                <w:vertAlign w:val="superscript"/>
              </w:rPr>
              <w:t>f</w:t>
            </w:r>
          </w:p>
        </w:tc>
        <w:tc>
          <w:tcPr>
            <w:tcW w:w="1312" w:type="dxa"/>
            <w:tcBorders>
              <w:top w:val="nil"/>
              <w:left w:val="nil"/>
              <w:bottom w:val="single" w:sz="4" w:space="0" w:color="auto"/>
              <w:right w:val="single" w:sz="4" w:space="0" w:color="auto"/>
            </w:tcBorders>
            <w:shd w:val="clear" w:color="auto" w:fill="auto"/>
            <w:vAlign w:val="center"/>
            <w:hideMark/>
          </w:tcPr>
          <w:p w14:paraId="3E044DD7"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0.88 (0.118)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-0.22,1.99]</w:t>
            </w:r>
          </w:p>
        </w:tc>
      </w:tr>
      <w:tr w:rsidR="00B724C5" w:rsidRPr="00CD028B" w14:paraId="588D9710"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AA64AB9" w14:textId="77777777" w:rsidR="00B724C5" w:rsidRPr="00CD028B" w:rsidRDefault="00B724C5" w:rsidP="00186656">
            <w:pPr>
              <w:jc w:val="center"/>
              <w:rPr>
                <w:rFonts w:ascii="Arial" w:eastAsia="Times New Roman" w:hAnsi="Arial" w:cs="Arial"/>
                <w:color w:val="000000"/>
                <w:sz w:val="16"/>
                <w:szCs w:val="16"/>
              </w:rPr>
            </w:pPr>
            <w:r w:rsidRPr="00CD028B">
              <w:rPr>
                <w:rFonts w:ascii="Arial" w:eastAsia="Times New Roman" w:hAnsi="Arial" w:cs="Arial"/>
                <w:color w:val="000000"/>
                <w:sz w:val="16"/>
                <w:szCs w:val="16"/>
              </w:rPr>
              <w:t>Absolute Change on NRS Scale</w:t>
            </w:r>
          </w:p>
        </w:tc>
      </w:tr>
      <w:tr w:rsidR="00B724C5" w:rsidRPr="00CD028B" w14:paraId="41D69E0E" w14:textId="77777777" w:rsidTr="00186656">
        <w:trPr>
          <w:trHeight w:val="540"/>
        </w:trPr>
        <w:tc>
          <w:tcPr>
            <w:tcW w:w="1333" w:type="dxa"/>
            <w:tcBorders>
              <w:top w:val="nil"/>
              <w:left w:val="single" w:sz="4" w:space="0" w:color="auto"/>
              <w:bottom w:val="single" w:sz="4" w:space="0" w:color="auto"/>
              <w:right w:val="single" w:sz="4" w:space="0" w:color="auto"/>
            </w:tcBorders>
            <w:shd w:val="clear" w:color="000000" w:fill="FFFFFF"/>
            <w:vAlign w:val="center"/>
            <w:hideMark/>
          </w:tcPr>
          <w:p w14:paraId="4AE92464"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Pain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340" w:type="dxa"/>
            <w:tcBorders>
              <w:top w:val="nil"/>
              <w:left w:val="nil"/>
              <w:bottom w:val="single" w:sz="4" w:space="0" w:color="auto"/>
              <w:right w:val="single" w:sz="4" w:space="0" w:color="auto"/>
            </w:tcBorders>
            <w:shd w:val="clear" w:color="auto" w:fill="auto"/>
            <w:noWrap/>
            <w:vAlign w:val="center"/>
            <w:hideMark/>
          </w:tcPr>
          <w:p w14:paraId="6D25F98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-2.64 (2.37)</w:t>
            </w:r>
          </w:p>
        </w:tc>
        <w:tc>
          <w:tcPr>
            <w:tcW w:w="1340" w:type="dxa"/>
            <w:tcBorders>
              <w:top w:val="nil"/>
              <w:left w:val="nil"/>
              <w:bottom w:val="single" w:sz="4" w:space="0" w:color="auto"/>
              <w:right w:val="single" w:sz="4" w:space="0" w:color="auto"/>
            </w:tcBorders>
            <w:shd w:val="clear" w:color="auto" w:fill="auto"/>
            <w:noWrap/>
            <w:vAlign w:val="center"/>
            <w:hideMark/>
          </w:tcPr>
          <w:p w14:paraId="64E28AC7"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-2.70 (2.43)</w:t>
            </w:r>
          </w:p>
        </w:tc>
        <w:tc>
          <w:tcPr>
            <w:tcW w:w="1540" w:type="dxa"/>
            <w:tcBorders>
              <w:top w:val="nil"/>
              <w:left w:val="nil"/>
              <w:bottom w:val="single" w:sz="4" w:space="0" w:color="auto"/>
              <w:right w:val="single" w:sz="4" w:space="0" w:color="auto"/>
            </w:tcBorders>
            <w:shd w:val="clear" w:color="000000" w:fill="FFFFFF"/>
            <w:vAlign w:val="center"/>
            <w:hideMark/>
          </w:tcPr>
          <w:p w14:paraId="61F2F34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-0.04 (0.910)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-0.76,0.68]</w:t>
            </w:r>
          </w:p>
        </w:tc>
        <w:tc>
          <w:tcPr>
            <w:tcW w:w="1420" w:type="dxa"/>
            <w:tcBorders>
              <w:top w:val="nil"/>
              <w:left w:val="nil"/>
              <w:bottom w:val="single" w:sz="4" w:space="0" w:color="auto"/>
              <w:right w:val="single" w:sz="4" w:space="0" w:color="auto"/>
            </w:tcBorders>
            <w:shd w:val="clear" w:color="000000" w:fill="FFFFFF"/>
            <w:vAlign w:val="center"/>
            <w:hideMark/>
          </w:tcPr>
          <w:p w14:paraId="406C7FE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0.05 (0.892)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-0.66,0.75]</w:t>
            </w:r>
          </w:p>
        </w:tc>
        <w:tc>
          <w:tcPr>
            <w:tcW w:w="1340" w:type="dxa"/>
            <w:tcBorders>
              <w:top w:val="nil"/>
              <w:left w:val="nil"/>
              <w:bottom w:val="single" w:sz="4" w:space="0" w:color="auto"/>
              <w:right w:val="single" w:sz="4" w:space="0" w:color="auto"/>
            </w:tcBorders>
            <w:shd w:val="clear" w:color="000000" w:fill="FFFFFF"/>
            <w:noWrap/>
            <w:vAlign w:val="center"/>
            <w:hideMark/>
          </w:tcPr>
          <w:p w14:paraId="1D72A957"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-1.59 (2.38)</w:t>
            </w:r>
          </w:p>
        </w:tc>
        <w:tc>
          <w:tcPr>
            <w:tcW w:w="1340" w:type="dxa"/>
            <w:tcBorders>
              <w:top w:val="nil"/>
              <w:left w:val="nil"/>
              <w:bottom w:val="single" w:sz="4" w:space="0" w:color="auto"/>
              <w:right w:val="single" w:sz="4" w:space="0" w:color="auto"/>
            </w:tcBorders>
            <w:shd w:val="clear" w:color="000000" w:fill="FFFFFF"/>
            <w:noWrap/>
            <w:vAlign w:val="center"/>
            <w:hideMark/>
          </w:tcPr>
          <w:p w14:paraId="52D736D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-2.45 (2.62)</w:t>
            </w:r>
          </w:p>
        </w:tc>
        <w:tc>
          <w:tcPr>
            <w:tcW w:w="1540" w:type="dxa"/>
            <w:tcBorders>
              <w:top w:val="nil"/>
              <w:left w:val="nil"/>
              <w:bottom w:val="single" w:sz="4" w:space="0" w:color="auto"/>
              <w:right w:val="single" w:sz="4" w:space="0" w:color="auto"/>
            </w:tcBorders>
            <w:shd w:val="clear" w:color="000000" w:fill="FFFFFF"/>
            <w:vAlign w:val="bottom"/>
            <w:hideMark/>
          </w:tcPr>
          <w:p w14:paraId="255F8D7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-1.08 (0.032)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-2.06,-0.09]</w:t>
            </w:r>
          </w:p>
        </w:tc>
        <w:tc>
          <w:tcPr>
            <w:tcW w:w="1312" w:type="dxa"/>
            <w:tcBorders>
              <w:top w:val="nil"/>
              <w:left w:val="nil"/>
              <w:bottom w:val="single" w:sz="4" w:space="0" w:color="auto"/>
              <w:right w:val="single" w:sz="4" w:space="0" w:color="auto"/>
            </w:tcBorders>
            <w:shd w:val="clear" w:color="000000" w:fill="FFFFFF"/>
            <w:vAlign w:val="center"/>
            <w:hideMark/>
          </w:tcPr>
          <w:p w14:paraId="5DC36413"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-1.14 (0.019)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-2.08,-0.19]</w:t>
            </w:r>
          </w:p>
        </w:tc>
        <w:tc>
          <w:tcPr>
            <w:tcW w:w="1312" w:type="dxa"/>
            <w:tcBorders>
              <w:top w:val="nil"/>
              <w:left w:val="nil"/>
              <w:bottom w:val="single" w:sz="4" w:space="0" w:color="auto"/>
              <w:right w:val="single" w:sz="4" w:space="0" w:color="auto"/>
            </w:tcBorders>
            <w:shd w:val="clear" w:color="auto" w:fill="auto"/>
            <w:vAlign w:val="center"/>
            <w:hideMark/>
          </w:tcPr>
          <w:p w14:paraId="2BE3162E"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-1.19 (0.049)    </w:t>
            </w:r>
            <w:proofErr w:type="gramStart"/>
            <w:r w:rsidRPr="00CD028B">
              <w:rPr>
                <w:rFonts w:ascii="Arial" w:eastAsia="Times New Roman" w:hAnsi="Arial" w:cs="Arial"/>
                <w:color w:val="000000"/>
                <w:sz w:val="20"/>
                <w:szCs w:val="20"/>
              </w:rPr>
              <w:t xml:space="preserve">  </w:t>
            </w:r>
            <w:r>
              <w:rPr>
                <w:rFonts w:ascii="Arial" w:eastAsia="Times New Roman" w:hAnsi="Arial" w:cs="Arial"/>
                <w:color w:val="000000"/>
                <w:sz w:val="20"/>
                <w:szCs w:val="20"/>
              </w:rPr>
              <w:t xml:space="preserve"> </w:t>
            </w:r>
            <w:r w:rsidRPr="00CD028B">
              <w:rPr>
                <w:rFonts w:ascii="Arial" w:eastAsia="Times New Roman" w:hAnsi="Arial" w:cs="Arial"/>
                <w:color w:val="000000"/>
                <w:sz w:val="20"/>
                <w:szCs w:val="20"/>
              </w:rPr>
              <w:t>[</w:t>
            </w:r>
            <w:proofErr w:type="gramEnd"/>
            <w:r w:rsidRPr="00CD028B">
              <w:rPr>
                <w:rFonts w:ascii="Arial" w:eastAsia="Times New Roman" w:hAnsi="Arial" w:cs="Arial"/>
                <w:color w:val="000000"/>
                <w:sz w:val="20"/>
                <w:szCs w:val="20"/>
              </w:rPr>
              <w:t>-2.37,0.00]</w:t>
            </w:r>
          </w:p>
        </w:tc>
      </w:tr>
      <w:tr w:rsidR="00B724C5" w:rsidRPr="00CD028B" w14:paraId="2B81B29A" w14:textId="77777777" w:rsidTr="00186656">
        <w:trPr>
          <w:trHeight w:val="611"/>
        </w:trPr>
        <w:tc>
          <w:tcPr>
            <w:tcW w:w="1333" w:type="dxa"/>
            <w:tcBorders>
              <w:top w:val="nil"/>
              <w:left w:val="single" w:sz="4" w:space="0" w:color="auto"/>
              <w:bottom w:val="single" w:sz="4" w:space="0" w:color="auto"/>
              <w:right w:val="single" w:sz="4" w:space="0" w:color="auto"/>
            </w:tcBorders>
            <w:shd w:val="clear" w:color="000000" w:fill="FFFFFF"/>
            <w:vAlign w:val="center"/>
            <w:hideMark/>
          </w:tcPr>
          <w:p w14:paraId="617A5387"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Urgency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340" w:type="dxa"/>
            <w:tcBorders>
              <w:top w:val="nil"/>
              <w:left w:val="nil"/>
              <w:bottom w:val="single" w:sz="4" w:space="0" w:color="auto"/>
              <w:right w:val="single" w:sz="4" w:space="0" w:color="auto"/>
            </w:tcBorders>
            <w:shd w:val="clear" w:color="auto" w:fill="auto"/>
            <w:noWrap/>
            <w:vAlign w:val="center"/>
            <w:hideMark/>
          </w:tcPr>
          <w:p w14:paraId="2CE35715"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-2.81 (2.44)</w:t>
            </w:r>
          </w:p>
        </w:tc>
        <w:tc>
          <w:tcPr>
            <w:tcW w:w="1340" w:type="dxa"/>
            <w:tcBorders>
              <w:top w:val="nil"/>
              <w:left w:val="nil"/>
              <w:bottom w:val="single" w:sz="4" w:space="0" w:color="auto"/>
              <w:right w:val="single" w:sz="4" w:space="0" w:color="auto"/>
            </w:tcBorders>
            <w:shd w:val="clear" w:color="auto" w:fill="auto"/>
            <w:noWrap/>
            <w:vAlign w:val="center"/>
            <w:hideMark/>
          </w:tcPr>
          <w:p w14:paraId="28908FD4"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-3.10 (2.49)</w:t>
            </w:r>
          </w:p>
        </w:tc>
        <w:tc>
          <w:tcPr>
            <w:tcW w:w="1540" w:type="dxa"/>
            <w:tcBorders>
              <w:top w:val="nil"/>
              <w:left w:val="nil"/>
              <w:bottom w:val="single" w:sz="4" w:space="0" w:color="auto"/>
              <w:right w:val="single" w:sz="4" w:space="0" w:color="auto"/>
            </w:tcBorders>
            <w:shd w:val="clear" w:color="000000" w:fill="FFFFFF"/>
            <w:vAlign w:val="center"/>
            <w:hideMark/>
          </w:tcPr>
          <w:p w14:paraId="4CEA91A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-0.21 (0.567)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-0.93,0.51]</w:t>
            </w:r>
          </w:p>
        </w:tc>
        <w:tc>
          <w:tcPr>
            <w:tcW w:w="1420" w:type="dxa"/>
            <w:tcBorders>
              <w:top w:val="nil"/>
              <w:left w:val="nil"/>
              <w:bottom w:val="single" w:sz="4" w:space="0" w:color="auto"/>
              <w:right w:val="single" w:sz="4" w:space="0" w:color="auto"/>
            </w:tcBorders>
            <w:shd w:val="clear" w:color="000000" w:fill="FFFFFF"/>
            <w:vAlign w:val="center"/>
            <w:hideMark/>
          </w:tcPr>
          <w:p w14:paraId="5DE1B09E"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-0.07 (0.835)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-0.77,0.63]</w:t>
            </w:r>
          </w:p>
        </w:tc>
        <w:tc>
          <w:tcPr>
            <w:tcW w:w="1340" w:type="dxa"/>
            <w:tcBorders>
              <w:top w:val="nil"/>
              <w:left w:val="nil"/>
              <w:bottom w:val="single" w:sz="4" w:space="0" w:color="auto"/>
              <w:right w:val="single" w:sz="4" w:space="0" w:color="auto"/>
            </w:tcBorders>
            <w:shd w:val="clear" w:color="000000" w:fill="FFFFFF"/>
            <w:noWrap/>
            <w:vAlign w:val="center"/>
            <w:hideMark/>
          </w:tcPr>
          <w:p w14:paraId="36418327"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-1.99 (2.72)</w:t>
            </w:r>
          </w:p>
        </w:tc>
        <w:tc>
          <w:tcPr>
            <w:tcW w:w="1340" w:type="dxa"/>
            <w:tcBorders>
              <w:top w:val="nil"/>
              <w:left w:val="nil"/>
              <w:bottom w:val="single" w:sz="4" w:space="0" w:color="auto"/>
              <w:right w:val="single" w:sz="4" w:space="0" w:color="auto"/>
            </w:tcBorders>
            <w:shd w:val="clear" w:color="000000" w:fill="FFFFFF"/>
            <w:noWrap/>
            <w:vAlign w:val="center"/>
            <w:hideMark/>
          </w:tcPr>
          <w:p w14:paraId="0A513C4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-2.96 (2.53)</w:t>
            </w:r>
          </w:p>
        </w:tc>
        <w:tc>
          <w:tcPr>
            <w:tcW w:w="1540" w:type="dxa"/>
            <w:tcBorders>
              <w:top w:val="nil"/>
              <w:left w:val="nil"/>
              <w:bottom w:val="single" w:sz="4" w:space="0" w:color="auto"/>
              <w:right w:val="single" w:sz="4" w:space="0" w:color="auto"/>
            </w:tcBorders>
            <w:shd w:val="clear" w:color="000000" w:fill="FFFFFF"/>
            <w:vAlign w:val="center"/>
            <w:hideMark/>
          </w:tcPr>
          <w:p w14:paraId="6981F96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-0.79 (0.110)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-1.76,0.18]</w:t>
            </w:r>
          </w:p>
        </w:tc>
        <w:tc>
          <w:tcPr>
            <w:tcW w:w="1312" w:type="dxa"/>
            <w:tcBorders>
              <w:top w:val="nil"/>
              <w:left w:val="nil"/>
              <w:bottom w:val="single" w:sz="4" w:space="0" w:color="auto"/>
              <w:right w:val="single" w:sz="4" w:space="0" w:color="auto"/>
            </w:tcBorders>
            <w:shd w:val="clear" w:color="000000" w:fill="FFFFFF"/>
            <w:vAlign w:val="center"/>
            <w:hideMark/>
          </w:tcPr>
          <w:p w14:paraId="3A490808"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-0.80 (0.103)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-1.75,0.16]</w:t>
            </w:r>
          </w:p>
        </w:tc>
        <w:tc>
          <w:tcPr>
            <w:tcW w:w="1312" w:type="dxa"/>
            <w:tcBorders>
              <w:top w:val="nil"/>
              <w:left w:val="nil"/>
              <w:bottom w:val="single" w:sz="4" w:space="0" w:color="auto"/>
              <w:right w:val="single" w:sz="4" w:space="0" w:color="auto"/>
            </w:tcBorders>
            <w:shd w:val="clear" w:color="auto" w:fill="auto"/>
            <w:vAlign w:val="center"/>
            <w:hideMark/>
          </w:tcPr>
          <w:p w14:paraId="1EC5F62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-0.72 (0.230)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-1.90,0.46]</w:t>
            </w:r>
          </w:p>
        </w:tc>
      </w:tr>
      <w:tr w:rsidR="00B724C5" w:rsidRPr="00CD028B" w14:paraId="5FA88991" w14:textId="77777777" w:rsidTr="00186656">
        <w:trPr>
          <w:trHeight w:val="629"/>
        </w:trPr>
        <w:tc>
          <w:tcPr>
            <w:tcW w:w="1333" w:type="dxa"/>
            <w:tcBorders>
              <w:top w:val="nil"/>
              <w:left w:val="single" w:sz="4" w:space="0" w:color="auto"/>
              <w:bottom w:val="single" w:sz="4" w:space="0" w:color="auto"/>
              <w:right w:val="single" w:sz="4" w:space="0" w:color="auto"/>
            </w:tcBorders>
            <w:shd w:val="clear" w:color="000000" w:fill="FFFFFF"/>
            <w:vAlign w:val="center"/>
            <w:hideMark/>
          </w:tcPr>
          <w:p w14:paraId="29AD95C3"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Frequency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340" w:type="dxa"/>
            <w:tcBorders>
              <w:top w:val="nil"/>
              <w:left w:val="nil"/>
              <w:bottom w:val="single" w:sz="4" w:space="0" w:color="auto"/>
              <w:right w:val="single" w:sz="4" w:space="0" w:color="auto"/>
            </w:tcBorders>
            <w:shd w:val="clear" w:color="auto" w:fill="auto"/>
            <w:noWrap/>
            <w:vAlign w:val="center"/>
            <w:hideMark/>
          </w:tcPr>
          <w:p w14:paraId="03572F30"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-3.06 (2.35)</w:t>
            </w:r>
          </w:p>
        </w:tc>
        <w:tc>
          <w:tcPr>
            <w:tcW w:w="1340" w:type="dxa"/>
            <w:tcBorders>
              <w:top w:val="nil"/>
              <w:left w:val="nil"/>
              <w:bottom w:val="single" w:sz="4" w:space="0" w:color="auto"/>
              <w:right w:val="single" w:sz="4" w:space="0" w:color="auto"/>
            </w:tcBorders>
            <w:shd w:val="clear" w:color="auto" w:fill="auto"/>
            <w:noWrap/>
            <w:vAlign w:val="center"/>
            <w:hideMark/>
          </w:tcPr>
          <w:p w14:paraId="42B9F3A4"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-3.52 (2.21)</w:t>
            </w:r>
          </w:p>
        </w:tc>
        <w:tc>
          <w:tcPr>
            <w:tcW w:w="1540" w:type="dxa"/>
            <w:tcBorders>
              <w:top w:val="nil"/>
              <w:left w:val="nil"/>
              <w:bottom w:val="single" w:sz="4" w:space="0" w:color="auto"/>
              <w:right w:val="single" w:sz="4" w:space="0" w:color="auto"/>
            </w:tcBorders>
            <w:shd w:val="clear" w:color="000000" w:fill="FFFFFF"/>
            <w:vAlign w:val="center"/>
            <w:hideMark/>
          </w:tcPr>
          <w:p w14:paraId="72C4C50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-0.39 (0.298)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-1.12,0.34]</w:t>
            </w:r>
          </w:p>
        </w:tc>
        <w:tc>
          <w:tcPr>
            <w:tcW w:w="1420" w:type="dxa"/>
            <w:tcBorders>
              <w:top w:val="nil"/>
              <w:left w:val="nil"/>
              <w:bottom w:val="single" w:sz="4" w:space="0" w:color="auto"/>
              <w:right w:val="single" w:sz="4" w:space="0" w:color="auto"/>
            </w:tcBorders>
            <w:shd w:val="clear" w:color="000000" w:fill="FFFFFF"/>
            <w:vAlign w:val="center"/>
            <w:hideMark/>
          </w:tcPr>
          <w:p w14:paraId="01C861D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-0.24 (0.514)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-0.96,0.48]</w:t>
            </w:r>
          </w:p>
        </w:tc>
        <w:tc>
          <w:tcPr>
            <w:tcW w:w="1340" w:type="dxa"/>
            <w:tcBorders>
              <w:top w:val="nil"/>
              <w:left w:val="nil"/>
              <w:bottom w:val="single" w:sz="4" w:space="0" w:color="auto"/>
              <w:right w:val="single" w:sz="4" w:space="0" w:color="auto"/>
            </w:tcBorders>
            <w:shd w:val="clear" w:color="000000" w:fill="FFFFFF"/>
            <w:noWrap/>
            <w:vAlign w:val="center"/>
            <w:hideMark/>
          </w:tcPr>
          <w:p w14:paraId="7F5E079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-1.85 (2.61)</w:t>
            </w:r>
          </w:p>
        </w:tc>
        <w:tc>
          <w:tcPr>
            <w:tcW w:w="1340" w:type="dxa"/>
            <w:tcBorders>
              <w:top w:val="nil"/>
              <w:left w:val="nil"/>
              <w:bottom w:val="single" w:sz="4" w:space="0" w:color="auto"/>
              <w:right w:val="single" w:sz="4" w:space="0" w:color="auto"/>
            </w:tcBorders>
            <w:shd w:val="clear" w:color="000000" w:fill="FFFFFF"/>
            <w:noWrap/>
            <w:vAlign w:val="center"/>
            <w:hideMark/>
          </w:tcPr>
          <w:p w14:paraId="5556E6B5"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-3.50 (2.44)</w:t>
            </w:r>
          </w:p>
        </w:tc>
        <w:tc>
          <w:tcPr>
            <w:tcW w:w="1540" w:type="dxa"/>
            <w:tcBorders>
              <w:top w:val="nil"/>
              <w:left w:val="nil"/>
              <w:bottom w:val="single" w:sz="4" w:space="0" w:color="auto"/>
              <w:right w:val="single" w:sz="4" w:space="0" w:color="auto"/>
            </w:tcBorders>
            <w:shd w:val="clear" w:color="000000" w:fill="FFFFFF"/>
            <w:vAlign w:val="center"/>
            <w:hideMark/>
          </w:tcPr>
          <w:p w14:paraId="01DD820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-1.48 (0.004)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-2.47,-0.49]</w:t>
            </w:r>
          </w:p>
        </w:tc>
        <w:tc>
          <w:tcPr>
            <w:tcW w:w="1312" w:type="dxa"/>
            <w:tcBorders>
              <w:top w:val="nil"/>
              <w:left w:val="nil"/>
              <w:bottom w:val="single" w:sz="4" w:space="0" w:color="auto"/>
              <w:right w:val="single" w:sz="4" w:space="0" w:color="auto"/>
            </w:tcBorders>
            <w:shd w:val="clear" w:color="000000" w:fill="FFFFFF"/>
            <w:vAlign w:val="center"/>
            <w:hideMark/>
          </w:tcPr>
          <w:p w14:paraId="29D2ED7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-1.53 (0.002) </w:t>
            </w:r>
            <w:proofErr w:type="gramStart"/>
            <w:r w:rsidRPr="00CD028B">
              <w:rPr>
                <w:rFonts w:ascii="Arial" w:eastAsia="Times New Roman" w:hAnsi="Arial" w:cs="Arial"/>
                <w:color w:val="000000"/>
                <w:sz w:val="20"/>
                <w:szCs w:val="20"/>
              </w:rPr>
              <w:t xml:space="preserve">   [</w:t>
            </w:r>
            <w:proofErr w:type="gramEnd"/>
            <w:r w:rsidRPr="00CD028B">
              <w:rPr>
                <w:rFonts w:ascii="Arial" w:eastAsia="Times New Roman" w:hAnsi="Arial" w:cs="Arial"/>
                <w:color w:val="000000"/>
                <w:sz w:val="20"/>
                <w:szCs w:val="20"/>
              </w:rPr>
              <w:t>-2.50,-0.56]</w:t>
            </w:r>
          </w:p>
        </w:tc>
        <w:tc>
          <w:tcPr>
            <w:tcW w:w="1312" w:type="dxa"/>
            <w:tcBorders>
              <w:top w:val="nil"/>
              <w:left w:val="nil"/>
              <w:bottom w:val="single" w:sz="4" w:space="0" w:color="auto"/>
              <w:right w:val="single" w:sz="4" w:space="0" w:color="auto"/>
            </w:tcBorders>
            <w:shd w:val="clear" w:color="auto" w:fill="auto"/>
            <w:vAlign w:val="center"/>
            <w:hideMark/>
          </w:tcPr>
          <w:p w14:paraId="1BEC9F50"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 xml:space="preserve">-1.29 (0.036)    </w:t>
            </w:r>
            <w:proofErr w:type="gramStart"/>
            <w:r w:rsidRPr="00CD028B">
              <w:rPr>
                <w:rFonts w:ascii="Arial" w:eastAsia="Times New Roman" w:hAnsi="Arial" w:cs="Arial"/>
                <w:color w:val="000000"/>
                <w:sz w:val="20"/>
                <w:szCs w:val="20"/>
              </w:rPr>
              <w:t xml:space="preserve"> </w:t>
            </w:r>
            <w:r>
              <w:rPr>
                <w:rFonts w:ascii="Arial" w:eastAsia="Times New Roman" w:hAnsi="Arial" w:cs="Arial"/>
                <w:color w:val="000000"/>
                <w:sz w:val="20"/>
                <w:szCs w:val="20"/>
              </w:rPr>
              <w:t xml:space="preserve">  </w:t>
            </w:r>
            <w:r w:rsidRPr="00CD028B">
              <w:rPr>
                <w:rFonts w:ascii="Arial" w:eastAsia="Times New Roman" w:hAnsi="Arial" w:cs="Arial"/>
                <w:color w:val="000000"/>
                <w:sz w:val="20"/>
                <w:szCs w:val="20"/>
              </w:rPr>
              <w:t>[</w:t>
            </w:r>
            <w:proofErr w:type="gramEnd"/>
            <w:r w:rsidRPr="00CD028B">
              <w:rPr>
                <w:rFonts w:ascii="Arial" w:eastAsia="Times New Roman" w:hAnsi="Arial" w:cs="Arial"/>
                <w:color w:val="000000"/>
                <w:sz w:val="20"/>
                <w:szCs w:val="20"/>
              </w:rPr>
              <w:t>-2.49,-0.08]</w:t>
            </w:r>
          </w:p>
        </w:tc>
      </w:tr>
      <w:tr w:rsidR="00B724C5" w:rsidRPr="00CD028B" w14:paraId="5937C214"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FB260C8" w14:textId="77777777" w:rsidR="00B724C5" w:rsidRPr="00CD028B" w:rsidRDefault="00B724C5" w:rsidP="00186656">
            <w:pPr>
              <w:rPr>
                <w:rFonts w:ascii="Arial" w:eastAsia="Times New Roman" w:hAnsi="Arial" w:cs="Arial"/>
                <w:color w:val="000000"/>
                <w:sz w:val="16"/>
                <w:szCs w:val="16"/>
              </w:rPr>
            </w:pPr>
            <w:r w:rsidRPr="00CD028B">
              <w:rPr>
                <w:rFonts w:ascii="Arial" w:eastAsia="Times New Roman" w:hAnsi="Arial" w:cs="Arial"/>
                <w:color w:val="000000"/>
                <w:sz w:val="16"/>
                <w:szCs w:val="16"/>
                <w:vertAlign w:val="superscript"/>
              </w:rPr>
              <w:t xml:space="preserve">a </w:t>
            </w:r>
            <w:r w:rsidRPr="00CD028B">
              <w:rPr>
                <w:rFonts w:ascii="Arial" w:eastAsia="Times New Roman" w:hAnsi="Arial" w:cs="Arial"/>
                <w:color w:val="000000"/>
                <w:sz w:val="16"/>
                <w:szCs w:val="16"/>
              </w:rPr>
              <w:t>No. (%)</w:t>
            </w:r>
          </w:p>
        </w:tc>
      </w:tr>
      <w:tr w:rsidR="00B724C5" w:rsidRPr="00CD028B" w14:paraId="424E7ED9"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B1D68E9" w14:textId="77777777" w:rsidR="00B724C5" w:rsidRPr="00CD028B" w:rsidRDefault="00B724C5" w:rsidP="00186656">
            <w:pPr>
              <w:rPr>
                <w:rFonts w:ascii="Arial" w:eastAsia="Times New Roman" w:hAnsi="Arial" w:cs="Arial"/>
                <w:color w:val="000000"/>
                <w:sz w:val="16"/>
                <w:szCs w:val="16"/>
              </w:rPr>
            </w:pPr>
            <w:r w:rsidRPr="00CD028B">
              <w:rPr>
                <w:rFonts w:ascii="Arial" w:eastAsia="Times New Roman" w:hAnsi="Arial" w:cs="Arial"/>
                <w:color w:val="000000"/>
                <w:sz w:val="16"/>
                <w:szCs w:val="16"/>
                <w:vertAlign w:val="superscript"/>
              </w:rPr>
              <w:t xml:space="preserve">b </w:t>
            </w:r>
            <w:r w:rsidRPr="00CD028B">
              <w:rPr>
                <w:rFonts w:ascii="Arial" w:eastAsia="Times New Roman" w:hAnsi="Arial" w:cs="Arial"/>
                <w:color w:val="000000"/>
                <w:sz w:val="16"/>
                <w:szCs w:val="16"/>
              </w:rPr>
              <w:t>Change is calculated as the outcome at the end of study subtracted from averaged baseline</w:t>
            </w:r>
          </w:p>
        </w:tc>
      </w:tr>
      <w:tr w:rsidR="00B724C5" w:rsidRPr="00CD028B" w14:paraId="39AD1E22"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auto"/>
            </w:tcBorders>
            <w:shd w:val="clear" w:color="000000" w:fill="FFFFFF"/>
            <w:vAlign w:val="center"/>
            <w:hideMark/>
          </w:tcPr>
          <w:p w14:paraId="58651A41" w14:textId="77777777" w:rsidR="00B724C5" w:rsidRPr="00CD028B" w:rsidRDefault="00B724C5" w:rsidP="00186656">
            <w:pPr>
              <w:rPr>
                <w:rFonts w:ascii="Arial" w:eastAsia="Times New Roman" w:hAnsi="Arial" w:cs="Arial"/>
                <w:color w:val="000000"/>
                <w:sz w:val="16"/>
                <w:szCs w:val="16"/>
              </w:rPr>
            </w:pPr>
            <w:r w:rsidRPr="00CD028B">
              <w:rPr>
                <w:rFonts w:ascii="Arial" w:eastAsia="Times New Roman" w:hAnsi="Arial" w:cs="Arial"/>
                <w:color w:val="000000"/>
                <w:sz w:val="16"/>
                <w:szCs w:val="16"/>
                <w:vertAlign w:val="superscript"/>
              </w:rPr>
              <w:t>c</w:t>
            </w:r>
            <w:r w:rsidRPr="00CD028B">
              <w:rPr>
                <w:rFonts w:ascii="Arial" w:eastAsia="Times New Roman" w:hAnsi="Arial" w:cs="Arial"/>
                <w:color w:val="000000"/>
                <w:sz w:val="16"/>
                <w:szCs w:val="16"/>
              </w:rPr>
              <w:t xml:space="preserve"> Estimated treatment effect (Change in outcome on treatment compared to control within </w:t>
            </w:r>
            <w:proofErr w:type="spellStart"/>
            <w:r w:rsidRPr="00CD028B">
              <w:rPr>
                <w:rFonts w:ascii="Arial" w:eastAsia="Times New Roman" w:hAnsi="Arial" w:cs="Arial"/>
                <w:color w:val="000000"/>
                <w:sz w:val="16"/>
                <w:szCs w:val="16"/>
              </w:rPr>
              <w:t>widespreadness</w:t>
            </w:r>
            <w:proofErr w:type="spellEnd"/>
            <w:r w:rsidRPr="00CD028B">
              <w:rPr>
                <w:rFonts w:ascii="Arial" w:eastAsia="Times New Roman" w:hAnsi="Arial" w:cs="Arial"/>
                <w:color w:val="000000"/>
                <w:sz w:val="16"/>
                <w:szCs w:val="16"/>
              </w:rPr>
              <w:t xml:space="preserve"> subgroup) from model results: Effect (p-value) [95% CI]</w:t>
            </w:r>
          </w:p>
        </w:tc>
      </w:tr>
      <w:tr w:rsidR="00B724C5" w:rsidRPr="00CD028B" w14:paraId="1421C6C7" w14:textId="77777777" w:rsidTr="00186656">
        <w:trPr>
          <w:trHeight w:val="405"/>
        </w:trPr>
        <w:tc>
          <w:tcPr>
            <w:tcW w:w="13817" w:type="dxa"/>
            <w:gridSpan w:val="10"/>
            <w:tcBorders>
              <w:top w:val="single" w:sz="4" w:space="0" w:color="auto"/>
              <w:left w:val="single" w:sz="4" w:space="0" w:color="auto"/>
              <w:bottom w:val="single" w:sz="4" w:space="0" w:color="auto"/>
              <w:right w:val="single" w:sz="4" w:space="0" w:color="auto"/>
            </w:tcBorders>
            <w:shd w:val="clear" w:color="000000" w:fill="FFFFFF"/>
            <w:vAlign w:val="center"/>
            <w:hideMark/>
          </w:tcPr>
          <w:p w14:paraId="4169D51E" w14:textId="77777777" w:rsidR="00B724C5" w:rsidRPr="00CD028B" w:rsidRDefault="00B724C5" w:rsidP="00186656">
            <w:pPr>
              <w:rPr>
                <w:rFonts w:ascii="Arial" w:eastAsia="Times New Roman" w:hAnsi="Arial" w:cs="Arial"/>
                <w:color w:val="000000"/>
                <w:sz w:val="16"/>
                <w:szCs w:val="16"/>
              </w:rPr>
            </w:pPr>
            <w:r w:rsidRPr="00CD028B">
              <w:rPr>
                <w:rFonts w:ascii="Arial" w:eastAsia="Times New Roman" w:hAnsi="Arial" w:cs="Arial"/>
                <w:color w:val="000000"/>
                <w:sz w:val="16"/>
                <w:szCs w:val="16"/>
                <w:vertAlign w:val="superscript"/>
              </w:rPr>
              <w:t>d</w:t>
            </w:r>
            <w:r w:rsidRPr="00CD028B">
              <w:rPr>
                <w:rFonts w:ascii="Arial" w:eastAsia="Times New Roman" w:hAnsi="Arial" w:cs="Arial"/>
                <w:color w:val="000000"/>
                <w:sz w:val="16"/>
                <w:szCs w:val="16"/>
              </w:rPr>
              <w:t xml:space="preserve"> Test for interaction between treatment effect and </w:t>
            </w:r>
            <w:proofErr w:type="spellStart"/>
            <w:r w:rsidRPr="00CD028B">
              <w:rPr>
                <w:rFonts w:ascii="Arial" w:eastAsia="Times New Roman" w:hAnsi="Arial" w:cs="Arial"/>
                <w:color w:val="000000"/>
                <w:sz w:val="16"/>
                <w:szCs w:val="16"/>
              </w:rPr>
              <w:t>widespreadness</w:t>
            </w:r>
            <w:proofErr w:type="spellEnd"/>
            <w:r w:rsidRPr="00CD028B">
              <w:rPr>
                <w:rFonts w:ascii="Arial" w:eastAsia="Times New Roman" w:hAnsi="Arial" w:cs="Arial"/>
                <w:color w:val="000000"/>
                <w:sz w:val="16"/>
                <w:szCs w:val="16"/>
              </w:rPr>
              <w:t xml:space="preserve"> category. Based </w:t>
            </w:r>
            <w:proofErr w:type="gramStart"/>
            <w:r w:rsidRPr="00CD028B">
              <w:rPr>
                <w:rFonts w:ascii="Arial" w:eastAsia="Times New Roman" w:hAnsi="Arial" w:cs="Arial"/>
                <w:color w:val="000000"/>
                <w:sz w:val="16"/>
                <w:szCs w:val="16"/>
              </w:rPr>
              <w:t>off of</w:t>
            </w:r>
            <w:proofErr w:type="gramEnd"/>
            <w:r w:rsidRPr="00CD028B">
              <w:rPr>
                <w:rFonts w:ascii="Arial" w:eastAsia="Times New Roman" w:hAnsi="Arial" w:cs="Arial"/>
                <w:color w:val="000000"/>
                <w:sz w:val="16"/>
                <w:szCs w:val="16"/>
              </w:rPr>
              <w:t xml:space="preserve"> multiple imputation model results. Difference=treatment high </w:t>
            </w:r>
            <w:proofErr w:type="spellStart"/>
            <w:r w:rsidRPr="00CD028B">
              <w:rPr>
                <w:rFonts w:ascii="Arial" w:eastAsia="Times New Roman" w:hAnsi="Arial" w:cs="Arial"/>
                <w:color w:val="000000"/>
                <w:sz w:val="16"/>
                <w:szCs w:val="16"/>
              </w:rPr>
              <w:t>widespreadness</w:t>
            </w:r>
            <w:proofErr w:type="spellEnd"/>
            <w:r w:rsidRPr="00CD028B">
              <w:rPr>
                <w:rFonts w:ascii="Arial" w:eastAsia="Times New Roman" w:hAnsi="Arial" w:cs="Arial"/>
                <w:color w:val="000000"/>
                <w:sz w:val="16"/>
                <w:szCs w:val="16"/>
              </w:rPr>
              <w:t xml:space="preserve">-treatment low </w:t>
            </w:r>
            <w:proofErr w:type="spellStart"/>
            <w:r w:rsidRPr="00CD028B">
              <w:rPr>
                <w:rFonts w:ascii="Arial" w:eastAsia="Times New Roman" w:hAnsi="Arial" w:cs="Arial"/>
                <w:color w:val="000000"/>
                <w:sz w:val="16"/>
                <w:szCs w:val="16"/>
              </w:rPr>
              <w:t>widespreadness</w:t>
            </w:r>
            <w:proofErr w:type="spellEnd"/>
            <w:r w:rsidRPr="00CD028B">
              <w:rPr>
                <w:rFonts w:ascii="Arial" w:eastAsia="Times New Roman" w:hAnsi="Arial" w:cs="Arial"/>
                <w:color w:val="000000"/>
                <w:sz w:val="16"/>
                <w:szCs w:val="16"/>
              </w:rPr>
              <w:t xml:space="preserve"> (p-value) [95% CI]</w:t>
            </w:r>
          </w:p>
        </w:tc>
      </w:tr>
      <w:tr w:rsidR="00B724C5" w:rsidRPr="00CD028B" w14:paraId="434EE43E"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ED382D4" w14:textId="77777777" w:rsidR="00B724C5" w:rsidRPr="00CD028B" w:rsidRDefault="00B724C5" w:rsidP="00186656">
            <w:pPr>
              <w:rPr>
                <w:rFonts w:ascii="Arial" w:eastAsia="Times New Roman" w:hAnsi="Arial" w:cs="Arial"/>
                <w:color w:val="000000"/>
                <w:sz w:val="16"/>
                <w:szCs w:val="16"/>
              </w:rPr>
            </w:pPr>
            <w:r w:rsidRPr="00CD028B">
              <w:rPr>
                <w:rFonts w:ascii="Arial" w:eastAsia="Times New Roman" w:hAnsi="Arial" w:cs="Arial"/>
                <w:color w:val="000000"/>
                <w:sz w:val="16"/>
                <w:szCs w:val="16"/>
                <w:vertAlign w:val="superscript"/>
              </w:rPr>
              <w:t>e</w:t>
            </w:r>
            <w:r w:rsidRPr="00CD028B">
              <w:rPr>
                <w:rFonts w:ascii="Arial" w:eastAsia="Times New Roman" w:hAnsi="Arial" w:cs="Arial"/>
                <w:color w:val="000000"/>
                <w:sz w:val="16"/>
                <w:szCs w:val="16"/>
              </w:rPr>
              <w:t xml:space="preserve"> Sample size of treatment and control within </w:t>
            </w:r>
            <w:proofErr w:type="spellStart"/>
            <w:r w:rsidRPr="00CD028B">
              <w:rPr>
                <w:rFonts w:ascii="Arial" w:eastAsia="Times New Roman" w:hAnsi="Arial" w:cs="Arial"/>
                <w:color w:val="000000"/>
                <w:sz w:val="16"/>
                <w:szCs w:val="16"/>
              </w:rPr>
              <w:t>widespreadness</w:t>
            </w:r>
            <w:proofErr w:type="spellEnd"/>
            <w:r w:rsidRPr="00CD028B">
              <w:rPr>
                <w:rFonts w:ascii="Arial" w:eastAsia="Times New Roman" w:hAnsi="Arial" w:cs="Arial"/>
                <w:color w:val="000000"/>
                <w:sz w:val="16"/>
                <w:szCs w:val="16"/>
              </w:rPr>
              <w:t xml:space="preserve"> subgroup</w:t>
            </w:r>
          </w:p>
        </w:tc>
      </w:tr>
      <w:tr w:rsidR="00B724C5" w:rsidRPr="00CD028B" w14:paraId="710D3F12" w14:textId="77777777" w:rsidTr="00186656">
        <w:trPr>
          <w:trHeight w:val="300"/>
        </w:trPr>
        <w:tc>
          <w:tcPr>
            <w:tcW w:w="13817"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9707A6" w14:textId="77777777" w:rsidR="00B724C5" w:rsidRPr="00CD028B" w:rsidRDefault="00B724C5" w:rsidP="00186656">
            <w:pPr>
              <w:rPr>
                <w:rFonts w:ascii="Arial" w:eastAsia="Times New Roman" w:hAnsi="Arial" w:cs="Arial"/>
                <w:color w:val="000000"/>
                <w:sz w:val="16"/>
                <w:szCs w:val="16"/>
              </w:rPr>
            </w:pPr>
            <w:r w:rsidRPr="00CD028B">
              <w:rPr>
                <w:rFonts w:ascii="Arial" w:eastAsia="Times New Roman" w:hAnsi="Arial" w:cs="Arial"/>
                <w:color w:val="000000"/>
                <w:sz w:val="16"/>
                <w:szCs w:val="16"/>
                <w:vertAlign w:val="superscript"/>
              </w:rPr>
              <w:t xml:space="preserve">f </w:t>
            </w:r>
            <w:r w:rsidRPr="00CD028B">
              <w:rPr>
                <w:rFonts w:ascii="Arial" w:eastAsia="Times New Roman" w:hAnsi="Arial" w:cs="Arial"/>
                <w:color w:val="000000"/>
                <w:sz w:val="16"/>
                <w:szCs w:val="16"/>
              </w:rPr>
              <w:t xml:space="preserve">Treatment effect log odds ratio from model results: Log odds ratio (p-value) [95% CI] </w:t>
            </w:r>
          </w:p>
        </w:tc>
      </w:tr>
    </w:tbl>
    <w:p w14:paraId="24399897" w14:textId="77777777" w:rsidR="00B724C5" w:rsidRDefault="00B724C5" w:rsidP="00B724C5">
      <w:pPr>
        <w:ind w:right="-720"/>
        <w:outlineLvl w:val="0"/>
        <w:rPr>
          <w:rFonts w:eastAsiaTheme="majorEastAsia" w:cstheme="minorHAnsi"/>
        </w:rPr>
      </w:pPr>
    </w:p>
    <w:p w14:paraId="509FA6DB" w14:textId="77777777" w:rsidR="00B724C5" w:rsidRDefault="00B724C5" w:rsidP="00B724C5">
      <w:pPr>
        <w:ind w:right="-720"/>
        <w:outlineLvl w:val="0"/>
        <w:rPr>
          <w:rFonts w:eastAsiaTheme="majorEastAsia" w:cstheme="minorHAnsi"/>
          <w:b/>
        </w:rPr>
        <w:sectPr w:rsidR="00B724C5" w:rsidSect="0008133E">
          <w:pgSz w:w="15840" w:h="12240" w:orient="landscape"/>
          <w:pgMar w:top="1440" w:right="1440" w:bottom="1440" w:left="1440" w:header="720" w:footer="720" w:gutter="0"/>
          <w:cols w:space="720"/>
          <w:docGrid w:linePitch="360"/>
        </w:sectPr>
      </w:pPr>
    </w:p>
    <w:p w14:paraId="17D0FCC6" w14:textId="77777777" w:rsidR="00B724C5" w:rsidRPr="002C3785" w:rsidRDefault="00B724C5" w:rsidP="00B724C5">
      <w:pPr>
        <w:pStyle w:val="Heading3"/>
      </w:pPr>
      <w:bookmarkStart w:id="41" w:name="_Toc123674527"/>
      <w:r>
        <w:lastRenderedPageBreak/>
        <w:t>Supplementary T</w:t>
      </w:r>
      <w:r w:rsidRPr="002C3785">
        <w:t xml:space="preserve">able 3. Estimated change in NRS measure at end of study from average baseline for the average RCT </w:t>
      </w:r>
      <w:proofErr w:type="gramStart"/>
      <w:r w:rsidRPr="002C3785">
        <w:t>participant</w:t>
      </w:r>
      <w:bookmarkEnd w:id="41"/>
      <w:proofErr w:type="gramEnd"/>
    </w:p>
    <w:p w14:paraId="477DE9E8" w14:textId="77777777" w:rsidR="00B724C5" w:rsidRDefault="00B724C5" w:rsidP="00B724C5">
      <w:pPr>
        <w:ind w:right="-720"/>
        <w:outlineLvl w:val="0"/>
        <w:rPr>
          <w:rFonts w:eastAsiaTheme="majorEastAsia" w:cstheme="minorHAnsi"/>
        </w:rPr>
      </w:pPr>
    </w:p>
    <w:tbl>
      <w:tblPr>
        <w:tblW w:w="13929" w:type="dxa"/>
        <w:tblInd w:w="-545" w:type="dxa"/>
        <w:tblLook w:val="04A0" w:firstRow="1" w:lastRow="0" w:firstColumn="1" w:lastColumn="0" w:noHBand="0" w:noVBand="1"/>
      </w:tblPr>
      <w:tblGrid>
        <w:gridCol w:w="1620"/>
        <w:gridCol w:w="1137"/>
        <w:gridCol w:w="1839"/>
        <w:gridCol w:w="1862"/>
        <w:gridCol w:w="1890"/>
        <w:gridCol w:w="1838"/>
        <w:gridCol w:w="1852"/>
        <w:gridCol w:w="1891"/>
      </w:tblGrid>
      <w:tr w:rsidR="00B724C5" w:rsidRPr="00CD028B" w14:paraId="7B95E3B7" w14:textId="77777777" w:rsidTr="00186656">
        <w:trPr>
          <w:trHeight w:val="300"/>
        </w:trPr>
        <w:tc>
          <w:tcPr>
            <w:tcW w:w="13929"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83490A"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Estimated Change in Outcome from Baseline for Average RCT Participant</w:t>
            </w:r>
          </w:p>
        </w:tc>
      </w:tr>
      <w:tr w:rsidR="00B724C5" w:rsidRPr="00CD028B" w14:paraId="2AC19CE0" w14:textId="77777777" w:rsidTr="00186656">
        <w:trPr>
          <w:trHeight w:val="300"/>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404DD094"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w:t>
            </w:r>
          </w:p>
        </w:tc>
        <w:tc>
          <w:tcPr>
            <w:tcW w:w="1137" w:type="dxa"/>
            <w:tcBorders>
              <w:top w:val="nil"/>
              <w:left w:val="nil"/>
              <w:bottom w:val="single" w:sz="4" w:space="0" w:color="auto"/>
              <w:right w:val="single" w:sz="4" w:space="0" w:color="auto"/>
            </w:tcBorders>
            <w:shd w:val="clear" w:color="auto" w:fill="auto"/>
            <w:noWrap/>
            <w:vAlign w:val="bottom"/>
            <w:hideMark/>
          </w:tcPr>
          <w:p w14:paraId="0447833A"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w:t>
            </w:r>
          </w:p>
        </w:tc>
        <w:tc>
          <w:tcPr>
            <w:tcW w:w="3701" w:type="dxa"/>
            <w:gridSpan w:val="2"/>
            <w:tcBorders>
              <w:top w:val="single" w:sz="4" w:space="0" w:color="auto"/>
              <w:left w:val="nil"/>
              <w:bottom w:val="single" w:sz="4" w:space="0" w:color="auto"/>
              <w:right w:val="single" w:sz="4" w:space="0" w:color="auto"/>
            </w:tcBorders>
            <w:shd w:val="clear" w:color="auto" w:fill="auto"/>
            <w:noWrap/>
            <w:vAlign w:val="bottom"/>
            <w:hideMark/>
          </w:tcPr>
          <w:p w14:paraId="46820A28"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Low Pain </w:t>
            </w:r>
            <w:proofErr w:type="spellStart"/>
            <w:r w:rsidRPr="00CD028B">
              <w:rPr>
                <w:rFonts w:ascii="Arial" w:eastAsia="Times New Roman" w:hAnsi="Arial" w:cs="Arial"/>
                <w:b/>
                <w:bCs/>
                <w:color w:val="000000"/>
                <w:sz w:val="20"/>
                <w:szCs w:val="20"/>
              </w:rPr>
              <w:t>Widespreadness</w:t>
            </w:r>
            <w:proofErr w:type="spellEnd"/>
          </w:p>
        </w:tc>
        <w:tc>
          <w:tcPr>
            <w:tcW w:w="3728" w:type="dxa"/>
            <w:gridSpan w:val="2"/>
            <w:tcBorders>
              <w:top w:val="single" w:sz="4" w:space="0" w:color="auto"/>
              <w:left w:val="nil"/>
              <w:bottom w:val="single" w:sz="4" w:space="0" w:color="auto"/>
              <w:right w:val="single" w:sz="4" w:space="0" w:color="auto"/>
            </w:tcBorders>
            <w:shd w:val="clear" w:color="auto" w:fill="auto"/>
            <w:noWrap/>
            <w:vAlign w:val="bottom"/>
            <w:hideMark/>
          </w:tcPr>
          <w:p w14:paraId="05CC8251"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High Pain </w:t>
            </w:r>
            <w:proofErr w:type="spellStart"/>
            <w:r w:rsidRPr="00CD028B">
              <w:rPr>
                <w:rFonts w:ascii="Arial" w:eastAsia="Times New Roman" w:hAnsi="Arial" w:cs="Arial"/>
                <w:b/>
                <w:bCs/>
                <w:color w:val="000000"/>
                <w:sz w:val="20"/>
                <w:szCs w:val="20"/>
              </w:rPr>
              <w:t>Widespreadness</w:t>
            </w:r>
            <w:proofErr w:type="spellEnd"/>
          </w:p>
        </w:tc>
        <w:tc>
          <w:tcPr>
            <w:tcW w:w="3742" w:type="dxa"/>
            <w:gridSpan w:val="2"/>
            <w:tcBorders>
              <w:top w:val="single" w:sz="4" w:space="0" w:color="auto"/>
              <w:left w:val="nil"/>
              <w:bottom w:val="single" w:sz="4" w:space="0" w:color="auto"/>
              <w:right w:val="single" w:sz="4" w:space="0" w:color="auto"/>
            </w:tcBorders>
            <w:shd w:val="clear" w:color="auto" w:fill="auto"/>
            <w:noWrap/>
            <w:vAlign w:val="bottom"/>
            <w:hideMark/>
          </w:tcPr>
          <w:p w14:paraId="11B0127A"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Combined</w:t>
            </w:r>
          </w:p>
        </w:tc>
      </w:tr>
      <w:tr w:rsidR="00B724C5" w:rsidRPr="00CD028B" w14:paraId="1F43CBCA" w14:textId="77777777" w:rsidTr="00186656">
        <w:trPr>
          <w:trHeight w:val="300"/>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60AC0CF2"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w:t>
            </w:r>
          </w:p>
        </w:tc>
        <w:tc>
          <w:tcPr>
            <w:tcW w:w="1137" w:type="dxa"/>
            <w:tcBorders>
              <w:top w:val="nil"/>
              <w:left w:val="nil"/>
              <w:bottom w:val="single" w:sz="4" w:space="0" w:color="auto"/>
              <w:right w:val="single" w:sz="4" w:space="0" w:color="auto"/>
            </w:tcBorders>
            <w:shd w:val="clear" w:color="auto" w:fill="auto"/>
            <w:noWrap/>
            <w:vAlign w:val="bottom"/>
            <w:hideMark/>
          </w:tcPr>
          <w:p w14:paraId="43799C5F"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w:t>
            </w:r>
          </w:p>
        </w:tc>
        <w:tc>
          <w:tcPr>
            <w:tcW w:w="1839" w:type="dxa"/>
            <w:tcBorders>
              <w:top w:val="nil"/>
              <w:left w:val="nil"/>
              <w:bottom w:val="single" w:sz="4" w:space="0" w:color="auto"/>
              <w:right w:val="single" w:sz="4" w:space="0" w:color="auto"/>
            </w:tcBorders>
            <w:shd w:val="clear" w:color="auto" w:fill="auto"/>
            <w:noWrap/>
            <w:vAlign w:val="bottom"/>
            <w:hideMark/>
          </w:tcPr>
          <w:p w14:paraId="2B70B70A"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Placebo</w:t>
            </w:r>
          </w:p>
        </w:tc>
        <w:tc>
          <w:tcPr>
            <w:tcW w:w="1862" w:type="dxa"/>
            <w:tcBorders>
              <w:top w:val="nil"/>
              <w:left w:val="nil"/>
              <w:bottom w:val="single" w:sz="4" w:space="0" w:color="auto"/>
              <w:right w:val="single" w:sz="4" w:space="0" w:color="auto"/>
            </w:tcBorders>
            <w:shd w:val="clear" w:color="auto" w:fill="auto"/>
            <w:noWrap/>
            <w:vAlign w:val="bottom"/>
            <w:hideMark/>
          </w:tcPr>
          <w:p w14:paraId="1E2ABBE6"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Treatment</w:t>
            </w:r>
          </w:p>
        </w:tc>
        <w:tc>
          <w:tcPr>
            <w:tcW w:w="1890" w:type="dxa"/>
            <w:tcBorders>
              <w:top w:val="nil"/>
              <w:left w:val="nil"/>
              <w:bottom w:val="single" w:sz="4" w:space="0" w:color="auto"/>
              <w:right w:val="single" w:sz="4" w:space="0" w:color="auto"/>
            </w:tcBorders>
            <w:shd w:val="clear" w:color="auto" w:fill="auto"/>
            <w:noWrap/>
            <w:vAlign w:val="bottom"/>
            <w:hideMark/>
          </w:tcPr>
          <w:p w14:paraId="6877220C"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Placebo</w:t>
            </w:r>
          </w:p>
        </w:tc>
        <w:tc>
          <w:tcPr>
            <w:tcW w:w="1838" w:type="dxa"/>
            <w:tcBorders>
              <w:top w:val="nil"/>
              <w:left w:val="nil"/>
              <w:bottom w:val="single" w:sz="4" w:space="0" w:color="auto"/>
              <w:right w:val="single" w:sz="4" w:space="0" w:color="auto"/>
            </w:tcBorders>
            <w:shd w:val="clear" w:color="auto" w:fill="auto"/>
            <w:noWrap/>
            <w:vAlign w:val="bottom"/>
            <w:hideMark/>
          </w:tcPr>
          <w:p w14:paraId="3D6208BE"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Treatment</w:t>
            </w:r>
          </w:p>
        </w:tc>
        <w:tc>
          <w:tcPr>
            <w:tcW w:w="1852" w:type="dxa"/>
            <w:tcBorders>
              <w:top w:val="nil"/>
              <w:left w:val="nil"/>
              <w:bottom w:val="single" w:sz="4" w:space="0" w:color="auto"/>
              <w:right w:val="single" w:sz="4" w:space="0" w:color="auto"/>
            </w:tcBorders>
            <w:shd w:val="clear" w:color="auto" w:fill="auto"/>
            <w:noWrap/>
            <w:vAlign w:val="bottom"/>
            <w:hideMark/>
          </w:tcPr>
          <w:p w14:paraId="74F62774"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Placebo</w:t>
            </w:r>
          </w:p>
        </w:tc>
        <w:tc>
          <w:tcPr>
            <w:tcW w:w="1890" w:type="dxa"/>
            <w:tcBorders>
              <w:top w:val="nil"/>
              <w:left w:val="nil"/>
              <w:bottom w:val="single" w:sz="4" w:space="0" w:color="auto"/>
              <w:right w:val="single" w:sz="4" w:space="0" w:color="auto"/>
            </w:tcBorders>
            <w:shd w:val="clear" w:color="auto" w:fill="auto"/>
            <w:noWrap/>
            <w:vAlign w:val="bottom"/>
            <w:hideMark/>
          </w:tcPr>
          <w:p w14:paraId="22548374"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Treatment</w:t>
            </w:r>
          </w:p>
        </w:tc>
      </w:tr>
      <w:tr w:rsidR="00B724C5" w:rsidRPr="00CD028B" w14:paraId="5925C731" w14:textId="77777777" w:rsidTr="00186656">
        <w:trPr>
          <w:trHeight w:val="780"/>
        </w:trPr>
        <w:tc>
          <w:tcPr>
            <w:tcW w:w="1620" w:type="dxa"/>
            <w:tcBorders>
              <w:top w:val="nil"/>
              <w:left w:val="single" w:sz="4" w:space="0" w:color="auto"/>
              <w:bottom w:val="single" w:sz="4" w:space="0" w:color="auto"/>
              <w:right w:val="single" w:sz="4" w:space="0" w:color="auto"/>
            </w:tcBorders>
            <w:shd w:val="clear" w:color="auto" w:fill="auto"/>
            <w:noWrap/>
            <w:vAlign w:val="bottom"/>
            <w:hideMark/>
          </w:tcPr>
          <w:p w14:paraId="06EDC546"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w:t>
            </w:r>
          </w:p>
        </w:tc>
        <w:tc>
          <w:tcPr>
            <w:tcW w:w="1137" w:type="dxa"/>
            <w:tcBorders>
              <w:top w:val="nil"/>
              <w:left w:val="nil"/>
              <w:bottom w:val="single" w:sz="4" w:space="0" w:color="auto"/>
              <w:right w:val="single" w:sz="4" w:space="0" w:color="auto"/>
            </w:tcBorders>
            <w:shd w:val="clear" w:color="auto" w:fill="auto"/>
            <w:vAlign w:val="bottom"/>
            <w:hideMark/>
          </w:tcPr>
          <w:p w14:paraId="6AB5CD71"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Average Baseline Outcome</w:t>
            </w:r>
          </w:p>
        </w:tc>
        <w:tc>
          <w:tcPr>
            <w:tcW w:w="11171" w:type="dxa"/>
            <w:gridSpan w:val="6"/>
            <w:tcBorders>
              <w:top w:val="single" w:sz="4" w:space="0" w:color="auto"/>
              <w:left w:val="nil"/>
              <w:bottom w:val="single" w:sz="4" w:space="0" w:color="auto"/>
              <w:right w:val="single" w:sz="4" w:space="0" w:color="auto"/>
            </w:tcBorders>
            <w:shd w:val="clear" w:color="auto" w:fill="auto"/>
            <w:noWrap/>
            <w:vAlign w:val="center"/>
            <w:hideMark/>
          </w:tcPr>
          <w:p w14:paraId="5B975F09"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Estimate</w:t>
            </w:r>
            <w:r>
              <w:rPr>
                <w:rFonts w:ascii="Arial" w:eastAsia="Times New Roman" w:hAnsi="Arial" w:cs="Arial"/>
                <w:b/>
                <w:bCs/>
                <w:color w:val="000000"/>
                <w:sz w:val="20"/>
                <w:szCs w:val="20"/>
              </w:rPr>
              <w:t>d Change</w:t>
            </w:r>
            <w:r w:rsidRPr="00CD028B">
              <w:rPr>
                <w:rFonts w:ascii="Arial" w:eastAsia="Times New Roman" w:hAnsi="Arial" w:cs="Arial"/>
                <w:b/>
                <w:bCs/>
                <w:color w:val="000000"/>
                <w:sz w:val="20"/>
                <w:szCs w:val="20"/>
              </w:rPr>
              <w:t xml:space="preserve"> and 95% CI</w:t>
            </w:r>
          </w:p>
        </w:tc>
      </w:tr>
      <w:tr w:rsidR="00B724C5" w:rsidRPr="00CD028B" w14:paraId="4D7D83EE" w14:textId="77777777" w:rsidTr="00186656">
        <w:trPr>
          <w:trHeight w:val="300"/>
        </w:trPr>
        <w:tc>
          <w:tcPr>
            <w:tcW w:w="13929" w:type="dxa"/>
            <w:gridSpan w:val="8"/>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57845C"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Oral PPS and Hydroxyzine</w:t>
            </w:r>
          </w:p>
        </w:tc>
      </w:tr>
      <w:tr w:rsidR="00B724C5" w:rsidRPr="00CD028B" w14:paraId="674B42EA" w14:textId="77777777" w:rsidTr="00186656">
        <w:trPr>
          <w:trHeight w:val="555"/>
        </w:trPr>
        <w:tc>
          <w:tcPr>
            <w:tcW w:w="1620" w:type="dxa"/>
            <w:tcBorders>
              <w:top w:val="nil"/>
              <w:left w:val="single" w:sz="4" w:space="0" w:color="auto"/>
              <w:bottom w:val="single" w:sz="4" w:space="0" w:color="auto"/>
              <w:right w:val="single" w:sz="4" w:space="0" w:color="auto"/>
            </w:tcBorders>
            <w:shd w:val="clear" w:color="auto" w:fill="auto"/>
            <w:vAlign w:val="bottom"/>
            <w:hideMark/>
          </w:tcPr>
          <w:p w14:paraId="633B1860"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Pain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a</w:t>
            </w:r>
            <w:proofErr w:type="spellEnd"/>
          </w:p>
        </w:tc>
        <w:tc>
          <w:tcPr>
            <w:tcW w:w="1137" w:type="dxa"/>
            <w:tcBorders>
              <w:top w:val="nil"/>
              <w:left w:val="nil"/>
              <w:bottom w:val="single" w:sz="4" w:space="0" w:color="auto"/>
              <w:right w:val="single" w:sz="4" w:space="0" w:color="auto"/>
            </w:tcBorders>
            <w:shd w:val="clear" w:color="auto" w:fill="auto"/>
            <w:noWrap/>
            <w:vAlign w:val="bottom"/>
            <w:hideMark/>
          </w:tcPr>
          <w:p w14:paraId="6D230FB0"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6.05</w:t>
            </w:r>
          </w:p>
        </w:tc>
        <w:tc>
          <w:tcPr>
            <w:tcW w:w="1839" w:type="dxa"/>
            <w:tcBorders>
              <w:top w:val="nil"/>
              <w:left w:val="nil"/>
              <w:bottom w:val="single" w:sz="4" w:space="0" w:color="auto"/>
              <w:right w:val="single" w:sz="4" w:space="0" w:color="auto"/>
            </w:tcBorders>
            <w:shd w:val="clear" w:color="auto" w:fill="auto"/>
            <w:vAlign w:val="center"/>
            <w:hideMark/>
          </w:tcPr>
          <w:p w14:paraId="751DB398"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-0.59 [-1.</w:t>
            </w:r>
            <w:proofErr w:type="gramStart"/>
            <w:r w:rsidRPr="00CD028B">
              <w:rPr>
                <w:rFonts w:ascii="Arial" w:eastAsia="Times New Roman" w:hAnsi="Arial" w:cs="Arial"/>
                <w:color w:val="000000"/>
                <w:sz w:val="20"/>
                <w:szCs w:val="20"/>
              </w:rPr>
              <w:t>11,-</w:t>
            </w:r>
            <w:proofErr w:type="gramEnd"/>
            <w:r w:rsidRPr="00CD028B">
              <w:rPr>
                <w:rFonts w:ascii="Arial" w:eastAsia="Times New Roman" w:hAnsi="Arial" w:cs="Arial"/>
                <w:color w:val="000000"/>
                <w:sz w:val="20"/>
                <w:szCs w:val="20"/>
              </w:rPr>
              <w:t>0.08]</w:t>
            </w:r>
          </w:p>
        </w:tc>
        <w:tc>
          <w:tcPr>
            <w:tcW w:w="1862" w:type="dxa"/>
            <w:tcBorders>
              <w:top w:val="nil"/>
              <w:left w:val="nil"/>
              <w:bottom w:val="single" w:sz="4" w:space="0" w:color="auto"/>
              <w:right w:val="single" w:sz="4" w:space="0" w:color="auto"/>
            </w:tcBorders>
            <w:shd w:val="clear" w:color="auto" w:fill="auto"/>
            <w:noWrap/>
            <w:vAlign w:val="center"/>
            <w:hideMark/>
          </w:tcPr>
          <w:p w14:paraId="0F7FB45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-2.04 [-3.</w:t>
            </w:r>
            <w:proofErr w:type="gramStart"/>
            <w:r w:rsidRPr="00CD028B">
              <w:rPr>
                <w:rFonts w:ascii="Arial" w:eastAsia="Times New Roman" w:hAnsi="Arial" w:cs="Arial"/>
                <w:color w:val="000000"/>
                <w:sz w:val="20"/>
                <w:szCs w:val="20"/>
              </w:rPr>
              <w:t>11,-</w:t>
            </w:r>
            <w:proofErr w:type="gramEnd"/>
            <w:r w:rsidRPr="00CD028B">
              <w:rPr>
                <w:rFonts w:ascii="Arial" w:eastAsia="Times New Roman" w:hAnsi="Arial" w:cs="Arial"/>
                <w:color w:val="000000"/>
                <w:sz w:val="20"/>
                <w:szCs w:val="20"/>
              </w:rPr>
              <w:t>0.97]</w:t>
            </w:r>
          </w:p>
        </w:tc>
        <w:tc>
          <w:tcPr>
            <w:tcW w:w="1890" w:type="dxa"/>
            <w:tcBorders>
              <w:top w:val="nil"/>
              <w:left w:val="nil"/>
              <w:bottom w:val="single" w:sz="4" w:space="0" w:color="auto"/>
              <w:right w:val="single" w:sz="4" w:space="0" w:color="auto"/>
            </w:tcBorders>
            <w:shd w:val="clear" w:color="auto" w:fill="auto"/>
            <w:noWrap/>
            <w:vAlign w:val="center"/>
            <w:hideMark/>
          </w:tcPr>
          <w:p w14:paraId="313683F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-0.79 [-1.</w:t>
            </w:r>
            <w:proofErr w:type="gramStart"/>
            <w:r w:rsidRPr="00CD028B">
              <w:rPr>
                <w:rFonts w:ascii="Arial" w:eastAsia="Times New Roman" w:hAnsi="Arial" w:cs="Arial"/>
                <w:color w:val="000000"/>
                <w:sz w:val="20"/>
                <w:szCs w:val="20"/>
              </w:rPr>
              <w:t>46,-</w:t>
            </w:r>
            <w:proofErr w:type="gramEnd"/>
            <w:r w:rsidRPr="00CD028B">
              <w:rPr>
                <w:rFonts w:ascii="Arial" w:eastAsia="Times New Roman" w:hAnsi="Arial" w:cs="Arial"/>
                <w:color w:val="000000"/>
                <w:sz w:val="20"/>
                <w:szCs w:val="20"/>
              </w:rPr>
              <w:t>0.11]</w:t>
            </w:r>
          </w:p>
        </w:tc>
        <w:tc>
          <w:tcPr>
            <w:tcW w:w="1838" w:type="dxa"/>
            <w:tcBorders>
              <w:top w:val="nil"/>
              <w:left w:val="nil"/>
              <w:bottom w:val="single" w:sz="4" w:space="0" w:color="auto"/>
              <w:right w:val="single" w:sz="4" w:space="0" w:color="auto"/>
            </w:tcBorders>
            <w:shd w:val="clear" w:color="auto" w:fill="auto"/>
            <w:noWrap/>
            <w:vAlign w:val="center"/>
            <w:hideMark/>
          </w:tcPr>
          <w:p w14:paraId="13724998"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-0.95 [-1.96,0.06]</w:t>
            </w:r>
          </w:p>
        </w:tc>
        <w:tc>
          <w:tcPr>
            <w:tcW w:w="1852" w:type="dxa"/>
            <w:tcBorders>
              <w:top w:val="nil"/>
              <w:left w:val="nil"/>
              <w:bottom w:val="single" w:sz="4" w:space="0" w:color="auto"/>
              <w:right w:val="single" w:sz="4" w:space="0" w:color="auto"/>
            </w:tcBorders>
            <w:shd w:val="clear" w:color="auto" w:fill="auto"/>
            <w:noWrap/>
            <w:vAlign w:val="center"/>
            <w:hideMark/>
          </w:tcPr>
          <w:p w14:paraId="227E070A"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-0.65 [-1.</w:t>
            </w:r>
            <w:proofErr w:type="gramStart"/>
            <w:r w:rsidRPr="00CD028B">
              <w:rPr>
                <w:rFonts w:ascii="Arial" w:eastAsia="Times New Roman" w:hAnsi="Arial" w:cs="Arial"/>
                <w:color w:val="000000"/>
                <w:sz w:val="20"/>
                <w:szCs w:val="20"/>
              </w:rPr>
              <w:t>05,-</w:t>
            </w:r>
            <w:proofErr w:type="gramEnd"/>
            <w:r w:rsidRPr="00CD028B">
              <w:rPr>
                <w:rFonts w:ascii="Arial" w:eastAsia="Times New Roman" w:hAnsi="Arial" w:cs="Arial"/>
                <w:color w:val="000000"/>
                <w:sz w:val="20"/>
                <w:szCs w:val="20"/>
              </w:rPr>
              <w:t>0.25]</w:t>
            </w:r>
          </w:p>
        </w:tc>
        <w:tc>
          <w:tcPr>
            <w:tcW w:w="1890" w:type="dxa"/>
            <w:tcBorders>
              <w:top w:val="nil"/>
              <w:left w:val="nil"/>
              <w:bottom w:val="single" w:sz="4" w:space="0" w:color="auto"/>
              <w:right w:val="single" w:sz="4" w:space="0" w:color="auto"/>
            </w:tcBorders>
            <w:shd w:val="clear" w:color="auto" w:fill="auto"/>
            <w:noWrap/>
            <w:vAlign w:val="center"/>
            <w:hideMark/>
          </w:tcPr>
          <w:p w14:paraId="57E0D4A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-1.48 [-2.</w:t>
            </w:r>
            <w:proofErr w:type="gramStart"/>
            <w:r w:rsidRPr="00CD028B">
              <w:rPr>
                <w:rFonts w:ascii="Arial" w:eastAsia="Times New Roman" w:hAnsi="Arial" w:cs="Arial"/>
                <w:color w:val="000000"/>
                <w:sz w:val="20"/>
                <w:szCs w:val="20"/>
              </w:rPr>
              <w:t>20,-</w:t>
            </w:r>
            <w:proofErr w:type="gramEnd"/>
            <w:r w:rsidRPr="00CD028B">
              <w:rPr>
                <w:rFonts w:ascii="Arial" w:eastAsia="Times New Roman" w:hAnsi="Arial" w:cs="Arial"/>
                <w:color w:val="000000"/>
                <w:sz w:val="20"/>
                <w:szCs w:val="20"/>
              </w:rPr>
              <w:t>0.75]</w:t>
            </w:r>
          </w:p>
        </w:tc>
      </w:tr>
      <w:tr w:rsidR="00B724C5" w:rsidRPr="00CD028B" w14:paraId="38457F3F" w14:textId="77777777" w:rsidTr="00186656">
        <w:trPr>
          <w:trHeight w:val="555"/>
        </w:trPr>
        <w:tc>
          <w:tcPr>
            <w:tcW w:w="1620" w:type="dxa"/>
            <w:tcBorders>
              <w:top w:val="nil"/>
              <w:left w:val="single" w:sz="4" w:space="0" w:color="auto"/>
              <w:bottom w:val="single" w:sz="4" w:space="0" w:color="auto"/>
              <w:right w:val="single" w:sz="4" w:space="0" w:color="auto"/>
            </w:tcBorders>
            <w:shd w:val="clear" w:color="auto" w:fill="auto"/>
            <w:vAlign w:val="bottom"/>
            <w:hideMark/>
          </w:tcPr>
          <w:p w14:paraId="4D52FDF3"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Urgency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a</w:t>
            </w:r>
            <w:proofErr w:type="spellEnd"/>
          </w:p>
        </w:tc>
        <w:tc>
          <w:tcPr>
            <w:tcW w:w="1137" w:type="dxa"/>
            <w:tcBorders>
              <w:top w:val="nil"/>
              <w:left w:val="nil"/>
              <w:bottom w:val="single" w:sz="4" w:space="0" w:color="auto"/>
              <w:right w:val="single" w:sz="4" w:space="0" w:color="auto"/>
            </w:tcBorders>
            <w:shd w:val="clear" w:color="auto" w:fill="auto"/>
            <w:noWrap/>
            <w:vAlign w:val="bottom"/>
            <w:hideMark/>
          </w:tcPr>
          <w:p w14:paraId="03E51F2F"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6.55</w:t>
            </w:r>
          </w:p>
        </w:tc>
        <w:tc>
          <w:tcPr>
            <w:tcW w:w="1839" w:type="dxa"/>
            <w:tcBorders>
              <w:top w:val="nil"/>
              <w:left w:val="nil"/>
              <w:bottom w:val="single" w:sz="4" w:space="0" w:color="auto"/>
              <w:right w:val="single" w:sz="4" w:space="0" w:color="auto"/>
            </w:tcBorders>
            <w:shd w:val="clear" w:color="auto" w:fill="auto"/>
            <w:noWrap/>
            <w:vAlign w:val="center"/>
            <w:hideMark/>
          </w:tcPr>
          <w:p w14:paraId="07EA01A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-0.96 [-1.</w:t>
            </w:r>
            <w:proofErr w:type="gramStart"/>
            <w:r w:rsidRPr="00CD028B">
              <w:rPr>
                <w:rFonts w:ascii="Arial" w:eastAsia="Times New Roman" w:hAnsi="Arial" w:cs="Arial"/>
                <w:color w:val="000000"/>
                <w:sz w:val="20"/>
                <w:szCs w:val="20"/>
              </w:rPr>
              <w:t>40,-</w:t>
            </w:r>
            <w:proofErr w:type="gramEnd"/>
            <w:r w:rsidRPr="00CD028B">
              <w:rPr>
                <w:rFonts w:ascii="Arial" w:eastAsia="Times New Roman" w:hAnsi="Arial" w:cs="Arial"/>
                <w:color w:val="000000"/>
                <w:sz w:val="20"/>
                <w:szCs w:val="20"/>
              </w:rPr>
              <w:t>0.52]</w:t>
            </w:r>
          </w:p>
        </w:tc>
        <w:tc>
          <w:tcPr>
            <w:tcW w:w="1862" w:type="dxa"/>
            <w:tcBorders>
              <w:top w:val="nil"/>
              <w:left w:val="nil"/>
              <w:bottom w:val="single" w:sz="4" w:space="0" w:color="auto"/>
              <w:right w:val="single" w:sz="4" w:space="0" w:color="auto"/>
            </w:tcBorders>
            <w:shd w:val="clear" w:color="auto" w:fill="auto"/>
            <w:noWrap/>
            <w:vAlign w:val="center"/>
            <w:hideMark/>
          </w:tcPr>
          <w:p w14:paraId="374D2FC4"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-2.04 [-2.</w:t>
            </w:r>
            <w:proofErr w:type="gramStart"/>
            <w:r w:rsidRPr="00CD028B">
              <w:rPr>
                <w:rFonts w:ascii="Arial" w:eastAsia="Times New Roman" w:hAnsi="Arial" w:cs="Arial"/>
                <w:color w:val="000000"/>
                <w:sz w:val="20"/>
                <w:szCs w:val="20"/>
              </w:rPr>
              <w:t>92,-</w:t>
            </w:r>
            <w:proofErr w:type="gramEnd"/>
            <w:r w:rsidRPr="00CD028B">
              <w:rPr>
                <w:rFonts w:ascii="Arial" w:eastAsia="Times New Roman" w:hAnsi="Arial" w:cs="Arial"/>
                <w:color w:val="000000"/>
                <w:sz w:val="20"/>
                <w:szCs w:val="20"/>
              </w:rPr>
              <w:t>1.17]</w:t>
            </w:r>
          </w:p>
        </w:tc>
        <w:tc>
          <w:tcPr>
            <w:tcW w:w="1890" w:type="dxa"/>
            <w:tcBorders>
              <w:top w:val="nil"/>
              <w:left w:val="nil"/>
              <w:bottom w:val="single" w:sz="4" w:space="0" w:color="auto"/>
              <w:right w:val="single" w:sz="4" w:space="0" w:color="auto"/>
            </w:tcBorders>
            <w:shd w:val="clear" w:color="auto" w:fill="auto"/>
            <w:noWrap/>
            <w:vAlign w:val="center"/>
            <w:hideMark/>
          </w:tcPr>
          <w:p w14:paraId="272E477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-0.82 [-1.</w:t>
            </w:r>
            <w:proofErr w:type="gramStart"/>
            <w:r w:rsidRPr="00CD028B">
              <w:rPr>
                <w:rFonts w:ascii="Arial" w:eastAsia="Times New Roman" w:hAnsi="Arial" w:cs="Arial"/>
                <w:color w:val="000000"/>
                <w:sz w:val="20"/>
                <w:szCs w:val="20"/>
              </w:rPr>
              <w:t>39,-</w:t>
            </w:r>
            <w:proofErr w:type="gramEnd"/>
            <w:r w:rsidRPr="00CD028B">
              <w:rPr>
                <w:rFonts w:ascii="Arial" w:eastAsia="Times New Roman" w:hAnsi="Arial" w:cs="Arial"/>
                <w:color w:val="000000"/>
                <w:sz w:val="20"/>
                <w:szCs w:val="20"/>
              </w:rPr>
              <w:t>0.26]</w:t>
            </w:r>
          </w:p>
        </w:tc>
        <w:tc>
          <w:tcPr>
            <w:tcW w:w="1838" w:type="dxa"/>
            <w:tcBorders>
              <w:top w:val="nil"/>
              <w:left w:val="nil"/>
              <w:bottom w:val="single" w:sz="4" w:space="0" w:color="auto"/>
              <w:right w:val="single" w:sz="4" w:space="0" w:color="auto"/>
            </w:tcBorders>
            <w:shd w:val="clear" w:color="auto" w:fill="auto"/>
            <w:noWrap/>
            <w:vAlign w:val="center"/>
            <w:hideMark/>
          </w:tcPr>
          <w:p w14:paraId="3578BB8F"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-0.75 [-1.62,0.13]</w:t>
            </w:r>
          </w:p>
        </w:tc>
        <w:tc>
          <w:tcPr>
            <w:tcW w:w="1852" w:type="dxa"/>
            <w:tcBorders>
              <w:top w:val="nil"/>
              <w:left w:val="nil"/>
              <w:bottom w:val="single" w:sz="4" w:space="0" w:color="auto"/>
              <w:right w:val="single" w:sz="4" w:space="0" w:color="auto"/>
            </w:tcBorders>
            <w:shd w:val="clear" w:color="auto" w:fill="auto"/>
            <w:noWrap/>
            <w:vAlign w:val="center"/>
            <w:hideMark/>
          </w:tcPr>
          <w:p w14:paraId="73C0252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-0.89 [-1.</w:t>
            </w:r>
            <w:proofErr w:type="gramStart"/>
            <w:r w:rsidRPr="00CD028B">
              <w:rPr>
                <w:rFonts w:ascii="Arial" w:eastAsia="Times New Roman" w:hAnsi="Arial" w:cs="Arial"/>
                <w:color w:val="000000"/>
                <w:sz w:val="20"/>
                <w:szCs w:val="20"/>
              </w:rPr>
              <w:t>23,-</w:t>
            </w:r>
            <w:proofErr w:type="gramEnd"/>
            <w:r w:rsidRPr="00CD028B">
              <w:rPr>
                <w:rFonts w:ascii="Arial" w:eastAsia="Times New Roman" w:hAnsi="Arial" w:cs="Arial"/>
                <w:color w:val="000000"/>
                <w:sz w:val="20"/>
                <w:szCs w:val="20"/>
              </w:rPr>
              <w:t>0.55]</w:t>
            </w:r>
          </w:p>
        </w:tc>
        <w:tc>
          <w:tcPr>
            <w:tcW w:w="1890" w:type="dxa"/>
            <w:tcBorders>
              <w:top w:val="nil"/>
              <w:left w:val="nil"/>
              <w:bottom w:val="single" w:sz="4" w:space="0" w:color="auto"/>
              <w:right w:val="single" w:sz="4" w:space="0" w:color="auto"/>
            </w:tcBorders>
            <w:shd w:val="clear" w:color="auto" w:fill="auto"/>
            <w:noWrap/>
            <w:vAlign w:val="center"/>
            <w:hideMark/>
          </w:tcPr>
          <w:p w14:paraId="2D5F3373"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-1.43 [-2.</w:t>
            </w:r>
            <w:proofErr w:type="gramStart"/>
            <w:r w:rsidRPr="00CD028B">
              <w:rPr>
                <w:rFonts w:ascii="Arial" w:eastAsia="Times New Roman" w:hAnsi="Arial" w:cs="Arial"/>
                <w:color w:val="000000"/>
                <w:sz w:val="20"/>
                <w:szCs w:val="20"/>
              </w:rPr>
              <w:t>04,-</w:t>
            </w:r>
            <w:proofErr w:type="gramEnd"/>
            <w:r w:rsidRPr="00CD028B">
              <w:rPr>
                <w:rFonts w:ascii="Arial" w:eastAsia="Times New Roman" w:hAnsi="Arial" w:cs="Arial"/>
                <w:color w:val="000000"/>
                <w:sz w:val="20"/>
                <w:szCs w:val="20"/>
              </w:rPr>
              <w:t>0.82]</w:t>
            </w:r>
          </w:p>
        </w:tc>
      </w:tr>
      <w:tr w:rsidR="00B724C5" w:rsidRPr="00CD028B" w14:paraId="7D2D05C9" w14:textId="77777777" w:rsidTr="00186656">
        <w:trPr>
          <w:trHeight w:val="300"/>
        </w:trPr>
        <w:tc>
          <w:tcPr>
            <w:tcW w:w="13929" w:type="dxa"/>
            <w:gridSpan w:val="8"/>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2F5DC4"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Intravesical BCG</w:t>
            </w:r>
          </w:p>
        </w:tc>
      </w:tr>
      <w:tr w:rsidR="00B724C5" w:rsidRPr="00CD028B" w14:paraId="18F5CBE5" w14:textId="77777777" w:rsidTr="00186656">
        <w:trPr>
          <w:trHeight w:val="555"/>
        </w:trPr>
        <w:tc>
          <w:tcPr>
            <w:tcW w:w="1620" w:type="dxa"/>
            <w:tcBorders>
              <w:top w:val="nil"/>
              <w:left w:val="single" w:sz="4" w:space="0" w:color="auto"/>
              <w:bottom w:val="single" w:sz="4" w:space="0" w:color="auto"/>
              <w:right w:val="single" w:sz="4" w:space="0" w:color="auto"/>
            </w:tcBorders>
            <w:shd w:val="clear" w:color="auto" w:fill="auto"/>
            <w:vAlign w:val="bottom"/>
            <w:hideMark/>
          </w:tcPr>
          <w:p w14:paraId="4343EB34"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Pain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137" w:type="dxa"/>
            <w:tcBorders>
              <w:top w:val="nil"/>
              <w:left w:val="nil"/>
              <w:bottom w:val="single" w:sz="4" w:space="0" w:color="auto"/>
              <w:right w:val="single" w:sz="4" w:space="0" w:color="auto"/>
            </w:tcBorders>
            <w:shd w:val="clear" w:color="auto" w:fill="auto"/>
            <w:noWrap/>
            <w:vAlign w:val="bottom"/>
            <w:hideMark/>
          </w:tcPr>
          <w:p w14:paraId="1FA2F50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6.78</w:t>
            </w:r>
          </w:p>
        </w:tc>
        <w:tc>
          <w:tcPr>
            <w:tcW w:w="1839" w:type="dxa"/>
            <w:tcBorders>
              <w:top w:val="nil"/>
              <w:left w:val="nil"/>
              <w:bottom w:val="single" w:sz="4" w:space="0" w:color="auto"/>
              <w:right w:val="single" w:sz="4" w:space="0" w:color="auto"/>
            </w:tcBorders>
            <w:shd w:val="clear" w:color="auto" w:fill="auto"/>
            <w:noWrap/>
            <w:vAlign w:val="center"/>
            <w:hideMark/>
          </w:tcPr>
          <w:p w14:paraId="499F87F4"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-1.03 [-1.</w:t>
            </w:r>
            <w:proofErr w:type="gramStart"/>
            <w:r w:rsidRPr="00CD028B">
              <w:rPr>
                <w:rFonts w:ascii="Arial" w:eastAsia="Times New Roman" w:hAnsi="Arial" w:cs="Arial"/>
                <w:color w:val="000000"/>
                <w:sz w:val="20"/>
                <w:szCs w:val="20"/>
              </w:rPr>
              <w:t>59,-</w:t>
            </w:r>
            <w:proofErr w:type="gramEnd"/>
            <w:r w:rsidRPr="00CD028B">
              <w:rPr>
                <w:rFonts w:ascii="Arial" w:eastAsia="Times New Roman" w:hAnsi="Arial" w:cs="Arial"/>
                <w:color w:val="000000"/>
                <w:sz w:val="20"/>
                <w:szCs w:val="20"/>
              </w:rPr>
              <w:t>0.46]</w:t>
            </w:r>
          </w:p>
        </w:tc>
        <w:tc>
          <w:tcPr>
            <w:tcW w:w="1862" w:type="dxa"/>
            <w:tcBorders>
              <w:top w:val="nil"/>
              <w:left w:val="nil"/>
              <w:bottom w:val="single" w:sz="4" w:space="0" w:color="auto"/>
              <w:right w:val="single" w:sz="4" w:space="0" w:color="auto"/>
            </w:tcBorders>
            <w:shd w:val="clear" w:color="auto" w:fill="auto"/>
            <w:noWrap/>
            <w:vAlign w:val="center"/>
            <w:hideMark/>
          </w:tcPr>
          <w:p w14:paraId="082F772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-1.43 [-1.</w:t>
            </w:r>
            <w:proofErr w:type="gramStart"/>
            <w:r w:rsidRPr="00CD028B">
              <w:rPr>
                <w:rFonts w:ascii="Arial" w:eastAsia="Times New Roman" w:hAnsi="Arial" w:cs="Arial"/>
                <w:color w:val="000000"/>
                <w:sz w:val="20"/>
                <w:szCs w:val="20"/>
              </w:rPr>
              <w:t>98,-</w:t>
            </w:r>
            <w:proofErr w:type="gramEnd"/>
            <w:r w:rsidRPr="00CD028B">
              <w:rPr>
                <w:rFonts w:ascii="Arial" w:eastAsia="Times New Roman" w:hAnsi="Arial" w:cs="Arial"/>
                <w:color w:val="000000"/>
                <w:sz w:val="20"/>
                <w:szCs w:val="20"/>
              </w:rPr>
              <w:t>0.88]</w:t>
            </w:r>
          </w:p>
        </w:tc>
        <w:tc>
          <w:tcPr>
            <w:tcW w:w="1890" w:type="dxa"/>
            <w:tcBorders>
              <w:top w:val="nil"/>
              <w:left w:val="nil"/>
              <w:bottom w:val="single" w:sz="4" w:space="0" w:color="auto"/>
              <w:right w:val="single" w:sz="4" w:space="0" w:color="auto"/>
            </w:tcBorders>
            <w:shd w:val="clear" w:color="auto" w:fill="auto"/>
            <w:noWrap/>
            <w:vAlign w:val="center"/>
            <w:hideMark/>
          </w:tcPr>
          <w:p w14:paraId="1FF9FE83"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-0.77 [-1.</w:t>
            </w:r>
            <w:proofErr w:type="gramStart"/>
            <w:r w:rsidRPr="00CD028B">
              <w:rPr>
                <w:rFonts w:ascii="Arial" w:eastAsia="Times New Roman" w:hAnsi="Arial" w:cs="Arial"/>
                <w:color w:val="000000"/>
                <w:sz w:val="20"/>
                <w:szCs w:val="20"/>
              </w:rPr>
              <w:t>34,-</w:t>
            </w:r>
            <w:proofErr w:type="gramEnd"/>
            <w:r w:rsidRPr="00CD028B">
              <w:rPr>
                <w:rFonts w:ascii="Arial" w:eastAsia="Times New Roman" w:hAnsi="Arial" w:cs="Arial"/>
                <w:color w:val="000000"/>
                <w:sz w:val="20"/>
                <w:szCs w:val="20"/>
              </w:rPr>
              <w:t>0.20]</w:t>
            </w:r>
          </w:p>
        </w:tc>
        <w:tc>
          <w:tcPr>
            <w:tcW w:w="1838" w:type="dxa"/>
            <w:tcBorders>
              <w:top w:val="nil"/>
              <w:left w:val="nil"/>
              <w:bottom w:val="single" w:sz="4" w:space="0" w:color="auto"/>
              <w:right w:val="single" w:sz="4" w:space="0" w:color="auto"/>
            </w:tcBorders>
            <w:shd w:val="clear" w:color="auto" w:fill="auto"/>
            <w:noWrap/>
            <w:vAlign w:val="center"/>
            <w:hideMark/>
          </w:tcPr>
          <w:p w14:paraId="54A5B30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-1.31 [-1.</w:t>
            </w:r>
            <w:proofErr w:type="gramStart"/>
            <w:r w:rsidRPr="00CD028B">
              <w:rPr>
                <w:rFonts w:ascii="Arial" w:eastAsia="Times New Roman" w:hAnsi="Arial" w:cs="Arial"/>
                <w:color w:val="000000"/>
                <w:sz w:val="20"/>
                <w:szCs w:val="20"/>
              </w:rPr>
              <w:t>91,-</w:t>
            </w:r>
            <w:proofErr w:type="gramEnd"/>
            <w:r w:rsidRPr="00CD028B">
              <w:rPr>
                <w:rFonts w:ascii="Arial" w:eastAsia="Times New Roman" w:hAnsi="Arial" w:cs="Arial"/>
                <w:color w:val="000000"/>
                <w:sz w:val="20"/>
                <w:szCs w:val="20"/>
              </w:rPr>
              <w:t>0.71]</w:t>
            </w:r>
          </w:p>
        </w:tc>
        <w:tc>
          <w:tcPr>
            <w:tcW w:w="1852" w:type="dxa"/>
            <w:tcBorders>
              <w:top w:val="nil"/>
              <w:left w:val="nil"/>
              <w:bottom w:val="single" w:sz="4" w:space="0" w:color="auto"/>
              <w:right w:val="single" w:sz="4" w:space="0" w:color="auto"/>
            </w:tcBorders>
            <w:shd w:val="clear" w:color="auto" w:fill="auto"/>
            <w:noWrap/>
            <w:vAlign w:val="center"/>
            <w:hideMark/>
          </w:tcPr>
          <w:p w14:paraId="73D2837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-0.89 [-1.</w:t>
            </w:r>
            <w:proofErr w:type="gramStart"/>
            <w:r w:rsidRPr="00CD028B">
              <w:rPr>
                <w:rFonts w:ascii="Arial" w:eastAsia="Times New Roman" w:hAnsi="Arial" w:cs="Arial"/>
                <w:color w:val="000000"/>
                <w:sz w:val="20"/>
                <w:szCs w:val="20"/>
              </w:rPr>
              <w:t>28,-</w:t>
            </w:r>
            <w:proofErr w:type="gramEnd"/>
            <w:r w:rsidRPr="00CD028B">
              <w:rPr>
                <w:rFonts w:ascii="Arial" w:eastAsia="Times New Roman" w:hAnsi="Arial" w:cs="Arial"/>
                <w:color w:val="000000"/>
                <w:sz w:val="20"/>
                <w:szCs w:val="20"/>
              </w:rPr>
              <w:t>0.49]</w:t>
            </w:r>
          </w:p>
        </w:tc>
        <w:tc>
          <w:tcPr>
            <w:tcW w:w="1890" w:type="dxa"/>
            <w:tcBorders>
              <w:top w:val="nil"/>
              <w:left w:val="nil"/>
              <w:bottom w:val="single" w:sz="4" w:space="0" w:color="auto"/>
              <w:right w:val="single" w:sz="4" w:space="0" w:color="auto"/>
            </w:tcBorders>
            <w:shd w:val="clear" w:color="auto" w:fill="auto"/>
            <w:noWrap/>
            <w:vAlign w:val="center"/>
            <w:hideMark/>
          </w:tcPr>
          <w:p w14:paraId="6E0A373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-1.38 [-1.</w:t>
            </w:r>
            <w:proofErr w:type="gramStart"/>
            <w:r w:rsidRPr="00CD028B">
              <w:rPr>
                <w:rFonts w:ascii="Arial" w:eastAsia="Times New Roman" w:hAnsi="Arial" w:cs="Arial"/>
                <w:color w:val="000000"/>
                <w:sz w:val="20"/>
                <w:szCs w:val="20"/>
              </w:rPr>
              <w:t>78,-</w:t>
            </w:r>
            <w:proofErr w:type="gramEnd"/>
            <w:r w:rsidRPr="00CD028B">
              <w:rPr>
                <w:rFonts w:ascii="Arial" w:eastAsia="Times New Roman" w:hAnsi="Arial" w:cs="Arial"/>
                <w:color w:val="000000"/>
                <w:sz w:val="20"/>
                <w:szCs w:val="20"/>
              </w:rPr>
              <w:t>0.98]</w:t>
            </w:r>
          </w:p>
        </w:tc>
      </w:tr>
      <w:tr w:rsidR="00B724C5" w:rsidRPr="00CD028B" w14:paraId="6AF53C2E" w14:textId="77777777" w:rsidTr="00186656">
        <w:trPr>
          <w:trHeight w:val="555"/>
        </w:trPr>
        <w:tc>
          <w:tcPr>
            <w:tcW w:w="1620" w:type="dxa"/>
            <w:tcBorders>
              <w:top w:val="nil"/>
              <w:left w:val="single" w:sz="4" w:space="0" w:color="auto"/>
              <w:bottom w:val="single" w:sz="4" w:space="0" w:color="auto"/>
              <w:right w:val="single" w:sz="4" w:space="0" w:color="auto"/>
            </w:tcBorders>
            <w:shd w:val="clear" w:color="auto" w:fill="auto"/>
            <w:vAlign w:val="bottom"/>
            <w:hideMark/>
          </w:tcPr>
          <w:p w14:paraId="289BD49A"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Urgency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b</w:t>
            </w:r>
            <w:proofErr w:type="spellEnd"/>
          </w:p>
        </w:tc>
        <w:tc>
          <w:tcPr>
            <w:tcW w:w="1137" w:type="dxa"/>
            <w:tcBorders>
              <w:top w:val="nil"/>
              <w:left w:val="nil"/>
              <w:bottom w:val="single" w:sz="4" w:space="0" w:color="auto"/>
              <w:right w:val="single" w:sz="4" w:space="0" w:color="auto"/>
            </w:tcBorders>
            <w:shd w:val="clear" w:color="auto" w:fill="auto"/>
            <w:noWrap/>
            <w:vAlign w:val="bottom"/>
            <w:hideMark/>
          </w:tcPr>
          <w:p w14:paraId="7D37EB90"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7.01</w:t>
            </w:r>
          </w:p>
        </w:tc>
        <w:tc>
          <w:tcPr>
            <w:tcW w:w="1839" w:type="dxa"/>
            <w:tcBorders>
              <w:top w:val="nil"/>
              <w:left w:val="nil"/>
              <w:bottom w:val="single" w:sz="4" w:space="0" w:color="auto"/>
              <w:right w:val="single" w:sz="4" w:space="0" w:color="auto"/>
            </w:tcBorders>
            <w:shd w:val="clear" w:color="auto" w:fill="auto"/>
            <w:noWrap/>
            <w:vAlign w:val="center"/>
            <w:hideMark/>
          </w:tcPr>
          <w:p w14:paraId="6554E86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-1.04 [-1.</w:t>
            </w:r>
            <w:proofErr w:type="gramStart"/>
            <w:r w:rsidRPr="00CD028B">
              <w:rPr>
                <w:rFonts w:ascii="Arial" w:eastAsia="Times New Roman" w:hAnsi="Arial" w:cs="Arial"/>
                <w:color w:val="000000"/>
                <w:sz w:val="20"/>
                <w:szCs w:val="20"/>
              </w:rPr>
              <w:t>56,-</w:t>
            </w:r>
            <w:proofErr w:type="gramEnd"/>
            <w:r w:rsidRPr="00CD028B">
              <w:rPr>
                <w:rFonts w:ascii="Arial" w:eastAsia="Times New Roman" w:hAnsi="Arial" w:cs="Arial"/>
                <w:color w:val="000000"/>
                <w:sz w:val="20"/>
                <w:szCs w:val="20"/>
              </w:rPr>
              <w:t>0.51]</w:t>
            </w:r>
          </w:p>
        </w:tc>
        <w:tc>
          <w:tcPr>
            <w:tcW w:w="1862" w:type="dxa"/>
            <w:tcBorders>
              <w:top w:val="nil"/>
              <w:left w:val="nil"/>
              <w:bottom w:val="single" w:sz="4" w:space="0" w:color="auto"/>
              <w:right w:val="single" w:sz="4" w:space="0" w:color="auto"/>
            </w:tcBorders>
            <w:shd w:val="clear" w:color="auto" w:fill="auto"/>
            <w:noWrap/>
            <w:vAlign w:val="center"/>
            <w:hideMark/>
          </w:tcPr>
          <w:p w14:paraId="056573D8"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-1.64 [-2.</w:t>
            </w:r>
            <w:proofErr w:type="gramStart"/>
            <w:r w:rsidRPr="00CD028B">
              <w:rPr>
                <w:rFonts w:ascii="Arial" w:eastAsia="Times New Roman" w:hAnsi="Arial" w:cs="Arial"/>
                <w:color w:val="000000"/>
                <w:sz w:val="20"/>
                <w:szCs w:val="20"/>
              </w:rPr>
              <w:t>15,-</w:t>
            </w:r>
            <w:proofErr w:type="gramEnd"/>
            <w:r w:rsidRPr="00CD028B">
              <w:rPr>
                <w:rFonts w:ascii="Arial" w:eastAsia="Times New Roman" w:hAnsi="Arial" w:cs="Arial"/>
                <w:color w:val="000000"/>
                <w:sz w:val="20"/>
                <w:szCs w:val="20"/>
              </w:rPr>
              <w:t>1.12]</w:t>
            </w:r>
          </w:p>
        </w:tc>
        <w:tc>
          <w:tcPr>
            <w:tcW w:w="1890" w:type="dxa"/>
            <w:tcBorders>
              <w:top w:val="nil"/>
              <w:left w:val="nil"/>
              <w:bottom w:val="single" w:sz="4" w:space="0" w:color="auto"/>
              <w:right w:val="single" w:sz="4" w:space="0" w:color="auto"/>
            </w:tcBorders>
            <w:shd w:val="clear" w:color="auto" w:fill="auto"/>
            <w:noWrap/>
            <w:vAlign w:val="center"/>
            <w:hideMark/>
          </w:tcPr>
          <w:p w14:paraId="2019DB9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-0.79 [-1.</w:t>
            </w:r>
            <w:proofErr w:type="gramStart"/>
            <w:r w:rsidRPr="00CD028B">
              <w:rPr>
                <w:rFonts w:ascii="Arial" w:eastAsia="Times New Roman" w:hAnsi="Arial" w:cs="Arial"/>
                <w:color w:val="000000"/>
                <w:sz w:val="20"/>
                <w:szCs w:val="20"/>
              </w:rPr>
              <w:t>31,-</w:t>
            </w:r>
            <w:proofErr w:type="gramEnd"/>
            <w:r w:rsidRPr="00CD028B">
              <w:rPr>
                <w:rFonts w:ascii="Arial" w:eastAsia="Times New Roman" w:hAnsi="Arial" w:cs="Arial"/>
                <w:color w:val="000000"/>
                <w:sz w:val="20"/>
                <w:szCs w:val="20"/>
              </w:rPr>
              <w:t>0.26]</w:t>
            </w:r>
          </w:p>
        </w:tc>
        <w:tc>
          <w:tcPr>
            <w:tcW w:w="1838" w:type="dxa"/>
            <w:tcBorders>
              <w:top w:val="nil"/>
              <w:left w:val="nil"/>
              <w:bottom w:val="single" w:sz="4" w:space="0" w:color="auto"/>
              <w:right w:val="single" w:sz="4" w:space="0" w:color="auto"/>
            </w:tcBorders>
            <w:shd w:val="clear" w:color="auto" w:fill="auto"/>
            <w:noWrap/>
            <w:vAlign w:val="center"/>
            <w:hideMark/>
          </w:tcPr>
          <w:p w14:paraId="1B092910"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-1.31 [-1.</w:t>
            </w:r>
            <w:proofErr w:type="gramStart"/>
            <w:r w:rsidRPr="00CD028B">
              <w:rPr>
                <w:rFonts w:ascii="Arial" w:eastAsia="Times New Roman" w:hAnsi="Arial" w:cs="Arial"/>
                <w:color w:val="000000"/>
                <w:sz w:val="20"/>
                <w:szCs w:val="20"/>
              </w:rPr>
              <w:t>87,-</w:t>
            </w:r>
            <w:proofErr w:type="gramEnd"/>
            <w:r w:rsidRPr="00CD028B">
              <w:rPr>
                <w:rFonts w:ascii="Arial" w:eastAsia="Times New Roman" w:hAnsi="Arial" w:cs="Arial"/>
                <w:color w:val="000000"/>
                <w:sz w:val="20"/>
                <w:szCs w:val="20"/>
              </w:rPr>
              <w:t>0.74]</w:t>
            </w:r>
          </w:p>
        </w:tc>
        <w:tc>
          <w:tcPr>
            <w:tcW w:w="1852" w:type="dxa"/>
            <w:tcBorders>
              <w:top w:val="nil"/>
              <w:left w:val="nil"/>
              <w:bottom w:val="single" w:sz="4" w:space="0" w:color="auto"/>
              <w:right w:val="single" w:sz="4" w:space="0" w:color="auto"/>
            </w:tcBorders>
            <w:shd w:val="clear" w:color="auto" w:fill="auto"/>
            <w:noWrap/>
            <w:vAlign w:val="center"/>
            <w:hideMark/>
          </w:tcPr>
          <w:p w14:paraId="4979070E"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-0.92 [-1.</w:t>
            </w:r>
            <w:proofErr w:type="gramStart"/>
            <w:r w:rsidRPr="00CD028B">
              <w:rPr>
                <w:rFonts w:ascii="Arial" w:eastAsia="Times New Roman" w:hAnsi="Arial" w:cs="Arial"/>
                <w:color w:val="000000"/>
                <w:sz w:val="20"/>
                <w:szCs w:val="20"/>
              </w:rPr>
              <w:t>28,-</w:t>
            </w:r>
            <w:proofErr w:type="gramEnd"/>
            <w:r w:rsidRPr="00CD028B">
              <w:rPr>
                <w:rFonts w:ascii="Arial" w:eastAsia="Times New Roman" w:hAnsi="Arial" w:cs="Arial"/>
                <w:color w:val="000000"/>
                <w:sz w:val="20"/>
                <w:szCs w:val="20"/>
              </w:rPr>
              <w:t>0.55]</w:t>
            </w:r>
          </w:p>
        </w:tc>
        <w:tc>
          <w:tcPr>
            <w:tcW w:w="1890" w:type="dxa"/>
            <w:tcBorders>
              <w:top w:val="nil"/>
              <w:left w:val="nil"/>
              <w:bottom w:val="single" w:sz="4" w:space="0" w:color="auto"/>
              <w:right w:val="single" w:sz="4" w:space="0" w:color="auto"/>
            </w:tcBorders>
            <w:shd w:val="clear" w:color="auto" w:fill="auto"/>
            <w:noWrap/>
            <w:vAlign w:val="center"/>
            <w:hideMark/>
          </w:tcPr>
          <w:p w14:paraId="43107F6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-1.48 [-1.</w:t>
            </w:r>
            <w:proofErr w:type="gramStart"/>
            <w:r w:rsidRPr="00CD028B">
              <w:rPr>
                <w:rFonts w:ascii="Arial" w:eastAsia="Times New Roman" w:hAnsi="Arial" w:cs="Arial"/>
                <w:color w:val="000000"/>
                <w:sz w:val="20"/>
                <w:szCs w:val="20"/>
              </w:rPr>
              <w:t>86,-</w:t>
            </w:r>
            <w:proofErr w:type="gramEnd"/>
            <w:r w:rsidRPr="00CD028B">
              <w:rPr>
                <w:rFonts w:ascii="Arial" w:eastAsia="Times New Roman" w:hAnsi="Arial" w:cs="Arial"/>
                <w:color w:val="000000"/>
                <w:sz w:val="20"/>
                <w:szCs w:val="20"/>
              </w:rPr>
              <w:t>1.11]</w:t>
            </w:r>
          </w:p>
        </w:tc>
      </w:tr>
      <w:tr w:rsidR="00B724C5" w:rsidRPr="00CD028B" w14:paraId="302E1D5C" w14:textId="77777777" w:rsidTr="00186656">
        <w:trPr>
          <w:trHeight w:val="300"/>
        </w:trPr>
        <w:tc>
          <w:tcPr>
            <w:tcW w:w="13929" w:type="dxa"/>
            <w:gridSpan w:val="8"/>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12AAC5" w14:textId="77777777" w:rsidR="00B724C5" w:rsidRPr="00CD028B" w:rsidRDefault="00B724C5" w:rsidP="00186656">
            <w:pPr>
              <w:jc w:val="cente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Oral Amitriptyline with EBMP</w:t>
            </w:r>
          </w:p>
        </w:tc>
      </w:tr>
      <w:tr w:rsidR="00B724C5" w:rsidRPr="00CD028B" w14:paraId="28AA02F1" w14:textId="77777777" w:rsidTr="00186656">
        <w:trPr>
          <w:trHeight w:val="555"/>
        </w:trPr>
        <w:tc>
          <w:tcPr>
            <w:tcW w:w="1620" w:type="dxa"/>
            <w:tcBorders>
              <w:top w:val="nil"/>
              <w:left w:val="single" w:sz="4" w:space="0" w:color="auto"/>
              <w:bottom w:val="single" w:sz="4" w:space="0" w:color="auto"/>
              <w:right w:val="single" w:sz="4" w:space="0" w:color="auto"/>
            </w:tcBorders>
            <w:shd w:val="clear" w:color="auto" w:fill="auto"/>
            <w:vAlign w:val="bottom"/>
            <w:hideMark/>
          </w:tcPr>
          <w:p w14:paraId="74292B6F"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Pain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c</w:t>
            </w:r>
            <w:proofErr w:type="spellEnd"/>
          </w:p>
        </w:tc>
        <w:tc>
          <w:tcPr>
            <w:tcW w:w="1137" w:type="dxa"/>
            <w:tcBorders>
              <w:top w:val="nil"/>
              <w:left w:val="nil"/>
              <w:bottom w:val="single" w:sz="4" w:space="0" w:color="auto"/>
              <w:right w:val="single" w:sz="4" w:space="0" w:color="auto"/>
            </w:tcBorders>
            <w:shd w:val="clear" w:color="auto" w:fill="auto"/>
            <w:noWrap/>
            <w:vAlign w:val="bottom"/>
            <w:hideMark/>
          </w:tcPr>
          <w:p w14:paraId="6A74396F"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5.87</w:t>
            </w:r>
          </w:p>
        </w:tc>
        <w:tc>
          <w:tcPr>
            <w:tcW w:w="1839" w:type="dxa"/>
            <w:tcBorders>
              <w:top w:val="nil"/>
              <w:left w:val="nil"/>
              <w:bottom w:val="single" w:sz="4" w:space="0" w:color="auto"/>
              <w:right w:val="single" w:sz="4" w:space="0" w:color="auto"/>
            </w:tcBorders>
            <w:shd w:val="clear" w:color="auto" w:fill="auto"/>
            <w:noWrap/>
            <w:vAlign w:val="center"/>
            <w:hideMark/>
          </w:tcPr>
          <w:p w14:paraId="07CC37C3"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-2.89 [-3.</w:t>
            </w:r>
            <w:proofErr w:type="gramStart"/>
            <w:r w:rsidRPr="00CD028B">
              <w:rPr>
                <w:rFonts w:ascii="Arial" w:eastAsia="Times New Roman" w:hAnsi="Arial" w:cs="Arial"/>
                <w:color w:val="000000"/>
                <w:sz w:val="20"/>
                <w:szCs w:val="20"/>
              </w:rPr>
              <w:t>40,-</w:t>
            </w:r>
            <w:proofErr w:type="gramEnd"/>
            <w:r w:rsidRPr="00CD028B">
              <w:rPr>
                <w:rFonts w:ascii="Arial" w:eastAsia="Times New Roman" w:hAnsi="Arial" w:cs="Arial"/>
                <w:color w:val="000000"/>
                <w:sz w:val="20"/>
                <w:szCs w:val="20"/>
              </w:rPr>
              <w:t>2.37]</w:t>
            </w:r>
          </w:p>
        </w:tc>
        <w:tc>
          <w:tcPr>
            <w:tcW w:w="1862" w:type="dxa"/>
            <w:tcBorders>
              <w:top w:val="nil"/>
              <w:left w:val="nil"/>
              <w:bottom w:val="single" w:sz="4" w:space="0" w:color="auto"/>
              <w:right w:val="single" w:sz="4" w:space="0" w:color="auto"/>
            </w:tcBorders>
            <w:shd w:val="clear" w:color="auto" w:fill="auto"/>
            <w:noWrap/>
            <w:vAlign w:val="center"/>
            <w:hideMark/>
          </w:tcPr>
          <w:p w14:paraId="4083DE8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-2.84 [-3.</w:t>
            </w:r>
            <w:proofErr w:type="gramStart"/>
            <w:r w:rsidRPr="00CD028B">
              <w:rPr>
                <w:rFonts w:ascii="Arial" w:eastAsia="Times New Roman" w:hAnsi="Arial" w:cs="Arial"/>
                <w:color w:val="000000"/>
                <w:sz w:val="20"/>
                <w:szCs w:val="20"/>
              </w:rPr>
              <w:t>34,-</w:t>
            </w:r>
            <w:proofErr w:type="gramEnd"/>
            <w:r w:rsidRPr="00CD028B">
              <w:rPr>
                <w:rFonts w:ascii="Arial" w:eastAsia="Times New Roman" w:hAnsi="Arial" w:cs="Arial"/>
                <w:color w:val="000000"/>
                <w:sz w:val="20"/>
                <w:szCs w:val="20"/>
              </w:rPr>
              <w:t>2.34]</w:t>
            </w:r>
          </w:p>
        </w:tc>
        <w:tc>
          <w:tcPr>
            <w:tcW w:w="1890" w:type="dxa"/>
            <w:tcBorders>
              <w:top w:val="nil"/>
              <w:left w:val="nil"/>
              <w:bottom w:val="single" w:sz="4" w:space="0" w:color="auto"/>
              <w:right w:val="single" w:sz="4" w:space="0" w:color="auto"/>
            </w:tcBorders>
            <w:shd w:val="clear" w:color="auto" w:fill="auto"/>
            <w:noWrap/>
            <w:vAlign w:val="center"/>
            <w:hideMark/>
          </w:tcPr>
          <w:p w14:paraId="1DFD8F3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-1.02 [-1.</w:t>
            </w:r>
            <w:proofErr w:type="gramStart"/>
            <w:r w:rsidRPr="00CD028B">
              <w:rPr>
                <w:rFonts w:ascii="Arial" w:eastAsia="Times New Roman" w:hAnsi="Arial" w:cs="Arial"/>
                <w:color w:val="000000"/>
                <w:sz w:val="20"/>
                <w:szCs w:val="20"/>
              </w:rPr>
              <w:t>68,-</w:t>
            </w:r>
            <w:proofErr w:type="gramEnd"/>
            <w:r w:rsidRPr="00CD028B">
              <w:rPr>
                <w:rFonts w:ascii="Arial" w:eastAsia="Times New Roman" w:hAnsi="Arial" w:cs="Arial"/>
                <w:color w:val="000000"/>
                <w:sz w:val="20"/>
                <w:szCs w:val="20"/>
              </w:rPr>
              <w:t>0.36]</w:t>
            </w:r>
          </w:p>
        </w:tc>
        <w:tc>
          <w:tcPr>
            <w:tcW w:w="1838" w:type="dxa"/>
            <w:tcBorders>
              <w:top w:val="nil"/>
              <w:left w:val="nil"/>
              <w:bottom w:val="single" w:sz="4" w:space="0" w:color="auto"/>
              <w:right w:val="single" w:sz="4" w:space="0" w:color="auto"/>
            </w:tcBorders>
            <w:shd w:val="clear" w:color="auto" w:fill="auto"/>
            <w:noWrap/>
            <w:vAlign w:val="center"/>
            <w:hideMark/>
          </w:tcPr>
          <w:p w14:paraId="236C9344"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-2.16 [-2.</w:t>
            </w:r>
            <w:proofErr w:type="gramStart"/>
            <w:r w:rsidRPr="00CD028B">
              <w:rPr>
                <w:rFonts w:ascii="Arial" w:eastAsia="Times New Roman" w:hAnsi="Arial" w:cs="Arial"/>
                <w:color w:val="000000"/>
                <w:sz w:val="20"/>
                <w:szCs w:val="20"/>
              </w:rPr>
              <w:t>87,-</w:t>
            </w:r>
            <w:proofErr w:type="gramEnd"/>
            <w:r w:rsidRPr="00CD028B">
              <w:rPr>
                <w:rFonts w:ascii="Arial" w:eastAsia="Times New Roman" w:hAnsi="Arial" w:cs="Arial"/>
                <w:color w:val="000000"/>
                <w:sz w:val="20"/>
                <w:szCs w:val="20"/>
              </w:rPr>
              <w:t>1.44]</w:t>
            </w:r>
          </w:p>
        </w:tc>
        <w:tc>
          <w:tcPr>
            <w:tcW w:w="1852" w:type="dxa"/>
            <w:tcBorders>
              <w:top w:val="nil"/>
              <w:left w:val="nil"/>
              <w:bottom w:val="single" w:sz="4" w:space="0" w:color="auto"/>
              <w:right w:val="single" w:sz="4" w:space="0" w:color="auto"/>
            </w:tcBorders>
            <w:shd w:val="clear" w:color="auto" w:fill="auto"/>
            <w:noWrap/>
            <w:vAlign w:val="center"/>
            <w:hideMark/>
          </w:tcPr>
          <w:p w14:paraId="175A607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-2.17 [-2.</w:t>
            </w:r>
            <w:proofErr w:type="gramStart"/>
            <w:r w:rsidRPr="00CD028B">
              <w:rPr>
                <w:rFonts w:ascii="Arial" w:eastAsia="Times New Roman" w:hAnsi="Arial" w:cs="Arial"/>
                <w:color w:val="000000"/>
                <w:sz w:val="20"/>
                <w:szCs w:val="20"/>
              </w:rPr>
              <w:t>57,-</w:t>
            </w:r>
            <w:proofErr w:type="gramEnd"/>
            <w:r w:rsidRPr="00CD028B">
              <w:rPr>
                <w:rFonts w:ascii="Arial" w:eastAsia="Times New Roman" w:hAnsi="Arial" w:cs="Arial"/>
                <w:color w:val="000000"/>
                <w:sz w:val="20"/>
                <w:szCs w:val="20"/>
              </w:rPr>
              <w:t>1.76]</w:t>
            </w:r>
          </w:p>
        </w:tc>
        <w:tc>
          <w:tcPr>
            <w:tcW w:w="1890" w:type="dxa"/>
            <w:tcBorders>
              <w:top w:val="nil"/>
              <w:left w:val="nil"/>
              <w:bottom w:val="single" w:sz="4" w:space="0" w:color="auto"/>
              <w:right w:val="single" w:sz="4" w:space="0" w:color="auto"/>
            </w:tcBorders>
            <w:shd w:val="clear" w:color="auto" w:fill="auto"/>
            <w:noWrap/>
            <w:vAlign w:val="center"/>
            <w:hideMark/>
          </w:tcPr>
          <w:p w14:paraId="013350A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-2.62 [-3.</w:t>
            </w:r>
            <w:proofErr w:type="gramStart"/>
            <w:r w:rsidRPr="00CD028B">
              <w:rPr>
                <w:rFonts w:ascii="Arial" w:eastAsia="Times New Roman" w:hAnsi="Arial" w:cs="Arial"/>
                <w:color w:val="000000"/>
                <w:sz w:val="20"/>
                <w:szCs w:val="20"/>
              </w:rPr>
              <w:t>04,-</w:t>
            </w:r>
            <w:proofErr w:type="gramEnd"/>
            <w:r w:rsidRPr="00CD028B">
              <w:rPr>
                <w:rFonts w:ascii="Arial" w:eastAsia="Times New Roman" w:hAnsi="Arial" w:cs="Arial"/>
                <w:color w:val="000000"/>
                <w:sz w:val="20"/>
                <w:szCs w:val="20"/>
              </w:rPr>
              <w:t>2.21]</w:t>
            </w:r>
          </w:p>
        </w:tc>
      </w:tr>
      <w:tr w:rsidR="00B724C5" w:rsidRPr="00CD028B" w14:paraId="5369237C" w14:textId="77777777" w:rsidTr="00186656">
        <w:trPr>
          <w:trHeight w:val="555"/>
        </w:trPr>
        <w:tc>
          <w:tcPr>
            <w:tcW w:w="1620" w:type="dxa"/>
            <w:tcBorders>
              <w:top w:val="nil"/>
              <w:left w:val="single" w:sz="4" w:space="0" w:color="auto"/>
              <w:bottom w:val="single" w:sz="4" w:space="0" w:color="auto"/>
              <w:right w:val="single" w:sz="4" w:space="0" w:color="auto"/>
            </w:tcBorders>
            <w:shd w:val="clear" w:color="auto" w:fill="auto"/>
            <w:vAlign w:val="bottom"/>
            <w:hideMark/>
          </w:tcPr>
          <w:p w14:paraId="1D3F9D16"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Urgency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c</w:t>
            </w:r>
            <w:proofErr w:type="spellEnd"/>
          </w:p>
        </w:tc>
        <w:tc>
          <w:tcPr>
            <w:tcW w:w="1137" w:type="dxa"/>
            <w:tcBorders>
              <w:top w:val="nil"/>
              <w:left w:val="nil"/>
              <w:bottom w:val="single" w:sz="4" w:space="0" w:color="auto"/>
              <w:right w:val="single" w:sz="4" w:space="0" w:color="auto"/>
            </w:tcBorders>
            <w:shd w:val="clear" w:color="auto" w:fill="auto"/>
            <w:noWrap/>
            <w:vAlign w:val="bottom"/>
            <w:hideMark/>
          </w:tcPr>
          <w:p w14:paraId="2C7A298D"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6.39</w:t>
            </w:r>
          </w:p>
        </w:tc>
        <w:tc>
          <w:tcPr>
            <w:tcW w:w="1839" w:type="dxa"/>
            <w:tcBorders>
              <w:top w:val="nil"/>
              <w:left w:val="nil"/>
              <w:bottom w:val="single" w:sz="4" w:space="0" w:color="auto"/>
              <w:right w:val="single" w:sz="4" w:space="0" w:color="auto"/>
            </w:tcBorders>
            <w:shd w:val="clear" w:color="auto" w:fill="auto"/>
            <w:noWrap/>
            <w:vAlign w:val="center"/>
            <w:hideMark/>
          </w:tcPr>
          <w:p w14:paraId="6598CC2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-3.14 [-3.</w:t>
            </w:r>
            <w:proofErr w:type="gramStart"/>
            <w:r w:rsidRPr="00CD028B">
              <w:rPr>
                <w:rFonts w:ascii="Arial" w:eastAsia="Times New Roman" w:hAnsi="Arial" w:cs="Arial"/>
                <w:color w:val="000000"/>
                <w:sz w:val="20"/>
                <w:szCs w:val="20"/>
              </w:rPr>
              <w:t>66,-</w:t>
            </w:r>
            <w:proofErr w:type="gramEnd"/>
            <w:r w:rsidRPr="00CD028B">
              <w:rPr>
                <w:rFonts w:ascii="Arial" w:eastAsia="Times New Roman" w:hAnsi="Arial" w:cs="Arial"/>
                <w:color w:val="000000"/>
                <w:sz w:val="20"/>
                <w:szCs w:val="20"/>
              </w:rPr>
              <w:t>2.63]</w:t>
            </w:r>
          </w:p>
        </w:tc>
        <w:tc>
          <w:tcPr>
            <w:tcW w:w="1862" w:type="dxa"/>
            <w:tcBorders>
              <w:top w:val="nil"/>
              <w:left w:val="nil"/>
              <w:bottom w:val="single" w:sz="4" w:space="0" w:color="auto"/>
              <w:right w:val="single" w:sz="4" w:space="0" w:color="auto"/>
            </w:tcBorders>
            <w:shd w:val="clear" w:color="auto" w:fill="auto"/>
            <w:noWrap/>
            <w:vAlign w:val="center"/>
            <w:hideMark/>
          </w:tcPr>
          <w:p w14:paraId="31DD69D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-3.22 [-3.</w:t>
            </w:r>
            <w:proofErr w:type="gramStart"/>
            <w:r w:rsidRPr="00CD028B">
              <w:rPr>
                <w:rFonts w:ascii="Arial" w:eastAsia="Times New Roman" w:hAnsi="Arial" w:cs="Arial"/>
                <w:color w:val="000000"/>
                <w:sz w:val="20"/>
                <w:szCs w:val="20"/>
              </w:rPr>
              <w:t>71,-</w:t>
            </w:r>
            <w:proofErr w:type="gramEnd"/>
            <w:r w:rsidRPr="00CD028B">
              <w:rPr>
                <w:rFonts w:ascii="Arial" w:eastAsia="Times New Roman" w:hAnsi="Arial" w:cs="Arial"/>
                <w:color w:val="000000"/>
                <w:sz w:val="20"/>
                <w:szCs w:val="20"/>
              </w:rPr>
              <w:t>2.73]</w:t>
            </w:r>
          </w:p>
        </w:tc>
        <w:tc>
          <w:tcPr>
            <w:tcW w:w="1890" w:type="dxa"/>
            <w:tcBorders>
              <w:top w:val="nil"/>
              <w:left w:val="nil"/>
              <w:bottom w:val="single" w:sz="4" w:space="0" w:color="auto"/>
              <w:right w:val="single" w:sz="4" w:space="0" w:color="auto"/>
            </w:tcBorders>
            <w:shd w:val="clear" w:color="auto" w:fill="auto"/>
            <w:noWrap/>
            <w:vAlign w:val="center"/>
            <w:hideMark/>
          </w:tcPr>
          <w:p w14:paraId="16317781"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-1.64 [-2.</w:t>
            </w:r>
            <w:proofErr w:type="gramStart"/>
            <w:r w:rsidRPr="00CD028B">
              <w:rPr>
                <w:rFonts w:ascii="Arial" w:eastAsia="Times New Roman" w:hAnsi="Arial" w:cs="Arial"/>
                <w:color w:val="000000"/>
                <w:sz w:val="20"/>
                <w:szCs w:val="20"/>
              </w:rPr>
              <w:t>29,-</w:t>
            </w:r>
            <w:proofErr w:type="gramEnd"/>
            <w:r w:rsidRPr="00CD028B">
              <w:rPr>
                <w:rFonts w:ascii="Arial" w:eastAsia="Times New Roman" w:hAnsi="Arial" w:cs="Arial"/>
                <w:color w:val="000000"/>
                <w:sz w:val="20"/>
                <w:szCs w:val="20"/>
              </w:rPr>
              <w:t>1.00]</w:t>
            </w:r>
          </w:p>
        </w:tc>
        <w:tc>
          <w:tcPr>
            <w:tcW w:w="1838" w:type="dxa"/>
            <w:tcBorders>
              <w:top w:val="nil"/>
              <w:left w:val="nil"/>
              <w:bottom w:val="single" w:sz="4" w:space="0" w:color="auto"/>
              <w:right w:val="single" w:sz="4" w:space="0" w:color="auto"/>
            </w:tcBorders>
            <w:shd w:val="clear" w:color="auto" w:fill="auto"/>
            <w:noWrap/>
            <w:vAlign w:val="center"/>
            <w:hideMark/>
          </w:tcPr>
          <w:p w14:paraId="02C25E04"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-2.44 [-3.</w:t>
            </w:r>
            <w:proofErr w:type="gramStart"/>
            <w:r w:rsidRPr="00CD028B">
              <w:rPr>
                <w:rFonts w:ascii="Arial" w:eastAsia="Times New Roman" w:hAnsi="Arial" w:cs="Arial"/>
                <w:color w:val="000000"/>
                <w:sz w:val="20"/>
                <w:szCs w:val="20"/>
              </w:rPr>
              <w:t>17,-</w:t>
            </w:r>
            <w:proofErr w:type="gramEnd"/>
            <w:r w:rsidRPr="00CD028B">
              <w:rPr>
                <w:rFonts w:ascii="Arial" w:eastAsia="Times New Roman" w:hAnsi="Arial" w:cs="Arial"/>
                <w:color w:val="000000"/>
                <w:sz w:val="20"/>
                <w:szCs w:val="20"/>
              </w:rPr>
              <w:t>1.71]</w:t>
            </w:r>
          </w:p>
        </w:tc>
        <w:tc>
          <w:tcPr>
            <w:tcW w:w="1852" w:type="dxa"/>
            <w:tcBorders>
              <w:top w:val="nil"/>
              <w:left w:val="nil"/>
              <w:bottom w:val="single" w:sz="4" w:space="0" w:color="auto"/>
              <w:right w:val="single" w:sz="4" w:space="0" w:color="auto"/>
            </w:tcBorders>
            <w:shd w:val="clear" w:color="auto" w:fill="auto"/>
            <w:noWrap/>
            <w:vAlign w:val="center"/>
            <w:hideMark/>
          </w:tcPr>
          <w:p w14:paraId="759D843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-2.52 [-2.</w:t>
            </w:r>
            <w:proofErr w:type="gramStart"/>
            <w:r w:rsidRPr="00CD028B">
              <w:rPr>
                <w:rFonts w:ascii="Arial" w:eastAsia="Times New Roman" w:hAnsi="Arial" w:cs="Arial"/>
                <w:color w:val="000000"/>
                <w:sz w:val="20"/>
                <w:szCs w:val="20"/>
              </w:rPr>
              <w:t>92,-</w:t>
            </w:r>
            <w:proofErr w:type="gramEnd"/>
            <w:r w:rsidRPr="00CD028B">
              <w:rPr>
                <w:rFonts w:ascii="Arial" w:eastAsia="Times New Roman" w:hAnsi="Arial" w:cs="Arial"/>
                <w:color w:val="000000"/>
                <w:sz w:val="20"/>
                <w:szCs w:val="20"/>
              </w:rPr>
              <w:t>2.12]</w:t>
            </w:r>
          </w:p>
        </w:tc>
        <w:tc>
          <w:tcPr>
            <w:tcW w:w="1890" w:type="dxa"/>
            <w:tcBorders>
              <w:top w:val="nil"/>
              <w:left w:val="nil"/>
              <w:bottom w:val="single" w:sz="4" w:space="0" w:color="auto"/>
              <w:right w:val="single" w:sz="4" w:space="0" w:color="auto"/>
            </w:tcBorders>
            <w:shd w:val="clear" w:color="auto" w:fill="auto"/>
            <w:noWrap/>
            <w:vAlign w:val="center"/>
            <w:hideMark/>
          </w:tcPr>
          <w:p w14:paraId="36E6E843"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-2.98 [-3.</w:t>
            </w:r>
            <w:proofErr w:type="gramStart"/>
            <w:r w:rsidRPr="00CD028B">
              <w:rPr>
                <w:rFonts w:ascii="Arial" w:eastAsia="Times New Roman" w:hAnsi="Arial" w:cs="Arial"/>
                <w:color w:val="000000"/>
                <w:sz w:val="20"/>
                <w:szCs w:val="20"/>
              </w:rPr>
              <w:t>40,-</w:t>
            </w:r>
            <w:proofErr w:type="gramEnd"/>
            <w:r w:rsidRPr="00CD028B">
              <w:rPr>
                <w:rFonts w:ascii="Arial" w:eastAsia="Times New Roman" w:hAnsi="Arial" w:cs="Arial"/>
                <w:color w:val="000000"/>
                <w:sz w:val="20"/>
                <w:szCs w:val="20"/>
              </w:rPr>
              <w:t>2.57]</w:t>
            </w:r>
          </w:p>
        </w:tc>
      </w:tr>
      <w:tr w:rsidR="00B724C5" w:rsidRPr="00CD028B" w14:paraId="682E3064" w14:textId="77777777" w:rsidTr="00186656">
        <w:trPr>
          <w:trHeight w:val="810"/>
        </w:trPr>
        <w:tc>
          <w:tcPr>
            <w:tcW w:w="1620" w:type="dxa"/>
            <w:tcBorders>
              <w:top w:val="nil"/>
              <w:left w:val="single" w:sz="4" w:space="0" w:color="auto"/>
              <w:bottom w:val="single" w:sz="4" w:space="0" w:color="auto"/>
              <w:right w:val="single" w:sz="4" w:space="0" w:color="auto"/>
            </w:tcBorders>
            <w:shd w:val="clear" w:color="auto" w:fill="auto"/>
            <w:vAlign w:val="bottom"/>
            <w:hideMark/>
          </w:tcPr>
          <w:p w14:paraId="03834163" w14:textId="77777777" w:rsidR="00B724C5" w:rsidRPr="00CD028B" w:rsidRDefault="00B724C5" w:rsidP="00186656">
            <w:pPr>
              <w:rPr>
                <w:rFonts w:ascii="Arial" w:eastAsia="Times New Roman" w:hAnsi="Arial" w:cs="Arial"/>
                <w:b/>
                <w:bCs/>
                <w:color w:val="000000"/>
                <w:sz w:val="20"/>
                <w:szCs w:val="20"/>
              </w:rPr>
            </w:pPr>
            <w:r w:rsidRPr="00CD028B">
              <w:rPr>
                <w:rFonts w:ascii="Arial" w:eastAsia="Times New Roman" w:hAnsi="Arial" w:cs="Arial"/>
                <w:b/>
                <w:bCs/>
                <w:color w:val="000000"/>
                <w:sz w:val="20"/>
                <w:szCs w:val="20"/>
              </w:rPr>
              <w:t xml:space="preserve">Change in Frequency </w:t>
            </w:r>
            <w:proofErr w:type="spellStart"/>
            <w:r w:rsidRPr="00CD028B">
              <w:rPr>
                <w:rFonts w:ascii="Arial" w:eastAsia="Times New Roman" w:hAnsi="Arial" w:cs="Arial"/>
                <w:b/>
                <w:bCs/>
                <w:color w:val="000000"/>
                <w:sz w:val="20"/>
                <w:szCs w:val="20"/>
              </w:rPr>
              <w:t>NRS</w:t>
            </w:r>
            <w:r w:rsidRPr="00CD028B">
              <w:rPr>
                <w:rFonts w:ascii="Arial" w:eastAsia="Times New Roman" w:hAnsi="Arial" w:cs="Arial"/>
                <w:color w:val="000000"/>
                <w:sz w:val="20"/>
                <w:szCs w:val="20"/>
                <w:vertAlign w:val="superscript"/>
              </w:rPr>
              <w:t>c</w:t>
            </w:r>
            <w:proofErr w:type="spellEnd"/>
          </w:p>
        </w:tc>
        <w:tc>
          <w:tcPr>
            <w:tcW w:w="1137" w:type="dxa"/>
            <w:tcBorders>
              <w:top w:val="nil"/>
              <w:left w:val="nil"/>
              <w:bottom w:val="single" w:sz="4" w:space="0" w:color="auto"/>
              <w:right w:val="single" w:sz="4" w:space="0" w:color="auto"/>
            </w:tcBorders>
            <w:shd w:val="clear" w:color="auto" w:fill="auto"/>
            <w:noWrap/>
            <w:vAlign w:val="bottom"/>
            <w:hideMark/>
          </w:tcPr>
          <w:p w14:paraId="5D7037AC"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6.79</w:t>
            </w:r>
          </w:p>
        </w:tc>
        <w:tc>
          <w:tcPr>
            <w:tcW w:w="1839" w:type="dxa"/>
            <w:tcBorders>
              <w:top w:val="nil"/>
              <w:left w:val="nil"/>
              <w:bottom w:val="single" w:sz="4" w:space="0" w:color="auto"/>
              <w:right w:val="single" w:sz="4" w:space="0" w:color="auto"/>
            </w:tcBorders>
            <w:shd w:val="clear" w:color="auto" w:fill="auto"/>
            <w:noWrap/>
            <w:vAlign w:val="center"/>
            <w:hideMark/>
          </w:tcPr>
          <w:p w14:paraId="3514B0FB"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-3.30 [-3.</w:t>
            </w:r>
            <w:proofErr w:type="gramStart"/>
            <w:r w:rsidRPr="00CD028B">
              <w:rPr>
                <w:rFonts w:ascii="Arial" w:eastAsia="Times New Roman" w:hAnsi="Arial" w:cs="Arial"/>
                <w:color w:val="000000"/>
                <w:sz w:val="20"/>
                <w:szCs w:val="20"/>
              </w:rPr>
              <w:t>83,-</w:t>
            </w:r>
            <w:proofErr w:type="gramEnd"/>
            <w:r w:rsidRPr="00CD028B">
              <w:rPr>
                <w:rFonts w:ascii="Arial" w:eastAsia="Times New Roman" w:hAnsi="Arial" w:cs="Arial"/>
                <w:color w:val="000000"/>
                <w:sz w:val="20"/>
                <w:szCs w:val="20"/>
              </w:rPr>
              <w:t>2.77]</w:t>
            </w:r>
          </w:p>
        </w:tc>
        <w:tc>
          <w:tcPr>
            <w:tcW w:w="1862" w:type="dxa"/>
            <w:tcBorders>
              <w:top w:val="nil"/>
              <w:left w:val="nil"/>
              <w:bottom w:val="single" w:sz="4" w:space="0" w:color="auto"/>
              <w:right w:val="single" w:sz="4" w:space="0" w:color="auto"/>
            </w:tcBorders>
            <w:shd w:val="clear" w:color="auto" w:fill="auto"/>
            <w:noWrap/>
            <w:vAlign w:val="center"/>
            <w:hideMark/>
          </w:tcPr>
          <w:p w14:paraId="75D64B7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-3.54 [-4.</w:t>
            </w:r>
            <w:proofErr w:type="gramStart"/>
            <w:r w:rsidRPr="00CD028B">
              <w:rPr>
                <w:rFonts w:ascii="Arial" w:eastAsia="Times New Roman" w:hAnsi="Arial" w:cs="Arial"/>
                <w:color w:val="000000"/>
                <w:sz w:val="20"/>
                <w:szCs w:val="20"/>
              </w:rPr>
              <w:t>06,-</w:t>
            </w:r>
            <w:proofErr w:type="gramEnd"/>
            <w:r w:rsidRPr="00CD028B">
              <w:rPr>
                <w:rFonts w:ascii="Arial" w:eastAsia="Times New Roman" w:hAnsi="Arial" w:cs="Arial"/>
                <w:color w:val="000000"/>
                <w:sz w:val="20"/>
                <w:szCs w:val="20"/>
              </w:rPr>
              <w:t>3.02]</w:t>
            </w:r>
          </w:p>
        </w:tc>
        <w:tc>
          <w:tcPr>
            <w:tcW w:w="1890" w:type="dxa"/>
            <w:tcBorders>
              <w:top w:val="nil"/>
              <w:left w:val="nil"/>
              <w:bottom w:val="single" w:sz="4" w:space="0" w:color="auto"/>
              <w:right w:val="single" w:sz="4" w:space="0" w:color="auto"/>
            </w:tcBorders>
            <w:shd w:val="clear" w:color="auto" w:fill="auto"/>
            <w:noWrap/>
            <w:vAlign w:val="center"/>
            <w:hideMark/>
          </w:tcPr>
          <w:p w14:paraId="39195272"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-1.60 [-2.</w:t>
            </w:r>
            <w:proofErr w:type="gramStart"/>
            <w:r w:rsidRPr="00CD028B">
              <w:rPr>
                <w:rFonts w:ascii="Arial" w:eastAsia="Times New Roman" w:hAnsi="Arial" w:cs="Arial"/>
                <w:color w:val="000000"/>
                <w:sz w:val="20"/>
                <w:szCs w:val="20"/>
              </w:rPr>
              <w:t>26,-</w:t>
            </w:r>
            <w:proofErr w:type="gramEnd"/>
            <w:r w:rsidRPr="00CD028B">
              <w:rPr>
                <w:rFonts w:ascii="Arial" w:eastAsia="Times New Roman" w:hAnsi="Arial" w:cs="Arial"/>
                <w:color w:val="000000"/>
                <w:sz w:val="20"/>
                <w:szCs w:val="20"/>
              </w:rPr>
              <w:t>0.94]</w:t>
            </w:r>
          </w:p>
        </w:tc>
        <w:tc>
          <w:tcPr>
            <w:tcW w:w="1838" w:type="dxa"/>
            <w:tcBorders>
              <w:top w:val="nil"/>
              <w:left w:val="nil"/>
              <w:bottom w:val="single" w:sz="4" w:space="0" w:color="auto"/>
              <w:right w:val="single" w:sz="4" w:space="0" w:color="auto"/>
            </w:tcBorders>
            <w:shd w:val="clear" w:color="auto" w:fill="auto"/>
            <w:noWrap/>
            <w:vAlign w:val="center"/>
            <w:hideMark/>
          </w:tcPr>
          <w:p w14:paraId="1B7CA6F9"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-3.13 [-3.86, -2.40]</w:t>
            </w:r>
          </w:p>
        </w:tc>
        <w:tc>
          <w:tcPr>
            <w:tcW w:w="1852" w:type="dxa"/>
            <w:tcBorders>
              <w:top w:val="nil"/>
              <w:left w:val="nil"/>
              <w:bottom w:val="single" w:sz="4" w:space="0" w:color="auto"/>
              <w:right w:val="single" w:sz="4" w:space="0" w:color="auto"/>
            </w:tcBorders>
            <w:shd w:val="clear" w:color="auto" w:fill="auto"/>
            <w:noWrap/>
            <w:vAlign w:val="center"/>
            <w:hideMark/>
          </w:tcPr>
          <w:p w14:paraId="181E63D8"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-2.63 [-3.</w:t>
            </w:r>
            <w:proofErr w:type="gramStart"/>
            <w:r w:rsidRPr="00CD028B">
              <w:rPr>
                <w:rFonts w:ascii="Arial" w:eastAsia="Times New Roman" w:hAnsi="Arial" w:cs="Arial"/>
                <w:color w:val="000000"/>
                <w:sz w:val="20"/>
                <w:szCs w:val="20"/>
              </w:rPr>
              <w:t>04,-</w:t>
            </w:r>
            <w:proofErr w:type="gramEnd"/>
            <w:r w:rsidRPr="00CD028B">
              <w:rPr>
                <w:rFonts w:ascii="Arial" w:eastAsia="Times New Roman" w:hAnsi="Arial" w:cs="Arial"/>
                <w:color w:val="000000"/>
                <w:sz w:val="20"/>
                <w:szCs w:val="20"/>
              </w:rPr>
              <w:t>2.21]</w:t>
            </w:r>
          </w:p>
        </w:tc>
        <w:tc>
          <w:tcPr>
            <w:tcW w:w="1890" w:type="dxa"/>
            <w:tcBorders>
              <w:top w:val="nil"/>
              <w:left w:val="nil"/>
              <w:bottom w:val="single" w:sz="4" w:space="0" w:color="auto"/>
              <w:right w:val="single" w:sz="4" w:space="0" w:color="auto"/>
            </w:tcBorders>
            <w:shd w:val="clear" w:color="auto" w:fill="auto"/>
            <w:noWrap/>
            <w:vAlign w:val="center"/>
            <w:hideMark/>
          </w:tcPr>
          <w:p w14:paraId="60E91096" w14:textId="77777777" w:rsidR="00B724C5" w:rsidRPr="00CD028B" w:rsidRDefault="00B724C5" w:rsidP="00186656">
            <w:pPr>
              <w:jc w:val="center"/>
              <w:rPr>
                <w:rFonts w:ascii="Arial" w:eastAsia="Times New Roman" w:hAnsi="Arial" w:cs="Arial"/>
                <w:color w:val="000000"/>
                <w:sz w:val="20"/>
                <w:szCs w:val="20"/>
              </w:rPr>
            </w:pPr>
            <w:r w:rsidRPr="00CD028B">
              <w:rPr>
                <w:rFonts w:ascii="Arial" w:eastAsia="Times New Roman" w:hAnsi="Arial" w:cs="Arial"/>
                <w:color w:val="000000"/>
                <w:sz w:val="20"/>
                <w:szCs w:val="20"/>
              </w:rPr>
              <w:t>-3.41 [-3.</w:t>
            </w:r>
            <w:proofErr w:type="gramStart"/>
            <w:r w:rsidRPr="00CD028B">
              <w:rPr>
                <w:rFonts w:ascii="Arial" w:eastAsia="Times New Roman" w:hAnsi="Arial" w:cs="Arial"/>
                <w:color w:val="000000"/>
                <w:sz w:val="20"/>
                <w:szCs w:val="20"/>
              </w:rPr>
              <w:t>84,-</w:t>
            </w:r>
            <w:proofErr w:type="gramEnd"/>
            <w:r w:rsidRPr="00CD028B">
              <w:rPr>
                <w:rFonts w:ascii="Arial" w:eastAsia="Times New Roman" w:hAnsi="Arial" w:cs="Arial"/>
                <w:color w:val="000000"/>
                <w:sz w:val="20"/>
                <w:szCs w:val="20"/>
              </w:rPr>
              <w:t>2.97]</w:t>
            </w:r>
          </w:p>
        </w:tc>
      </w:tr>
      <w:tr w:rsidR="00B724C5" w:rsidRPr="00CD028B" w14:paraId="51956D02" w14:textId="77777777" w:rsidTr="00186656">
        <w:trPr>
          <w:trHeight w:val="300"/>
        </w:trPr>
        <w:tc>
          <w:tcPr>
            <w:tcW w:w="13929" w:type="dxa"/>
            <w:gridSpan w:val="8"/>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F036DBB" w14:textId="77777777" w:rsidR="00B724C5" w:rsidRPr="00CD028B" w:rsidRDefault="00B724C5" w:rsidP="00186656">
            <w:pPr>
              <w:rPr>
                <w:rFonts w:ascii="Arial" w:eastAsia="Times New Roman" w:hAnsi="Arial" w:cs="Arial"/>
                <w:color w:val="000000"/>
                <w:sz w:val="16"/>
                <w:szCs w:val="16"/>
              </w:rPr>
            </w:pPr>
            <w:proofErr w:type="spellStart"/>
            <w:r w:rsidRPr="00CD028B">
              <w:rPr>
                <w:rFonts w:ascii="Arial" w:eastAsia="Times New Roman" w:hAnsi="Arial" w:cs="Arial"/>
                <w:color w:val="000000"/>
                <w:sz w:val="16"/>
                <w:szCs w:val="16"/>
                <w:vertAlign w:val="superscript"/>
              </w:rPr>
              <w:t>a</w:t>
            </w:r>
            <w:proofErr w:type="spellEnd"/>
            <w:r w:rsidRPr="00CD028B">
              <w:rPr>
                <w:rFonts w:ascii="Arial" w:eastAsia="Times New Roman" w:hAnsi="Arial" w:cs="Arial"/>
                <w:color w:val="000000"/>
                <w:sz w:val="16"/>
                <w:szCs w:val="16"/>
              </w:rPr>
              <w:t xml:space="preserve"> Evaluated at average baseline outcome and for average Oral PPS and Hydroxyzine Trial participant (White=.</w:t>
            </w:r>
            <w:proofErr w:type="gramStart"/>
            <w:r w:rsidRPr="00CD028B">
              <w:rPr>
                <w:rFonts w:ascii="Arial" w:eastAsia="Times New Roman" w:hAnsi="Arial" w:cs="Arial"/>
                <w:color w:val="000000"/>
                <w:sz w:val="16"/>
                <w:szCs w:val="16"/>
              </w:rPr>
              <w:t>843,Age</w:t>
            </w:r>
            <w:proofErr w:type="gramEnd"/>
            <w:r w:rsidRPr="00CD028B">
              <w:rPr>
                <w:rFonts w:ascii="Arial" w:eastAsia="Times New Roman" w:hAnsi="Arial" w:cs="Arial"/>
                <w:color w:val="000000"/>
                <w:sz w:val="16"/>
                <w:szCs w:val="16"/>
              </w:rPr>
              <w:t>=45.9,Female=.893)</w:t>
            </w:r>
          </w:p>
        </w:tc>
      </w:tr>
      <w:tr w:rsidR="00B724C5" w:rsidRPr="00CD028B" w14:paraId="16E59D81" w14:textId="77777777" w:rsidTr="00186656">
        <w:trPr>
          <w:trHeight w:val="300"/>
        </w:trPr>
        <w:tc>
          <w:tcPr>
            <w:tcW w:w="13929" w:type="dxa"/>
            <w:gridSpan w:val="8"/>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C83C9E7" w14:textId="77777777" w:rsidR="00B724C5" w:rsidRPr="00CD028B" w:rsidRDefault="00B724C5" w:rsidP="00186656">
            <w:pPr>
              <w:rPr>
                <w:rFonts w:ascii="Arial" w:eastAsia="Times New Roman" w:hAnsi="Arial" w:cs="Arial"/>
                <w:color w:val="000000"/>
                <w:sz w:val="16"/>
                <w:szCs w:val="16"/>
              </w:rPr>
            </w:pPr>
            <w:r w:rsidRPr="00CD028B">
              <w:rPr>
                <w:rFonts w:ascii="Arial" w:eastAsia="Times New Roman" w:hAnsi="Arial" w:cs="Arial"/>
                <w:color w:val="000000"/>
                <w:sz w:val="16"/>
                <w:szCs w:val="16"/>
                <w:vertAlign w:val="superscript"/>
              </w:rPr>
              <w:t xml:space="preserve">b </w:t>
            </w:r>
            <w:r w:rsidRPr="00CD028B">
              <w:rPr>
                <w:rFonts w:ascii="Arial" w:eastAsia="Times New Roman" w:hAnsi="Arial" w:cs="Arial"/>
                <w:color w:val="000000"/>
                <w:sz w:val="16"/>
                <w:szCs w:val="16"/>
              </w:rPr>
              <w:t>Evaluated at average baseline outcome and for average Intravesical BCG Trial participant (White=.</w:t>
            </w:r>
            <w:proofErr w:type="gramStart"/>
            <w:r w:rsidRPr="00CD028B">
              <w:rPr>
                <w:rFonts w:ascii="Arial" w:eastAsia="Times New Roman" w:hAnsi="Arial" w:cs="Arial"/>
                <w:color w:val="000000"/>
                <w:sz w:val="16"/>
                <w:szCs w:val="16"/>
              </w:rPr>
              <w:t>868,Age</w:t>
            </w:r>
            <w:proofErr w:type="gramEnd"/>
            <w:r w:rsidRPr="00CD028B">
              <w:rPr>
                <w:rFonts w:ascii="Arial" w:eastAsia="Times New Roman" w:hAnsi="Arial" w:cs="Arial"/>
                <w:color w:val="000000"/>
                <w:sz w:val="16"/>
                <w:szCs w:val="16"/>
              </w:rPr>
              <w:t>=47.65,Female=.819)</w:t>
            </w:r>
          </w:p>
        </w:tc>
      </w:tr>
      <w:tr w:rsidR="00B724C5" w:rsidRPr="00CD028B" w14:paraId="5A0F7D6A" w14:textId="77777777" w:rsidTr="00186656">
        <w:trPr>
          <w:trHeight w:val="300"/>
        </w:trPr>
        <w:tc>
          <w:tcPr>
            <w:tcW w:w="13929" w:type="dxa"/>
            <w:gridSpan w:val="8"/>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1D817A3" w14:textId="77777777" w:rsidR="00B724C5" w:rsidRPr="00CD028B" w:rsidRDefault="00B724C5" w:rsidP="00186656">
            <w:pPr>
              <w:rPr>
                <w:rFonts w:ascii="Arial" w:eastAsia="Times New Roman" w:hAnsi="Arial" w:cs="Arial"/>
                <w:color w:val="000000"/>
                <w:sz w:val="16"/>
                <w:szCs w:val="16"/>
              </w:rPr>
            </w:pPr>
            <w:r w:rsidRPr="00CD028B">
              <w:rPr>
                <w:rFonts w:ascii="Arial" w:eastAsia="Times New Roman" w:hAnsi="Arial" w:cs="Arial"/>
                <w:color w:val="000000"/>
                <w:sz w:val="16"/>
                <w:szCs w:val="16"/>
                <w:vertAlign w:val="superscript"/>
              </w:rPr>
              <w:t>c</w:t>
            </w:r>
            <w:r w:rsidRPr="00CD028B">
              <w:rPr>
                <w:rFonts w:ascii="Arial" w:eastAsia="Times New Roman" w:hAnsi="Arial" w:cs="Arial"/>
                <w:color w:val="000000"/>
                <w:sz w:val="16"/>
                <w:szCs w:val="16"/>
              </w:rPr>
              <w:t xml:space="preserve"> Evaluated at average baseline outcome and for average Oral Amitriptyline with EBMP Trial participant (White=.</w:t>
            </w:r>
            <w:proofErr w:type="gramStart"/>
            <w:r w:rsidRPr="00CD028B">
              <w:rPr>
                <w:rFonts w:ascii="Arial" w:eastAsia="Times New Roman" w:hAnsi="Arial" w:cs="Arial"/>
                <w:color w:val="000000"/>
                <w:sz w:val="16"/>
                <w:szCs w:val="16"/>
              </w:rPr>
              <w:t>716,Age</w:t>
            </w:r>
            <w:proofErr w:type="gramEnd"/>
            <w:r w:rsidRPr="00CD028B">
              <w:rPr>
                <w:rFonts w:ascii="Arial" w:eastAsia="Times New Roman" w:hAnsi="Arial" w:cs="Arial"/>
                <w:color w:val="000000"/>
                <w:sz w:val="16"/>
                <w:szCs w:val="16"/>
              </w:rPr>
              <w:t>=39.01,Female=.833)</w:t>
            </w:r>
          </w:p>
        </w:tc>
      </w:tr>
    </w:tbl>
    <w:p w14:paraId="1F4B2401" w14:textId="77777777" w:rsidR="00B724C5" w:rsidRDefault="00B724C5" w:rsidP="00B724C5">
      <w:pPr>
        <w:ind w:right="-720"/>
        <w:outlineLvl w:val="0"/>
        <w:rPr>
          <w:rFonts w:eastAsiaTheme="majorEastAsia" w:cstheme="minorHAnsi"/>
          <w:b/>
        </w:rPr>
        <w:sectPr w:rsidR="00B724C5" w:rsidSect="006352B8">
          <w:pgSz w:w="15840" w:h="12240" w:orient="landscape"/>
          <w:pgMar w:top="1440" w:right="1440" w:bottom="1440" w:left="1440" w:header="720" w:footer="720" w:gutter="0"/>
          <w:cols w:space="720"/>
          <w:docGrid w:linePitch="360"/>
        </w:sectPr>
      </w:pPr>
    </w:p>
    <w:p w14:paraId="20B0F256" w14:textId="77777777" w:rsidR="00B724C5" w:rsidRPr="00DD3949" w:rsidRDefault="00B724C5" w:rsidP="00B724C5">
      <w:pPr>
        <w:pStyle w:val="Heading1"/>
        <w:rPr>
          <w:rFonts w:asciiTheme="majorHAnsi" w:hAnsiTheme="majorHAnsi"/>
          <w:color w:val="2F5496" w:themeColor="accent1" w:themeShade="BF"/>
        </w:rPr>
      </w:pPr>
      <w:bookmarkStart w:id="42" w:name="_Toc110274198"/>
      <w:bookmarkStart w:id="43" w:name="_Toc123674528"/>
      <w:bookmarkEnd w:id="39"/>
      <w:r>
        <w:lastRenderedPageBreak/>
        <w:t xml:space="preserve">Supplementary </w:t>
      </w:r>
      <w:r w:rsidRPr="00DD3949">
        <w:t>References</w:t>
      </w:r>
      <w:bookmarkEnd w:id="42"/>
      <w:bookmarkEnd w:id="43"/>
    </w:p>
    <w:p w14:paraId="3F4D9B05" w14:textId="77777777" w:rsidR="00B724C5" w:rsidRPr="00C00638" w:rsidRDefault="00B724C5" w:rsidP="00B724C5">
      <w:pPr>
        <w:pStyle w:val="EndNoteBibliographyTitle"/>
        <w:tabs>
          <w:tab w:val="left" w:pos="540"/>
        </w:tabs>
        <w:ind w:left="540" w:hanging="540"/>
      </w:pPr>
      <w:r w:rsidRPr="002C3785">
        <w:rPr>
          <w:sz w:val="22"/>
        </w:rPr>
        <w:fldChar w:fldCharType="begin"/>
      </w:r>
      <w:r w:rsidRPr="00DD3949">
        <w:instrText xml:space="preserve"> ADDIN EN.REFLIST </w:instrText>
      </w:r>
      <w:r w:rsidRPr="002C3785">
        <w:rPr>
          <w:sz w:val="22"/>
        </w:rPr>
        <w:fldChar w:fldCharType="separate"/>
      </w:r>
    </w:p>
    <w:p w14:paraId="1F40D720" w14:textId="77777777" w:rsidR="00B724C5" w:rsidRPr="00C00638" w:rsidRDefault="00B724C5" w:rsidP="00B724C5">
      <w:pPr>
        <w:pStyle w:val="EndNoteBibliography"/>
        <w:tabs>
          <w:tab w:val="left" w:pos="540"/>
        </w:tabs>
        <w:ind w:left="540" w:hanging="540"/>
      </w:pPr>
      <w:r w:rsidRPr="00C00638">
        <w:t>1.</w:t>
      </w:r>
      <w:r w:rsidRPr="00C00638">
        <w:tab/>
        <w:t xml:space="preserve">Wilkerson MD, Hayes DN. ConsensusClusterPlus: a class discovery tool with confidence assessments and item tracking. </w:t>
      </w:r>
      <w:r w:rsidRPr="00C00638">
        <w:rPr>
          <w:i/>
        </w:rPr>
        <w:t>Bioinformatics</w:t>
      </w:r>
      <w:r w:rsidRPr="00C00638">
        <w:t>. Jun 15 2010;26(12):1572-3. doi:10.1093/bioinformatics/btq170</w:t>
      </w:r>
    </w:p>
    <w:p w14:paraId="1589A4F8" w14:textId="77777777" w:rsidR="00B724C5" w:rsidRPr="00C00638" w:rsidRDefault="00B724C5" w:rsidP="00B724C5">
      <w:pPr>
        <w:pStyle w:val="EndNoteBibliography"/>
        <w:tabs>
          <w:tab w:val="left" w:pos="540"/>
        </w:tabs>
        <w:ind w:left="540" w:hanging="540"/>
      </w:pPr>
      <w:r w:rsidRPr="00C00638">
        <w:t>2.</w:t>
      </w:r>
      <w:r w:rsidRPr="00C00638">
        <w:tab/>
        <w:t xml:space="preserve">Monti S, Tamayo P, Mesirov J, Golub T. Consensus Clustering: A Resampling-Based Method for Class Discovery and Visualization of Gene Expression Microarray Data. </w:t>
      </w:r>
      <w:r w:rsidRPr="00C00638">
        <w:rPr>
          <w:i/>
        </w:rPr>
        <w:t>Machine Learning</w:t>
      </w:r>
      <w:r w:rsidRPr="00C00638">
        <w:t>. 2003/07/01 2003;52(1):91-118. doi:10.1023/A:1023949509487</w:t>
      </w:r>
    </w:p>
    <w:p w14:paraId="5C8A765D" w14:textId="77777777" w:rsidR="00B724C5" w:rsidRPr="00C00638" w:rsidRDefault="00B724C5" w:rsidP="00B724C5">
      <w:pPr>
        <w:pStyle w:val="EndNoteBibliography"/>
        <w:tabs>
          <w:tab w:val="left" w:pos="540"/>
        </w:tabs>
        <w:ind w:left="540" w:hanging="540"/>
      </w:pPr>
      <w:r w:rsidRPr="00C00638">
        <w:t>3.</w:t>
      </w:r>
      <w:r w:rsidRPr="00C00638">
        <w:tab/>
        <w:t xml:space="preserve">O'Leary MP, Sant GR, Fowler Jr FJ, Whitmore KE, Spolarich-Kroll J. The interstitial cystitis symptom index and problem index. </w:t>
      </w:r>
      <w:r w:rsidRPr="00C00638">
        <w:rPr>
          <w:i/>
        </w:rPr>
        <w:t>Urology</w:t>
      </w:r>
      <w:r w:rsidRPr="00C00638">
        <w:t xml:space="preserve">. 1997;49(5):58-63. </w:t>
      </w:r>
    </w:p>
    <w:p w14:paraId="46EBB76F" w14:textId="77777777" w:rsidR="00B724C5" w:rsidRPr="00C00638" w:rsidRDefault="00B724C5" w:rsidP="00B724C5">
      <w:pPr>
        <w:pStyle w:val="EndNoteBibliography"/>
        <w:tabs>
          <w:tab w:val="left" w:pos="540"/>
        </w:tabs>
        <w:ind w:left="540" w:hanging="540"/>
      </w:pPr>
      <w:r w:rsidRPr="00C00638">
        <w:t>4.</w:t>
      </w:r>
      <w:r w:rsidRPr="00C00638">
        <w:tab/>
        <w:t xml:space="preserve">Goin JE, Olaleye D, Peters KM, Steinert B, Habicht K, Wynant G. Psychometric analysis of the university of Wisconsin interstitial cystitis scale: Implications for use in randomized clinical trials. </w:t>
      </w:r>
      <w:r w:rsidRPr="00C00638">
        <w:rPr>
          <w:i/>
        </w:rPr>
        <w:t>J Urol</w:t>
      </w:r>
      <w:r w:rsidRPr="00C00638">
        <w:t>. Mar 1998;159(3):1085-1090. doi:Doi 10.1016/S0022-5347(01)63840-0</w:t>
      </w:r>
    </w:p>
    <w:p w14:paraId="5BE8FB82" w14:textId="77777777" w:rsidR="00B724C5" w:rsidRPr="00C00638" w:rsidRDefault="00B724C5" w:rsidP="00B724C5">
      <w:pPr>
        <w:pStyle w:val="EndNoteBibliography"/>
        <w:tabs>
          <w:tab w:val="left" w:pos="540"/>
        </w:tabs>
        <w:ind w:left="540" w:hanging="540"/>
      </w:pPr>
      <w:r w:rsidRPr="00C00638">
        <w:t>5.</w:t>
      </w:r>
      <w:r w:rsidRPr="00C00638">
        <w:tab/>
        <w:t xml:space="preserve">Senbabaoglu Y, Michailidis G, Li JZ. Critical limitations of consensus clustering in class discovery. </w:t>
      </w:r>
      <w:r w:rsidRPr="00C00638">
        <w:rPr>
          <w:i/>
        </w:rPr>
        <w:t>Sci Rep-Uk</w:t>
      </w:r>
      <w:r w:rsidRPr="00C00638">
        <w:t>. Aug 27 2014;4:6207. doi:10.1038/srep06207</w:t>
      </w:r>
    </w:p>
    <w:p w14:paraId="1405906F" w14:textId="77777777" w:rsidR="00B724C5" w:rsidRPr="00C00638" w:rsidRDefault="00B724C5" w:rsidP="00B724C5">
      <w:pPr>
        <w:pStyle w:val="EndNoteBibliography"/>
        <w:tabs>
          <w:tab w:val="left" w:pos="540"/>
        </w:tabs>
        <w:ind w:left="540" w:hanging="540"/>
      </w:pPr>
      <w:r w:rsidRPr="00C00638">
        <w:t>6.</w:t>
      </w:r>
      <w:r w:rsidRPr="00C00638">
        <w:tab/>
        <w:t xml:space="preserve">Warnes GR, Bolker B, Bonebakker L, et al. gplots: Various R programming tools for plotting data. </w:t>
      </w:r>
      <w:r w:rsidRPr="00C00638">
        <w:rPr>
          <w:i/>
        </w:rPr>
        <w:t>R package version</w:t>
      </w:r>
      <w:r w:rsidRPr="00C00638">
        <w:t xml:space="preserve">. 2009;2(4):1. </w:t>
      </w:r>
    </w:p>
    <w:p w14:paraId="34829C83" w14:textId="77777777" w:rsidR="00B724C5" w:rsidRPr="00C00638" w:rsidRDefault="00B724C5" w:rsidP="00B724C5">
      <w:pPr>
        <w:pStyle w:val="EndNoteBibliography"/>
        <w:tabs>
          <w:tab w:val="left" w:pos="540"/>
        </w:tabs>
        <w:ind w:left="540" w:hanging="540"/>
      </w:pPr>
      <w:r w:rsidRPr="00C00638">
        <w:t>7.</w:t>
      </w:r>
      <w:r w:rsidRPr="00C00638">
        <w:tab/>
        <w:t xml:space="preserve">Gallop RJ, Crits-Christoph P, Muenz LR, Tu XM. Determination and Interpretation of the Optimal Operating Point for ROC Curves Derived Through Generalized Linear Models. </w:t>
      </w:r>
      <w:r w:rsidRPr="00C00638">
        <w:rPr>
          <w:i/>
        </w:rPr>
        <w:t>Understanding Statistics</w:t>
      </w:r>
      <w:r w:rsidRPr="00C00638">
        <w:t>. 2003/11/01 2003;2(4):219-242. doi:10.1207/S15328031US0204_01</w:t>
      </w:r>
    </w:p>
    <w:p w14:paraId="11BB0B2F" w14:textId="77777777" w:rsidR="00B724C5" w:rsidRPr="00C00638" w:rsidRDefault="00B724C5" w:rsidP="00B724C5">
      <w:pPr>
        <w:pStyle w:val="EndNoteBibliography"/>
        <w:tabs>
          <w:tab w:val="left" w:pos="540"/>
        </w:tabs>
        <w:ind w:left="540" w:hanging="540"/>
      </w:pPr>
      <w:r w:rsidRPr="00C00638">
        <w:t>8.</w:t>
      </w:r>
      <w:r w:rsidRPr="00C00638">
        <w:tab/>
        <w:t xml:space="preserve">Youden WJ. Index for rating diagnostic tests. </w:t>
      </w:r>
      <w:r w:rsidRPr="00C00638">
        <w:rPr>
          <w:i/>
        </w:rPr>
        <w:t>Cancer</w:t>
      </w:r>
      <w:r w:rsidRPr="00C00638">
        <w:t xml:space="preserve">. 1950;3(1):32-35. </w:t>
      </w:r>
    </w:p>
    <w:p w14:paraId="4FA8C963" w14:textId="77777777" w:rsidR="00B724C5" w:rsidRPr="00C00638" w:rsidRDefault="00B724C5" w:rsidP="00B724C5">
      <w:pPr>
        <w:pStyle w:val="EndNoteBibliography"/>
        <w:tabs>
          <w:tab w:val="left" w:pos="540"/>
        </w:tabs>
        <w:ind w:left="540" w:hanging="540"/>
      </w:pPr>
      <w:r w:rsidRPr="00C00638">
        <w:t>9.</w:t>
      </w:r>
      <w:r w:rsidRPr="00C00638">
        <w:tab/>
        <w:t xml:space="preserve">Schenker N, Taylor JMG. Partially parametric techniques for multiple imputation. </w:t>
      </w:r>
      <w:r w:rsidRPr="00C00638">
        <w:rPr>
          <w:i/>
        </w:rPr>
        <w:t>Comput Stat Data An</w:t>
      </w:r>
      <w:r w:rsidRPr="00C00638">
        <w:t>. Aug 10 1996;22(4):425-446. doi:Doi 10.1016/0167-9473(95)00057-7</w:t>
      </w:r>
    </w:p>
    <w:p w14:paraId="1942C777" w14:textId="77777777" w:rsidR="00B724C5" w:rsidRPr="00C00638" w:rsidRDefault="00B724C5" w:rsidP="00B724C5">
      <w:pPr>
        <w:pStyle w:val="EndNoteBibliography"/>
        <w:tabs>
          <w:tab w:val="left" w:pos="540"/>
        </w:tabs>
        <w:ind w:left="540" w:hanging="540"/>
      </w:pPr>
      <w:r w:rsidRPr="00C00638">
        <w:t>10.</w:t>
      </w:r>
      <w:r w:rsidRPr="00C00638">
        <w:tab/>
        <w:t xml:space="preserve">Van Buuren S. </w:t>
      </w:r>
      <w:r w:rsidRPr="00C00638">
        <w:rPr>
          <w:i/>
        </w:rPr>
        <w:t>Flexible Imputation of Missing Data.</w:t>
      </w:r>
      <w:r w:rsidRPr="00C00638">
        <w:t xml:space="preserve"> Chapman &amp; Hall/CRC.; 2012.</w:t>
      </w:r>
    </w:p>
    <w:p w14:paraId="31EAD44F" w14:textId="77777777" w:rsidR="00B724C5" w:rsidRPr="00C00638" w:rsidRDefault="00B724C5" w:rsidP="00B724C5">
      <w:pPr>
        <w:pStyle w:val="EndNoteBibliography"/>
        <w:tabs>
          <w:tab w:val="left" w:pos="540"/>
        </w:tabs>
        <w:ind w:left="540" w:hanging="540"/>
      </w:pPr>
      <w:r w:rsidRPr="00C00638">
        <w:t>11.</w:t>
      </w:r>
      <w:r w:rsidRPr="00C00638">
        <w:tab/>
        <w:t>Rubin DB.</w:t>
      </w:r>
      <w:r w:rsidRPr="00C00638">
        <w:rPr>
          <w:i/>
        </w:rPr>
        <w:t xml:space="preserve"> Multiple Imputation for Nonresponse in Surveys.</w:t>
      </w:r>
      <w:r w:rsidRPr="00C00638">
        <w:t xml:space="preserve"> John Wiley &amp; Sons; 1987.</w:t>
      </w:r>
    </w:p>
    <w:p w14:paraId="18DF9765" w14:textId="77777777" w:rsidR="00B724C5" w:rsidRPr="00C00638" w:rsidRDefault="00B724C5" w:rsidP="00B724C5">
      <w:pPr>
        <w:pStyle w:val="EndNoteBibliography"/>
        <w:tabs>
          <w:tab w:val="left" w:pos="540"/>
        </w:tabs>
        <w:ind w:left="540" w:hanging="540"/>
      </w:pPr>
      <w:r w:rsidRPr="00C00638">
        <w:t>12.</w:t>
      </w:r>
      <w:r w:rsidRPr="00C00638">
        <w:tab/>
        <w:t xml:space="preserve">Wickham H. </w:t>
      </w:r>
      <w:r w:rsidRPr="00C00638">
        <w:rPr>
          <w:i/>
        </w:rPr>
        <w:t>ggplot2: Elegant Graphics for Data Analysis.</w:t>
      </w:r>
      <w:r w:rsidRPr="00C00638">
        <w:t xml:space="preserve"> Springer-Verlag; 2016.</w:t>
      </w:r>
    </w:p>
    <w:p w14:paraId="54BFB61D" w14:textId="77777777" w:rsidR="00B724C5" w:rsidRPr="00C00638" w:rsidRDefault="00B724C5" w:rsidP="00B724C5">
      <w:pPr>
        <w:pStyle w:val="EndNoteBibliography"/>
        <w:tabs>
          <w:tab w:val="left" w:pos="540"/>
        </w:tabs>
        <w:ind w:left="540" w:hanging="540"/>
      </w:pPr>
      <w:r w:rsidRPr="00C00638">
        <w:t>13.</w:t>
      </w:r>
      <w:r w:rsidRPr="00C00638">
        <w:tab/>
        <w:t xml:space="preserve">Laupacis A, Sackett DL, Roberts RS. An assessment of clinically useful measures of the consequences of treatment. </w:t>
      </w:r>
      <w:r w:rsidRPr="00C00638">
        <w:rPr>
          <w:i/>
        </w:rPr>
        <w:t>New England journal of medicine</w:t>
      </w:r>
      <w:r w:rsidRPr="00C00638">
        <w:t xml:space="preserve">. 1988;318(26):1728-1733. </w:t>
      </w:r>
    </w:p>
    <w:p w14:paraId="59BA47C2" w14:textId="77777777" w:rsidR="00B724C5" w:rsidRPr="00C00638" w:rsidRDefault="00B724C5" w:rsidP="00B724C5">
      <w:pPr>
        <w:pStyle w:val="EndNoteBibliography"/>
        <w:tabs>
          <w:tab w:val="left" w:pos="540"/>
        </w:tabs>
        <w:ind w:left="540" w:hanging="540"/>
      </w:pPr>
      <w:r w:rsidRPr="00C00638">
        <w:t>14.</w:t>
      </w:r>
      <w:r w:rsidRPr="00C00638">
        <w:tab/>
        <w:t xml:space="preserve">Hollander M, Wolfe DA, Chicken E. </w:t>
      </w:r>
      <w:r w:rsidRPr="00C00638">
        <w:rPr>
          <w:i/>
        </w:rPr>
        <w:t>Nonparametric statistical methods</w:t>
      </w:r>
      <w:r w:rsidRPr="00C00638">
        <w:t>. John Wiley &amp; Sons; 2013.</w:t>
      </w:r>
    </w:p>
    <w:p w14:paraId="5A5FB36B" w14:textId="77777777" w:rsidR="00B724C5" w:rsidRDefault="00B724C5" w:rsidP="00B724C5">
      <w:r w:rsidRPr="002C3785">
        <w:rPr>
          <w:rFonts w:ascii="Times New Roman" w:hAnsi="Times New Roman" w:cs="Times New Roman"/>
          <w:sz w:val="20"/>
        </w:rPr>
        <w:fldChar w:fldCharType="end"/>
      </w:r>
    </w:p>
    <w:p w14:paraId="6BBCB95C" w14:textId="77777777" w:rsidR="003B6600" w:rsidRDefault="003B6600"/>
    <w:sectPr w:rsidR="003B6600" w:rsidSect="001824BA">
      <w:pgSz w:w="12240" w:h="15840"/>
      <w:pgMar w:top="1440" w:right="1440" w:bottom="1440" w:left="1440" w:header="720" w:footer="33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4852022"/>
      <w:docPartObj>
        <w:docPartGallery w:val="Page Numbers (Bottom of Page)"/>
        <w:docPartUnique/>
      </w:docPartObj>
    </w:sdtPr>
    <w:sdtEndPr>
      <w:rPr>
        <w:noProof/>
      </w:rPr>
    </w:sdtEndPr>
    <w:sdtContent>
      <w:p w14:paraId="4F9331D0" w14:textId="77777777" w:rsidR="007B0763"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CEAD76C" w14:textId="77777777" w:rsidR="007B0763"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4C5"/>
    <w:rsid w:val="003B6600"/>
    <w:rsid w:val="00B724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BAA2F"/>
  <w15:chartTrackingRefBased/>
  <w15:docId w15:val="{E7776259-EE2D-4E12-9E06-DEEDF866E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24C5"/>
    <w:pPr>
      <w:spacing w:after="0" w:line="240" w:lineRule="auto"/>
    </w:pPr>
    <w:rPr>
      <w:sz w:val="24"/>
      <w:szCs w:val="24"/>
    </w:rPr>
  </w:style>
  <w:style w:type="paragraph" w:styleId="Heading1">
    <w:name w:val="heading 1"/>
    <w:basedOn w:val="Normal"/>
    <w:link w:val="Heading1Char"/>
    <w:uiPriority w:val="9"/>
    <w:qFormat/>
    <w:rsid w:val="00B724C5"/>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B724C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724C5"/>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24C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B724C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B724C5"/>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B724C5"/>
    <w:rPr>
      <w:color w:val="0563C1" w:themeColor="hyperlink"/>
      <w:u w:val="single"/>
    </w:rPr>
  </w:style>
  <w:style w:type="paragraph" w:styleId="Footer">
    <w:name w:val="footer"/>
    <w:basedOn w:val="Normal"/>
    <w:link w:val="FooterChar"/>
    <w:uiPriority w:val="99"/>
    <w:unhideWhenUsed/>
    <w:rsid w:val="00B724C5"/>
    <w:pPr>
      <w:tabs>
        <w:tab w:val="center" w:pos="4680"/>
        <w:tab w:val="right" w:pos="9360"/>
      </w:tabs>
    </w:pPr>
  </w:style>
  <w:style w:type="character" w:customStyle="1" w:styleId="FooterChar">
    <w:name w:val="Footer Char"/>
    <w:basedOn w:val="DefaultParagraphFont"/>
    <w:link w:val="Footer"/>
    <w:uiPriority w:val="99"/>
    <w:rsid w:val="00B724C5"/>
    <w:rPr>
      <w:sz w:val="24"/>
      <w:szCs w:val="24"/>
    </w:rPr>
  </w:style>
  <w:style w:type="paragraph" w:customStyle="1" w:styleId="EndNoteBibliographyTitle">
    <w:name w:val="EndNote Bibliography Title"/>
    <w:basedOn w:val="Normal"/>
    <w:link w:val="EndNoteBibliographyTitleChar"/>
    <w:rsid w:val="00B724C5"/>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B724C5"/>
    <w:rPr>
      <w:rFonts w:ascii="Calibri" w:hAnsi="Calibri" w:cs="Calibri"/>
      <w:noProof/>
      <w:sz w:val="24"/>
      <w:szCs w:val="24"/>
    </w:rPr>
  </w:style>
  <w:style w:type="paragraph" w:customStyle="1" w:styleId="EndNoteBibliography">
    <w:name w:val="EndNote Bibliography"/>
    <w:basedOn w:val="Normal"/>
    <w:link w:val="EndNoteBibliographyChar"/>
    <w:rsid w:val="00B724C5"/>
    <w:rPr>
      <w:rFonts w:ascii="Calibri" w:hAnsi="Calibri" w:cs="Calibri"/>
      <w:noProof/>
    </w:rPr>
  </w:style>
  <w:style w:type="character" w:customStyle="1" w:styleId="EndNoteBibliographyChar">
    <w:name w:val="EndNote Bibliography Char"/>
    <w:basedOn w:val="DefaultParagraphFont"/>
    <w:link w:val="EndNoteBibliography"/>
    <w:rsid w:val="00B724C5"/>
    <w:rPr>
      <w:rFonts w:ascii="Calibri" w:hAnsi="Calibri" w:cs="Calibri"/>
      <w:noProof/>
      <w:sz w:val="24"/>
      <w:szCs w:val="24"/>
    </w:rPr>
  </w:style>
  <w:style w:type="table" w:styleId="TableGrid">
    <w:name w:val="Table Grid"/>
    <w:basedOn w:val="TableNormal"/>
    <w:uiPriority w:val="39"/>
    <w:rsid w:val="00B724C5"/>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B724C5"/>
    <w:pPr>
      <w:keepNext/>
      <w:keepLines/>
      <w:spacing w:before="240" w:beforeAutospacing="0" w:after="0" w:afterAutospacing="0" w:line="259" w:lineRule="auto"/>
      <w:outlineLvl w:val="9"/>
    </w:pPr>
    <w:rPr>
      <w:rFonts w:eastAsiaTheme="majorEastAsia" w:cstheme="majorBidi"/>
      <w:bCs w:val="0"/>
      <w:kern w:val="0"/>
      <w:sz w:val="24"/>
      <w:szCs w:val="32"/>
    </w:rPr>
  </w:style>
  <w:style w:type="paragraph" w:styleId="TOC1">
    <w:name w:val="toc 1"/>
    <w:basedOn w:val="Normal"/>
    <w:next w:val="Normal"/>
    <w:autoRedefine/>
    <w:uiPriority w:val="39"/>
    <w:unhideWhenUsed/>
    <w:rsid w:val="00B724C5"/>
    <w:pPr>
      <w:spacing w:after="100" w:line="259" w:lineRule="auto"/>
    </w:pPr>
    <w:rPr>
      <w:sz w:val="22"/>
      <w:szCs w:val="22"/>
    </w:rPr>
  </w:style>
  <w:style w:type="paragraph" w:styleId="TOC2">
    <w:name w:val="toc 2"/>
    <w:basedOn w:val="Normal"/>
    <w:next w:val="Normal"/>
    <w:autoRedefine/>
    <w:uiPriority w:val="39"/>
    <w:unhideWhenUsed/>
    <w:rsid w:val="00B724C5"/>
    <w:pPr>
      <w:tabs>
        <w:tab w:val="right" w:leader="dot" w:pos="9350"/>
      </w:tabs>
      <w:spacing w:after="100" w:line="259" w:lineRule="auto"/>
      <w:ind w:left="220"/>
    </w:pPr>
    <w:rPr>
      <w:rFonts w:ascii="Times New Roman" w:hAnsi="Times New Roman" w:cs="Times New Roman"/>
      <w:i/>
      <w:noProo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image" Target="media/image10.TI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tif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5" Type="http://schemas.openxmlformats.org/officeDocument/2006/relationships/fontTable" Target="fontTable.xml"/><Relationship Id="rId10" Type="http://schemas.openxmlformats.org/officeDocument/2006/relationships/image" Target="media/image7.TI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6641</Words>
  <Characters>37856</Characters>
  <Application>Microsoft Office Word</Application>
  <DocSecurity>0</DocSecurity>
  <Lines>315</Lines>
  <Paragraphs>88</Paragraphs>
  <ScaleCrop>false</ScaleCrop>
  <Company/>
  <LinksUpToDate>false</LinksUpToDate>
  <CharactersWithSpaces>44409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2023-02-22T21:05:00Z</dcterms:created>
  <dcterms:modified xsi:type="dcterms:W3CDTF">2023-02-22T21:05:00Z</dcterms:modified>
</cp:coreProperties>
</file>