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sz w:val="24"/>
          <w:szCs w:val="24"/>
        </w:rPr>
        <w:t>Supplement Figure 1.</w:t>
      </w: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bookmarkStart w:id="0" w:name="_GoBack"/>
      <w:r>
        <w:rPr>
          <w:rFonts w:hint="default" w:ascii="Times New Roman Regular" w:hAnsi="Times New Roman Regular" w:cs="Times New Roman Regular"/>
          <w:sz w:val="24"/>
          <w:szCs w:val="24"/>
        </w:rPr>
        <w:drawing>
          <wp:inline distT="0" distB="0" distL="114300" distR="114300">
            <wp:extent cx="4250690" cy="3773805"/>
            <wp:effectExtent l="0" t="0" r="16510" b="10795"/>
            <wp:docPr id="4" name="图片 4" descr="/Users/wst/工作/乳酸化/1Figure/supplyment figure 1.tifsupplyment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wst/工作/乳酸化/1Figure/supplyment figure 1.tifsupplyment figure 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eastAsia" w:ascii="Times New Roman Regular" w:hAnsi="Times New Roman Regular" w:cs="Times New Roman Regular"/>
          <w:sz w:val="24"/>
          <w:szCs w:val="24"/>
          <w:lang w:val="en-US" w:eastAsia="zh-Hans"/>
        </w:rPr>
        <w:t>H</w:t>
      </w:r>
      <w:r>
        <w:rPr>
          <w:rFonts w:hint="default" w:ascii="Times New Roman Regular" w:hAnsi="Times New Roman Regular" w:cs="Times New Roman Regular"/>
          <w:sz w:val="24"/>
          <w:szCs w:val="24"/>
        </w:rPr>
        <w:t xml:space="preserve">alf maximal inhibitory concentration (IC50) of 2-DG and oxamate in Ishikawa and KLE cells. (A) The IC50 of 2-DG and oxamate in Ishikawa cells. (B) The IC50 of 2-DG and oxamate in KLE cells. </w:t>
      </w: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sz w:val="24"/>
          <w:szCs w:val="24"/>
        </w:rPr>
        <w:t>Supplement Figure 2.</w:t>
      </w: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sz w:val="24"/>
          <w:szCs w:val="24"/>
        </w:rPr>
        <w:drawing>
          <wp:inline distT="0" distB="0" distL="114300" distR="114300">
            <wp:extent cx="5041265" cy="3950335"/>
            <wp:effectExtent l="0" t="0" r="13335" b="12065"/>
            <wp:docPr id="1" name="图片 1" descr="supplyment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yment fig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sz w:val="24"/>
          <w:szCs w:val="24"/>
        </w:rPr>
        <w:t>The productions of ChiP-qPCR are the length of 100~250 bp. (A) The DNA gel images about ChiP-qPCR productions of untreated Ishikawa and Ishikawa treated with 2-DG. (B) The DNA gel images about ChiP-qPCR productions of untreated KLE and KLE treated with 2-DG.</w:t>
      </w:r>
    </w:p>
    <w:p>
      <w:pPr>
        <w:spacing w:line="360" w:lineRule="auto"/>
        <w:jc w:val="left"/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spacing w:line="360" w:lineRule="auto"/>
        <w:jc w:val="left"/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spacing w:line="360" w:lineRule="auto"/>
        <w:jc w:val="left"/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spacing w:line="360" w:lineRule="auto"/>
        <w:jc w:val="left"/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spacing w:line="360" w:lineRule="auto"/>
        <w:jc w:val="left"/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spacing w:line="360" w:lineRule="auto"/>
        <w:jc w:val="left"/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spacing w:line="360" w:lineRule="auto"/>
        <w:jc w:val="left"/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spacing w:line="360" w:lineRule="auto"/>
        <w:jc w:val="left"/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spacing w:line="360" w:lineRule="auto"/>
        <w:jc w:val="left"/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spacing w:line="360" w:lineRule="auto"/>
        <w:jc w:val="left"/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sz w:val="24"/>
          <w:szCs w:val="24"/>
        </w:rPr>
        <w:t>Supplementary Figure 3.</w:t>
      </w: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sz w:val="24"/>
          <w:szCs w:val="24"/>
        </w:rPr>
        <w:drawing>
          <wp:inline distT="0" distB="0" distL="114300" distR="114300">
            <wp:extent cx="5272405" cy="2261235"/>
            <wp:effectExtent l="0" t="0" r="10795" b="24765"/>
            <wp:docPr id="2" name="图片 2" descr="supplyment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yment fig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sz w:val="24"/>
          <w:szCs w:val="24"/>
        </w:rPr>
        <w:t>The analysis of TCGA database about USP39. (A) The expression of USP39 was positively correlated with EC clinical-grade (P&lt;0.05). (B) Higher USP39 levels were associated with a poorer prognosis (P &lt; 0.05).</w:t>
      </w: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sz w:val="24"/>
          <w:szCs w:val="24"/>
        </w:rPr>
        <w:t>Supplement Figure 4.</w:t>
      </w: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sz w:val="24"/>
          <w:szCs w:val="24"/>
        </w:rPr>
        <w:drawing>
          <wp:inline distT="0" distB="0" distL="114300" distR="114300">
            <wp:extent cx="3133090" cy="2773680"/>
            <wp:effectExtent l="0" t="0" r="16510" b="20320"/>
            <wp:docPr id="3" name="图片 3" descr="supplyment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yment fig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 Regular" w:hAnsi="Times New Roman Regular" w:cs="Times New Roman Regular"/>
          <w:sz w:val="24"/>
          <w:szCs w:val="24"/>
          <w:lang w:val="en-US"/>
        </w:rPr>
      </w:pPr>
      <w:r>
        <w:rPr>
          <w:rFonts w:hint="default" w:ascii="Times New Roman Regular" w:hAnsi="Times New Roman Regular" w:cs="Times New Roman Regular"/>
          <w:sz w:val="24"/>
          <w:szCs w:val="24"/>
        </w:rPr>
        <w:t>The image of sliver staining to identify the interacting proteins. (A) Co-IP sliver staining assay and spectrometry analysis assessed the potential proteins combined with USP39.</w:t>
      </w: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 New Roman Regular">
    <w:panose1 w:val="020206030504050203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FBC88F"/>
    <w:rsid w:val="36FBC88F"/>
    <w:rsid w:val="7EFD799A"/>
    <w:rsid w:val="9D6F9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Office_4.4.1.7380_F1E327BC-269C-435d-A152-05C5408002CA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2022-03-31T06:15:00Z</dcterms:created>
  <dc:creator>weiner</dc:creator>
  <cp:lastModifiedBy>Wei SiTian</cp:lastModifiedBy>
  <dcterms:modified xsi:type="dcterms:W3CDTF">2022-11-15T19:53:00Z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2052-4.4.1.7380</vt:lpwstr>
  </property>
  <property fmtid="{D5CDD505-2E9C-101B-9397-08002B2CF9AE}" pid="3" name="ICV">
    <vt:lpwstr>17C63979F9CDD81DA97B2D63174E7FDB</vt:lpwstr>
  </property>
</Properties>
</file>