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360" w:lineRule="auto"/>
        <w:jc w:val="center"/>
        <w:rPr>
          <w:rFonts w:ascii="Times New Roman" w:hAnsi="Times New Roman" w:cs="Times New Roman"/>
          <w:b/>
          <w:bCs/>
          <w:i/>
          <w:iCs/>
          <w:kern w:val="2"/>
          <w:sz w:val="32"/>
          <w:szCs w:val="32"/>
          <w:lang w:eastAsia="zh-CN"/>
        </w:rPr>
      </w:pPr>
      <w:r>
        <w:rPr>
          <w:rFonts w:ascii="Times New Roman" w:hAnsi="Times New Roman" w:cs="Times New Roman"/>
          <w:b/>
          <w:bCs/>
          <w:i/>
          <w:iCs/>
          <w:kern w:val="2"/>
          <w:sz w:val="32"/>
          <w:szCs w:val="32"/>
          <w:lang w:eastAsia="zh-CN"/>
        </w:rPr>
        <w:t>SUPPORTING INFORMATION</w:t>
      </w:r>
    </w:p>
    <w:p>
      <w:pPr>
        <w:spacing w:line="360" w:lineRule="auto"/>
        <w:jc w:val="both"/>
        <w:rPr>
          <w:rFonts w:ascii="Arial" w:hAnsi="Arial" w:cs="Arial"/>
          <w:b/>
        </w:rPr>
      </w:pPr>
    </w:p>
    <w:p>
      <w:pPr>
        <w:widowControl w:val="0"/>
        <w:spacing w:line="360" w:lineRule="auto"/>
        <w:jc w:val="center"/>
        <w:rPr>
          <w:rFonts w:ascii="Times New Roman" w:hAnsi="Times New Roman" w:cs="Times New Roman"/>
          <w:b/>
          <w:bCs/>
          <w:i/>
          <w:iCs/>
          <w:kern w:val="2"/>
          <w:sz w:val="30"/>
          <w:szCs w:val="30"/>
          <w:lang w:eastAsia="zh-CN"/>
        </w:rPr>
      </w:pPr>
      <w:r>
        <w:rPr>
          <w:rFonts w:ascii="Times New Roman" w:hAnsi="Times New Roman" w:cs="Times New Roman"/>
          <w:b/>
          <w:bCs/>
          <w:i/>
          <w:iCs/>
          <w:kern w:val="2"/>
          <w:sz w:val="30"/>
          <w:szCs w:val="30"/>
          <w:lang w:eastAsia="zh-CN"/>
        </w:rPr>
        <w:t>Toxicity Study of a New</w:t>
      </w:r>
      <w:r>
        <w:rPr>
          <w:rFonts w:hint="eastAsia" w:ascii="Times New Roman" w:hAnsi="Times New Roman" w:cs="Times New Roman"/>
          <w:b/>
          <w:bCs/>
          <w:i/>
          <w:iCs/>
          <w:kern w:val="2"/>
          <w:sz w:val="30"/>
          <w:szCs w:val="30"/>
          <w:lang w:eastAsia="zh-CN"/>
        </w:rPr>
        <w:t xml:space="preserve"> </w:t>
      </w:r>
      <w:r>
        <w:rPr>
          <w:rFonts w:ascii="Times New Roman" w:hAnsi="Times New Roman" w:cs="Times New Roman"/>
          <w:b/>
          <w:bCs/>
          <w:i/>
          <w:iCs/>
          <w:kern w:val="2"/>
          <w:sz w:val="30"/>
          <w:szCs w:val="30"/>
          <w:lang w:eastAsia="zh-CN"/>
        </w:rPr>
        <w:t>Scale Inhibitor</w:t>
      </w:r>
      <w:r>
        <w:rPr>
          <w:rFonts w:hint="eastAsia" w:ascii="Times New Roman" w:hAnsi="Times New Roman" w:cs="Times New Roman"/>
          <w:b/>
          <w:bCs/>
          <w:i/>
          <w:iCs/>
          <w:kern w:val="2"/>
          <w:sz w:val="30"/>
          <w:szCs w:val="30"/>
          <w:lang w:eastAsia="zh-CN"/>
        </w:rPr>
        <w:t xml:space="preserve"> for </w:t>
      </w:r>
      <w:r>
        <w:rPr>
          <w:rFonts w:ascii="Times New Roman" w:hAnsi="Times New Roman" w:cs="Times New Roman"/>
          <w:b/>
          <w:bCs/>
          <w:i/>
          <w:iCs/>
          <w:kern w:val="2"/>
          <w:sz w:val="30"/>
          <w:szCs w:val="30"/>
          <w:lang w:eastAsia="zh-CN"/>
        </w:rPr>
        <w:t>Seawater Desalination</w:t>
      </w:r>
    </w:p>
    <w:p>
      <w:pPr>
        <w:widowControl w:val="0"/>
        <w:spacing w:line="360" w:lineRule="auto"/>
        <w:jc w:val="center"/>
        <w:rPr>
          <w:rFonts w:ascii="Times New Roman" w:hAnsi="Times New Roman" w:cs="Times New Roman"/>
          <w:b/>
          <w:bCs/>
          <w:i/>
          <w:iCs/>
          <w:kern w:val="2"/>
          <w:sz w:val="30"/>
          <w:szCs w:val="30"/>
          <w:lang w:eastAsia="zh-CN"/>
        </w:rPr>
      </w:pPr>
    </w:p>
    <w:p>
      <w:pPr>
        <w:widowControl w:val="0"/>
        <w:spacing w:line="360" w:lineRule="auto"/>
        <w:jc w:val="both"/>
        <w:rPr>
          <w:rFonts w:ascii="Times New Roman" w:hAnsi="Times New Roman" w:eastAsia="等线" w:cs="Times New Roman"/>
          <w:kern w:val="2"/>
          <w:lang w:eastAsia="zh-CN"/>
        </w:rPr>
      </w:pPr>
      <w:r>
        <w:rPr>
          <w:rFonts w:ascii="Times New Roman" w:hAnsi="Times New Roman" w:eastAsia="等线" w:cs="Times New Roman"/>
          <w:kern w:val="2"/>
          <w:lang w:eastAsia="zh-CN"/>
        </w:rPr>
        <w:t>Lian</w:t>
      </w:r>
      <w:r>
        <w:rPr>
          <w:rFonts w:hint="eastAsia" w:ascii="Times New Roman" w:hAnsi="Times New Roman" w:eastAsia="等线" w:cs="Times New Roman"/>
          <w:kern w:val="2"/>
          <w:lang w:eastAsia="zh-CN"/>
        </w:rPr>
        <w:t xml:space="preserve"> </w:t>
      </w:r>
      <w:r>
        <w:rPr>
          <w:rFonts w:ascii="Times New Roman" w:hAnsi="Times New Roman" w:eastAsia="等线" w:cs="Times New Roman"/>
          <w:kern w:val="2"/>
          <w:lang w:eastAsia="zh-CN"/>
        </w:rPr>
        <w:t>D</w:t>
      </w:r>
      <w:r>
        <w:rPr>
          <w:rFonts w:hint="eastAsia" w:ascii="Times New Roman" w:hAnsi="Times New Roman" w:eastAsia="等线" w:cs="Times New Roman"/>
          <w:kern w:val="2"/>
          <w:lang w:eastAsia="zh-CN"/>
        </w:rPr>
        <w:t xml:space="preserve">uan </w:t>
      </w:r>
      <w:r>
        <w:rPr>
          <w:rFonts w:hint="eastAsia" w:ascii="Times New Roman" w:hAnsi="Times New Roman" w:eastAsia="等线" w:cs="Times New Roman"/>
          <w:kern w:val="2"/>
          <w:vertAlign w:val="superscript"/>
          <w:lang w:eastAsia="zh-CN"/>
        </w:rPr>
        <w:t>a</w:t>
      </w:r>
      <w:r>
        <w:rPr>
          <w:rFonts w:ascii="Times New Roman" w:hAnsi="Times New Roman" w:eastAsia="等线" w:cs="Times New Roman"/>
          <w:kern w:val="2"/>
          <w:vertAlign w:val="superscript"/>
          <w:lang w:eastAsia="zh-CN"/>
        </w:rPr>
        <w:t>,</w:t>
      </w:r>
      <w:r>
        <w:rPr>
          <w:rFonts w:hint="eastAsia" w:ascii="Times New Roman" w:hAnsi="Times New Roman" w:eastAsia="等线" w:cs="Times New Roman"/>
          <w:kern w:val="2"/>
          <w:vertAlign w:val="superscript"/>
          <w:lang w:eastAsia="zh-CN"/>
        </w:rPr>
        <w:t>*</w:t>
      </w:r>
      <w:r>
        <w:rPr>
          <w:rFonts w:ascii="Times New Roman" w:hAnsi="Times New Roman" w:eastAsia="等线" w:cs="Times New Roman"/>
          <w:kern w:val="2"/>
          <w:lang w:eastAsia="zh-CN"/>
        </w:rPr>
        <w:t>, Hongbin</w:t>
      </w:r>
      <w:r>
        <w:rPr>
          <w:rFonts w:hint="eastAsia" w:ascii="Times New Roman" w:hAnsi="Times New Roman" w:eastAsia="等线" w:cs="Times New Roman"/>
          <w:kern w:val="2"/>
          <w:lang w:eastAsia="zh-CN"/>
        </w:rPr>
        <w:t xml:space="preserve"> </w:t>
      </w:r>
      <w:r>
        <w:rPr>
          <w:rFonts w:ascii="Times New Roman" w:hAnsi="Times New Roman" w:eastAsia="等线" w:cs="Times New Roman"/>
          <w:kern w:val="2"/>
          <w:lang w:eastAsia="zh-CN"/>
        </w:rPr>
        <w:t>Y</w:t>
      </w:r>
      <w:r>
        <w:rPr>
          <w:rFonts w:hint="eastAsia" w:ascii="Times New Roman" w:hAnsi="Times New Roman" w:eastAsia="等线" w:cs="Times New Roman"/>
          <w:kern w:val="2"/>
          <w:lang w:eastAsia="zh-CN"/>
        </w:rPr>
        <w:t xml:space="preserve">ang </w:t>
      </w:r>
      <w:r>
        <w:rPr>
          <w:rFonts w:hint="eastAsia" w:ascii="Times New Roman" w:hAnsi="Times New Roman" w:eastAsia="等线" w:cs="Times New Roman"/>
          <w:kern w:val="2"/>
          <w:vertAlign w:val="superscript"/>
          <w:lang w:eastAsia="zh-CN"/>
        </w:rPr>
        <w:t>b</w:t>
      </w:r>
      <w:r>
        <w:rPr>
          <w:rFonts w:ascii="Times New Roman" w:hAnsi="Times New Roman" w:eastAsia="等线" w:cs="Times New Roman"/>
          <w:kern w:val="2"/>
          <w:lang w:eastAsia="zh-CN"/>
        </w:rPr>
        <w:t>, Mengmeng</w:t>
      </w:r>
      <w:r>
        <w:rPr>
          <w:rFonts w:hint="eastAsia" w:ascii="Times New Roman" w:hAnsi="Times New Roman" w:eastAsia="等线" w:cs="Times New Roman"/>
          <w:kern w:val="2"/>
          <w:lang w:eastAsia="zh-CN"/>
        </w:rPr>
        <w:t xml:space="preserve"> </w:t>
      </w:r>
      <w:r>
        <w:rPr>
          <w:rFonts w:ascii="Times New Roman" w:hAnsi="Times New Roman" w:eastAsia="等线" w:cs="Times New Roman"/>
          <w:kern w:val="2"/>
          <w:lang w:eastAsia="zh-CN"/>
        </w:rPr>
        <w:t>W</w:t>
      </w:r>
      <w:r>
        <w:rPr>
          <w:rFonts w:hint="eastAsia" w:ascii="Times New Roman" w:hAnsi="Times New Roman" w:eastAsia="等线" w:cs="Times New Roman"/>
          <w:kern w:val="2"/>
          <w:lang w:eastAsia="zh-CN"/>
        </w:rPr>
        <w:t xml:space="preserve">ang </w:t>
      </w:r>
      <w:r>
        <w:rPr>
          <w:rFonts w:hint="eastAsia" w:ascii="Times New Roman" w:hAnsi="Times New Roman" w:eastAsia="等线" w:cs="Times New Roman"/>
          <w:kern w:val="2"/>
          <w:vertAlign w:val="superscript"/>
          <w:lang w:eastAsia="zh-CN"/>
        </w:rPr>
        <w:t>a</w:t>
      </w:r>
      <w:r>
        <w:rPr>
          <w:rFonts w:ascii="Times New Roman" w:hAnsi="Times New Roman" w:eastAsia="等线" w:cs="Times New Roman"/>
          <w:kern w:val="2"/>
          <w:lang w:eastAsia="zh-CN"/>
        </w:rPr>
        <w:t>, Yuehan</w:t>
      </w:r>
      <w:r>
        <w:rPr>
          <w:rFonts w:hint="eastAsia" w:ascii="Times New Roman" w:hAnsi="Times New Roman" w:eastAsia="等线" w:cs="Times New Roman"/>
          <w:kern w:val="2"/>
          <w:lang w:eastAsia="zh-CN"/>
        </w:rPr>
        <w:t xml:space="preserve"> </w:t>
      </w:r>
      <w:r>
        <w:rPr>
          <w:rFonts w:ascii="Times New Roman" w:hAnsi="Times New Roman" w:eastAsia="等线" w:cs="Times New Roman"/>
          <w:kern w:val="2"/>
          <w:lang w:eastAsia="zh-CN"/>
        </w:rPr>
        <w:t>L</w:t>
      </w:r>
      <w:r>
        <w:rPr>
          <w:rFonts w:hint="eastAsia" w:ascii="Times New Roman" w:hAnsi="Times New Roman" w:eastAsia="等线" w:cs="Times New Roman"/>
          <w:kern w:val="2"/>
          <w:lang w:eastAsia="zh-CN"/>
        </w:rPr>
        <w:t xml:space="preserve">ong </w:t>
      </w:r>
      <w:r>
        <w:rPr>
          <w:rFonts w:hint="eastAsia" w:ascii="Times New Roman" w:hAnsi="Times New Roman" w:eastAsia="等线" w:cs="Times New Roman"/>
          <w:kern w:val="2"/>
          <w:vertAlign w:val="superscript"/>
          <w:lang w:eastAsia="zh-CN"/>
        </w:rPr>
        <w:t>a</w:t>
      </w:r>
      <w:r>
        <w:rPr>
          <w:rFonts w:ascii="Times New Roman" w:hAnsi="Times New Roman" w:eastAsia="等线" w:cs="Times New Roman"/>
          <w:kern w:val="2"/>
          <w:lang w:eastAsia="zh-CN"/>
        </w:rPr>
        <w:t>, Song</w:t>
      </w:r>
      <w:r>
        <w:rPr>
          <w:rFonts w:hint="eastAsia" w:ascii="Times New Roman" w:hAnsi="Times New Roman" w:eastAsia="等线" w:cs="Times New Roman"/>
          <w:kern w:val="2"/>
          <w:lang w:eastAsia="zh-CN"/>
        </w:rPr>
        <w:t xml:space="preserve"> </w:t>
      </w:r>
      <w:r>
        <w:rPr>
          <w:rFonts w:ascii="Times New Roman" w:hAnsi="Times New Roman" w:eastAsia="等线" w:cs="Times New Roman"/>
          <w:kern w:val="2"/>
          <w:lang w:eastAsia="zh-CN"/>
        </w:rPr>
        <w:t>T</w:t>
      </w:r>
      <w:r>
        <w:rPr>
          <w:rFonts w:hint="eastAsia" w:ascii="Times New Roman" w:hAnsi="Times New Roman" w:eastAsia="等线" w:cs="Times New Roman"/>
          <w:kern w:val="2"/>
          <w:lang w:eastAsia="zh-CN"/>
        </w:rPr>
        <w:t xml:space="preserve">ang </w:t>
      </w:r>
      <w:r>
        <w:rPr>
          <w:rFonts w:hint="eastAsia" w:ascii="Times New Roman" w:hAnsi="Times New Roman" w:eastAsia="等线" w:cs="Times New Roman"/>
          <w:kern w:val="2"/>
          <w:vertAlign w:val="superscript"/>
          <w:lang w:eastAsia="zh-CN"/>
        </w:rPr>
        <w:t>a</w:t>
      </w:r>
      <w:r>
        <w:rPr>
          <w:rFonts w:ascii="Times New Roman" w:hAnsi="Times New Roman" w:eastAsia="等线" w:cs="Times New Roman"/>
          <w:kern w:val="2"/>
          <w:lang w:eastAsia="zh-CN"/>
        </w:rPr>
        <w:t>, Jian</w:t>
      </w:r>
      <w:r>
        <w:rPr>
          <w:rFonts w:hint="eastAsia" w:ascii="Times New Roman" w:hAnsi="Times New Roman" w:eastAsia="等线" w:cs="Times New Roman"/>
          <w:kern w:val="2"/>
          <w:lang w:eastAsia="zh-CN"/>
        </w:rPr>
        <w:t xml:space="preserve"> </w:t>
      </w:r>
      <w:r>
        <w:rPr>
          <w:rFonts w:ascii="Times New Roman" w:hAnsi="Times New Roman" w:eastAsia="等线" w:cs="Times New Roman"/>
          <w:kern w:val="2"/>
          <w:lang w:eastAsia="zh-CN"/>
        </w:rPr>
        <w:t>K</w:t>
      </w:r>
      <w:r>
        <w:rPr>
          <w:rFonts w:hint="eastAsia" w:ascii="Times New Roman" w:hAnsi="Times New Roman" w:eastAsia="等线" w:cs="Times New Roman"/>
          <w:kern w:val="2"/>
          <w:lang w:eastAsia="zh-CN"/>
        </w:rPr>
        <w:t>ong</w:t>
      </w:r>
      <w:r>
        <w:rPr>
          <w:rFonts w:ascii="Times New Roman" w:hAnsi="Times New Roman" w:eastAsia="等线" w:cs="Times New Roman"/>
          <w:kern w:val="2"/>
          <w:lang w:eastAsia="zh-CN"/>
        </w:rPr>
        <w:t xml:space="preserve"> </w:t>
      </w:r>
      <w:r>
        <w:rPr>
          <w:rFonts w:hint="eastAsia" w:ascii="Times New Roman" w:hAnsi="Times New Roman" w:eastAsia="等线" w:cs="Times New Roman"/>
          <w:kern w:val="2"/>
          <w:vertAlign w:val="superscript"/>
          <w:lang w:eastAsia="zh-CN"/>
        </w:rPr>
        <w:t>a</w:t>
      </w:r>
      <w:r>
        <w:rPr>
          <w:rFonts w:ascii="Times New Roman" w:hAnsi="Times New Roman" w:eastAsia="等线" w:cs="Times New Roman"/>
          <w:kern w:val="2"/>
          <w:lang w:eastAsia="zh-CN"/>
        </w:rPr>
        <w:t>, Shao</w:t>
      </w:r>
      <w:r>
        <w:rPr>
          <w:rFonts w:hint="eastAsia" w:ascii="Times New Roman" w:hAnsi="Times New Roman" w:eastAsia="等线" w:cs="Times New Roman"/>
          <w:kern w:val="2"/>
          <w:lang w:eastAsia="zh-CN"/>
        </w:rPr>
        <w:t>p</w:t>
      </w:r>
      <w:r>
        <w:rPr>
          <w:rFonts w:ascii="Times New Roman" w:hAnsi="Times New Roman" w:eastAsia="等线" w:cs="Times New Roman"/>
          <w:kern w:val="2"/>
          <w:lang w:eastAsia="zh-CN"/>
        </w:rPr>
        <w:t>ing</w:t>
      </w:r>
      <w:r>
        <w:rPr>
          <w:rFonts w:hint="eastAsia" w:ascii="Times New Roman" w:hAnsi="Times New Roman" w:eastAsia="等线" w:cs="Times New Roman"/>
          <w:kern w:val="2"/>
          <w:lang w:eastAsia="zh-CN"/>
        </w:rPr>
        <w:t xml:space="preserve"> </w:t>
      </w:r>
      <w:r>
        <w:rPr>
          <w:rFonts w:ascii="Times New Roman" w:hAnsi="Times New Roman" w:eastAsia="等线" w:cs="Times New Roman"/>
          <w:kern w:val="2"/>
          <w:lang w:eastAsia="zh-CN"/>
        </w:rPr>
        <w:t>Z</w:t>
      </w:r>
      <w:r>
        <w:rPr>
          <w:rFonts w:hint="eastAsia" w:ascii="Times New Roman" w:hAnsi="Times New Roman" w:eastAsia="等线" w:cs="Times New Roman"/>
          <w:kern w:val="2"/>
          <w:lang w:eastAsia="zh-CN"/>
        </w:rPr>
        <w:t xml:space="preserve">hang </w:t>
      </w:r>
      <w:r>
        <w:rPr>
          <w:rFonts w:hint="eastAsia" w:ascii="Times New Roman" w:hAnsi="Times New Roman" w:eastAsia="等线" w:cs="Times New Roman"/>
          <w:kern w:val="2"/>
          <w:vertAlign w:val="superscript"/>
          <w:lang w:eastAsia="zh-CN"/>
        </w:rPr>
        <w:t>a</w:t>
      </w:r>
      <w:r>
        <w:rPr>
          <w:rFonts w:ascii="Times New Roman" w:hAnsi="Times New Roman" w:eastAsia="等线" w:cs="Times New Roman"/>
          <w:kern w:val="2"/>
          <w:lang w:eastAsia="zh-CN"/>
        </w:rPr>
        <w:t>, Li</w:t>
      </w:r>
      <w:r>
        <w:rPr>
          <w:rFonts w:hint="eastAsia" w:ascii="Times New Roman" w:hAnsi="Times New Roman" w:eastAsia="等线" w:cs="Times New Roman"/>
          <w:kern w:val="2"/>
          <w:lang w:eastAsia="zh-CN"/>
        </w:rPr>
        <w:t>x</w:t>
      </w:r>
      <w:r>
        <w:rPr>
          <w:rFonts w:ascii="Times New Roman" w:hAnsi="Times New Roman" w:eastAsia="等线" w:cs="Times New Roman"/>
          <w:kern w:val="2"/>
          <w:lang w:eastAsia="zh-CN"/>
        </w:rPr>
        <w:t>ia</w:t>
      </w:r>
      <w:r>
        <w:rPr>
          <w:rFonts w:hint="eastAsia" w:ascii="Times New Roman" w:hAnsi="Times New Roman" w:eastAsia="等线" w:cs="Times New Roman"/>
          <w:kern w:val="2"/>
          <w:lang w:eastAsia="zh-CN"/>
        </w:rPr>
        <w:t xml:space="preserve"> </w:t>
      </w:r>
      <w:r>
        <w:rPr>
          <w:rFonts w:ascii="Times New Roman" w:hAnsi="Times New Roman" w:eastAsia="等线" w:cs="Times New Roman"/>
          <w:kern w:val="2"/>
          <w:lang w:eastAsia="zh-CN"/>
        </w:rPr>
        <w:t>Z</w:t>
      </w:r>
      <w:r>
        <w:rPr>
          <w:rFonts w:hint="eastAsia" w:ascii="Times New Roman" w:hAnsi="Times New Roman" w:eastAsia="等线" w:cs="Times New Roman"/>
          <w:kern w:val="2"/>
          <w:lang w:eastAsia="zh-CN"/>
        </w:rPr>
        <w:t xml:space="preserve">hang </w:t>
      </w:r>
      <w:r>
        <w:rPr>
          <w:rFonts w:hint="eastAsia" w:ascii="Times New Roman" w:hAnsi="Times New Roman" w:eastAsia="等线" w:cs="Times New Roman"/>
          <w:kern w:val="2"/>
          <w:vertAlign w:val="superscript"/>
          <w:lang w:eastAsia="zh-CN"/>
        </w:rPr>
        <w:t>a</w:t>
      </w:r>
      <w:r>
        <w:rPr>
          <w:rFonts w:ascii="Times New Roman" w:hAnsi="Times New Roman" w:eastAsia="等线" w:cs="Times New Roman"/>
          <w:kern w:val="2"/>
          <w:lang w:eastAsia="zh-CN"/>
        </w:rPr>
        <w:t>, Lei</w:t>
      </w:r>
      <w:r>
        <w:rPr>
          <w:rFonts w:hint="eastAsia" w:ascii="Times New Roman" w:hAnsi="Times New Roman" w:eastAsia="等线" w:cs="Times New Roman"/>
          <w:kern w:val="2"/>
          <w:lang w:eastAsia="zh-CN"/>
        </w:rPr>
        <w:t xml:space="preserve"> </w:t>
      </w:r>
      <w:r>
        <w:rPr>
          <w:rFonts w:ascii="Times New Roman" w:hAnsi="Times New Roman" w:eastAsia="等线" w:cs="Times New Roman"/>
          <w:kern w:val="2"/>
          <w:lang w:eastAsia="zh-CN"/>
        </w:rPr>
        <w:t>W</w:t>
      </w:r>
      <w:r>
        <w:rPr>
          <w:rFonts w:hint="eastAsia" w:ascii="Times New Roman" w:hAnsi="Times New Roman" w:eastAsia="等线" w:cs="Times New Roman"/>
          <w:kern w:val="2"/>
          <w:lang w:eastAsia="zh-CN"/>
        </w:rPr>
        <w:t xml:space="preserve">ei </w:t>
      </w:r>
      <w:r>
        <w:rPr>
          <w:rFonts w:hint="eastAsia" w:ascii="Times New Roman" w:hAnsi="Times New Roman" w:eastAsia="等线" w:cs="Times New Roman"/>
          <w:kern w:val="2"/>
          <w:vertAlign w:val="superscript"/>
          <w:lang w:eastAsia="zh-CN"/>
        </w:rPr>
        <w:t>b</w:t>
      </w:r>
      <w:r>
        <w:rPr>
          <w:rFonts w:ascii="Times New Roman" w:hAnsi="Times New Roman" w:eastAsia="等线" w:cs="Times New Roman"/>
          <w:kern w:val="2"/>
          <w:lang w:eastAsia="zh-CN"/>
        </w:rPr>
        <w:t>, Yi</w:t>
      </w:r>
      <w:r>
        <w:rPr>
          <w:rFonts w:hint="eastAsia" w:ascii="Times New Roman" w:hAnsi="Times New Roman" w:eastAsia="等线" w:cs="Times New Roman"/>
          <w:kern w:val="2"/>
          <w:lang w:eastAsia="zh-CN"/>
        </w:rPr>
        <w:t>m</w:t>
      </w:r>
      <w:r>
        <w:rPr>
          <w:rFonts w:ascii="Times New Roman" w:hAnsi="Times New Roman" w:eastAsia="等线" w:cs="Times New Roman"/>
          <w:kern w:val="2"/>
          <w:lang w:eastAsia="zh-CN"/>
        </w:rPr>
        <w:t>in</w:t>
      </w:r>
      <w:r>
        <w:rPr>
          <w:rFonts w:hint="eastAsia" w:ascii="Times New Roman" w:hAnsi="Times New Roman" w:eastAsia="等线" w:cs="Times New Roman"/>
          <w:kern w:val="2"/>
          <w:lang w:eastAsia="zh-CN"/>
        </w:rPr>
        <w:t xml:space="preserve"> </w:t>
      </w:r>
      <w:r>
        <w:rPr>
          <w:rFonts w:ascii="Times New Roman" w:hAnsi="Times New Roman" w:eastAsia="等线" w:cs="Times New Roman"/>
          <w:kern w:val="2"/>
          <w:lang w:eastAsia="zh-CN"/>
        </w:rPr>
        <w:t>L</w:t>
      </w:r>
      <w:r>
        <w:rPr>
          <w:rFonts w:hint="eastAsia" w:ascii="Times New Roman" w:hAnsi="Times New Roman" w:eastAsia="等线" w:cs="Times New Roman"/>
          <w:kern w:val="2"/>
          <w:lang w:eastAsia="zh-CN"/>
        </w:rPr>
        <w:t xml:space="preserve">i </w:t>
      </w:r>
      <w:r>
        <w:rPr>
          <w:rFonts w:hint="eastAsia" w:ascii="Times New Roman" w:hAnsi="Times New Roman" w:eastAsia="等线" w:cs="Times New Roman"/>
          <w:kern w:val="2"/>
          <w:vertAlign w:val="superscript"/>
          <w:lang w:eastAsia="zh-CN"/>
        </w:rPr>
        <w:t>a</w:t>
      </w:r>
      <w:r>
        <w:rPr>
          <w:rFonts w:ascii="Times New Roman" w:hAnsi="Times New Roman" w:eastAsia="等线" w:cs="Times New Roman"/>
          <w:kern w:val="2"/>
          <w:vertAlign w:val="superscript"/>
          <w:lang w:eastAsia="zh-CN"/>
        </w:rPr>
        <w:t>,</w:t>
      </w:r>
      <w:r>
        <w:rPr>
          <w:rFonts w:hint="eastAsia" w:ascii="Times New Roman" w:hAnsi="Times New Roman" w:eastAsia="等线" w:cs="Times New Roman"/>
          <w:kern w:val="2"/>
          <w:vertAlign w:val="superscript"/>
          <w:lang w:eastAsia="zh-CN"/>
        </w:rPr>
        <w:t>*</w:t>
      </w:r>
      <w:r>
        <w:rPr>
          <w:rFonts w:ascii="Times New Roman" w:hAnsi="Times New Roman" w:eastAsia="等线" w:cs="Times New Roman"/>
          <w:kern w:val="2"/>
          <w:lang w:eastAsia="zh-CN"/>
        </w:rPr>
        <w:t>, Kai</w:t>
      </w:r>
      <w:r>
        <w:rPr>
          <w:rFonts w:hint="eastAsia" w:ascii="Times New Roman" w:hAnsi="Times New Roman" w:eastAsia="等线" w:cs="Times New Roman"/>
          <w:kern w:val="2"/>
          <w:lang w:eastAsia="zh-CN"/>
        </w:rPr>
        <w:t xml:space="preserve"> </w:t>
      </w:r>
      <w:r>
        <w:rPr>
          <w:rFonts w:ascii="Times New Roman" w:hAnsi="Times New Roman" w:eastAsia="等线" w:cs="Times New Roman"/>
          <w:kern w:val="2"/>
          <w:lang w:eastAsia="zh-CN"/>
        </w:rPr>
        <w:t>L</w:t>
      </w:r>
      <w:r>
        <w:rPr>
          <w:rFonts w:hint="eastAsia" w:ascii="Times New Roman" w:hAnsi="Times New Roman" w:eastAsia="等线" w:cs="Times New Roman"/>
          <w:kern w:val="2"/>
          <w:lang w:eastAsia="zh-CN"/>
        </w:rPr>
        <w:t xml:space="preserve">u </w:t>
      </w:r>
      <w:r>
        <w:rPr>
          <w:rFonts w:hint="eastAsia" w:ascii="Times New Roman" w:hAnsi="Times New Roman" w:eastAsia="等线" w:cs="Times New Roman"/>
          <w:kern w:val="2"/>
          <w:vertAlign w:val="superscript"/>
          <w:lang w:eastAsia="zh-CN"/>
        </w:rPr>
        <w:t>c</w:t>
      </w:r>
      <w:r>
        <w:rPr>
          <w:rFonts w:ascii="Times New Roman" w:hAnsi="Times New Roman" w:eastAsia="等线" w:cs="Times New Roman"/>
          <w:kern w:val="2"/>
          <w:vertAlign w:val="superscript"/>
          <w:lang w:eastAsia="zh-CN"/>
        </w:rPr>
        <w:t>,</w:t>
      </w:r>
      <w:r>
        <w:rPr>
          <w:rFonts w:hint="eastAsia" w:ascii="Times New Roman" w:hAnsi="Times New Roman" w:eastAsia="等线" w:cs="Times New Roman"/>
          <w:kern w:val="2"/>
          <w:vertAlign w:val="superscript"/>
          <w:lang w:eastAsia="zh-CN"/>
        </w:rPr>
        <w:t>*</w:t>
      </w:r>
    </w:p>
    <w:p>
      <w:pPr>
        <w:widowControl w:val="0"/>
        <w:numPr>
          <w:ilvl w:val="255"/>
          <w:numId w:val="0"/>
        </w:numPr>
        <w:spacing w:line="360" w:lineRule="auto"/>
        <w:jc w:val="both"/>
        <w:rPr>
          <w:rFonts w:ascii="Times New Roman" w:hAnsi="Times New Roman" w:eastAsia="等线" w:cs="Times New Roman"/>
          <w:kern w:val="2"/>
          <w:lang w:eastAsia="zh-CN"/>
        </w:rPr>
      </w:pPr>
      <w:r>
        <w:rPr>
          <w:rFonts w:hint="eastAsia" w:ascii="Times New Roman" w:hAnsi="Times New Roman" w:eastAsia="等线" w:cs="Times New Roman"/>
          <w:kern w:val="2"/>
          <w:lang w:eastAsia="zh-CN"/>
        </w:rPr>
        <w:t>a</w:t>
      </w:r>
      <w:r>
        <w:rPr>
          <w:rFonts w:ascii="Times New Roman" w:hAnsi="Times New Roman" w:eastAsia="等线" w:cs="Times New Roman"/>
          <w:kern w:val="2"/>
          <w:lang w:eastAsia="zh-CN"/>
        </w:rPr>
        <w:t xml:space="preserve"> China CDC Key Laboratory of Environment and Population Health</w:t>
      </w:r>
      <w:r>
        <w:rPr>
          <w:rFonts w:hint="eastAsia" w:ascii="Times New Roman" w:hAnsi="Times New Roman" w:eastAsia="等线" w:cs="Times New Roman"/>
          <w:kern w:val="2"/>
          <w:lang w:eastAsia="zh-CN"/>
        </w:rPr>
        <w:t>,</w:t>
      </w:r>
      <w:r>
        <w:rPr>
          <w:rFonts w:ascii="Times New Roman" w:hAnsi="Times New Roman" w:eastAsia="等线" w:cs="Times New Roman"/>
          <w:kern w:val="2"/>
          <w:lang w:eastAsia="zh-CN"/>
        </w:rPr>
        <w:t xml:space="preserve"> National Institute of Environmental Health, Chinese Center for Disease Control and Prevention, Beijing 100021, China</w:t>
      </w:r>
    </w:p>
    <w:p>
      <w:pPr>
        <w:widowControl w:val="0"/>
        <w:numPr>
          <w:ilvl w:val="255"/>
          <w:numId w:val="0"/>
        </w:numPr>
        <w:spacing w:line="360" w:lineRule="auto"/>
        <w:jc w:val="both"/>
        <w:rPr>
          <w:rFonts w:ascii="Times New Roman" w:hAnsi="Times New Roman" w:eastAsia="等线" w:cs="Times New Roman"/>
          <w:kern w:val="2"/>
          <w:lang w:eastAsia="zh-CN"/>
        </w:rPr>
      </w:pPr>
      <w:r>
        <w:rPr>
          <w:rFonts w:hint="eastAsia" w:ascii="Times New Roman" w:hAnsi="Times New Roman" w:eastAsia="等线" w:cs="Times New Roman"/>
          <w:kern w:val="2"/>
          <w:lang w:eastAsia="zh-CN"/>
        </w:rPr>
        <w:t>b</w:t>
      </w:r>
      <w:r>
        <w:rPr>
          <w:rFonts w:ascii="Times New Roman" w:hAnsi="Times New Roman" w:eastAsia="等线" w:cs="Times New Roman"/>
          <w:kern w:val="2"/>
          <w:lang w:eastAsia="zh-CN"/>
        </w:rPr>
        <w:t xml:space="preserve"> Qingdao Municipal Health Commission Integrated Supervision Enforcement Bureau</w:t>
      </w:r>
      <w:r>
        <w:rPr>
          <w:rFonts w:hint="eastAsia" w:ascii="Times New Roman" w:hAnsi="Times New Roman" w:eastAsia="等线" w:cs="Times New Roman"/>
          <w:kern w:val="2"/>
          <w:lang w:eastAsia="zh-CN"/>
        </w:rPr>
        <w:t>,</w:t>
      </w:r>
      <w:r>
        <w:rPr>
          <w:rFonts w:ascii="Times New Roman" w:hAnsi="Times New Roman" w:eastAsia="等线" w:cs="Times New Roman"/>
          <w:kern w:val="2"/>
          <w:lang w:eastAsia="zh-CN"/>
        </w:rPr>
        <w:t xml:space="preserve"> Qingdao, 266000, China </w:t>
      </w:r>
    </w:p>
    <w:p>
      <w:pPr>
        <w:widowControl w:val="0"/>
        <w:numPr>
          <w:ilvl w:val="255"/>
          <w:numId w:val="0"/>
        </w:numPr>
        <w:spacing w:line="360" w:lineRule="auto"/>
        <w:jc w:val="both"/>
        <w:rPr>
          <w:rFonts w:ascii="Times New Roman" w:hAnsi="Times New Roman" w:eastAsia="等线" w:cs="Times New Roman"/>
          <w:kern w:val="2"/>
          <w:lang w:eastAsia="zh-CN"/>
        </w:rPr>
      </w:pPr>
      <w:r>
        <w:rPr>
          <w:rFonts w:hint="eastAsia" w:ascii="Times New Roman" w:hAnsi="Times New Roman" w:eastAsia="等线" w:cs="Times New Roman"/>
          <w:kern w:val="2"/>
          <w:lang w:eastAsia="zh-CN"/>
        </w:rPr>
        <w:t xml:space="preserve">c </w:t>
      </w:r>
      <w:r>
        <w:rPr>
          <w:rFonts w:ascii="Times New Roman" w:hAnsi="Times New Roman" w:eastAsia="等线" w:cs="Times New Roman"/>
          <w:kern w:val="2"/>
          <w:lang w:eastAsia="zh-CN"/>
        </w:rPr>
        <w:t>Rural Water Improvement Technical Guidance Center, Chinese Center for Disease Control and Prevention, Beijing 102200, China</w:t>
      </w:r>
    </w:p>
    <w:p>
      <w:pPr>
        <w:widowControl w:val="0"/>
        <w:spacing w:line="360" w:lineRule="auto"/>
        <w:jc w:val="both"/>
        <w:rPr>
          <w:rFonts w:ascii="Times New Roman" w:hAnsi="Times New Roman" w:eastAsia="等线" w:cs="Times New Roman"/>
          <w:b/>
          <w:kern w:val="2"/>
          <w:lang w:eastAsia="zh-CN"/>
        </w:rPr>
      </w:pPr>
      <w:r>
        <w:rPr>
          <w:rFonts w:hint="eastAsia" w:ascii="Times New Roman" w:hAnsi="Times New Roman" w:eastAsia="等线" w:cs="Times New Roman"/>
          <w:b/>
          <w:kern w:val="2"/>
          <w:lang w:eastAsia="zh-CN"/>
        </w:rPr>
        <w:t xml:space="preserve">* </w:t>
      </w:r>
      <w:r>
        <w:rPr>
          <w:rFonts w:ascii="Times New Roman" w:hAnsi="Times New Roman" w:eastAsia="等线" w:cs="Times New Roman"/>
          <w:b/>
          <w:kern w:val="2"/>
          <w:lang w:eastAsia="zh-CN"/>
        </w:rPr>
        <w:t xml:space="preserve">Corresponding author: </w:t>
      </w:r>
    </w:p>
    <w:p>
      <w:pPr>
        <w:widowControl w:val="0"/>
        <w:spacing w:line="360" w:lineRule="auto"/>
        <w:jc w:val="both"/>
        <w:rPr>
          <w:rFonts w:ascii="Times New Roman" w:hAnsi="Times New Roman" w:eastAsia="等线" w:cs="Times New Roman"/>
          <w:kern w:val="2"/>
          <w:lang w:eastAsia="zh-CN"/>
        </w:rPr>
      </w:pPr>
      <w:r>
        <w:rPr>
          <w:rFonts w:ascii="Times New Roman" w:hAnsi="Times New Roman" w:eastAsia="等线" w:cs="Times New Roman"/>
          <w:kern w:val="2"/>
          <w:lang w:eastAsia="zh-CN"/>
        </w:rPr>
        <w:t>No. 7 Panjiayuan Nanli, Chaoyang District, Beijing 100021, China. Tel: +86-10-5093-0184. E-mail: duanlian@nieh.chinacdc.cn (Lian</w:t>
      </w:r>
      <w:r>
        <w:rPr>
          <w:rFonts w:hint="eastAsia" w:ascii="Times New Roman" w:hAnsi="Times New Roman" w:eastAsia="等线" w:cs="Times New Roman"/>
          <w:kern w:val="2"/>
          <w:lang w:eastAsia="zh-CN"/>
        </w:rPr>
        <w:t xml:space="preserve"> </w:t>
      </w:r>
      <w:r>
        <w:rPr>
          <w:rFonts w:ascii="Times New Roman" w:hAnsi="Times New Roman" w:eastAsia="等线" w:cs="Times New Roman"/>
          <w:kern w:val="2"/>
          <w:lang w:eastAsia="zh-CN"/>
        </w:rPr>
        <w:t>D</w:t>
      </w:r>
      <w:r>
        <w:rPr>
          <w:rFonts w:hint="eastAsia" w:ascii="Times New Roman" w:hAnsi="Times New Roman" w:eastAsia="等线" w:cs="Times New Roman"/>
          <w:kern w:val="2"/>
          <w:lang w:eastAsia="zh-CN"/>
        </w:rPr>
        <w:t>uan</w:t>
      </w:r>
      <w:r>
        <w:rPr>
          <w:rFonts w:ascii="Times New Roman" w:hAnsi="Times New Roman" w:eastAsia="等线" w:cs="Times New Roman"/>
          <w:kern w:val="2"/>
          <w:lang w:eastAsia="zh-CN"/>
        </w:rPr>
        <w:t>)</w:t>
      </w:r>
      <w:r>
        <w:rPr>
          <w:rFonts w:hint="eastAsia" w:ascii="Times New Roman" w:hAnsi="Times New Roman" w:eastAsia="等线" w:cs="Times New Roman"/>
          <w:kern w:val="2"/>
          <w:lang w:eastAsia="zh-CN"/>
        </w:rPr>
        <w:t xml:space="preserve"> ;</w:t>
      </w:r>
    </w:p>
    <w:p>
      <w:pPr>
        <w:widowControl w:val="0"/>
        <w:spacing w:line="360" w:lineRule="auto"/>
        <w:jc w:val="both"/>
        <w:rPr>
          <w:rFonts w:ascii="Times New Roman" w:hAnsi="Times New Roman" w:eastAsia="等线" w:cs="Times New Roman"/>
          <w:kern w:val="2"/>
          <w:lang w:eastAsia="zh-CN"/>
        </w:rPr>
      </w:pPr>
      <w:r>
        <w:rPr>
          <w:rFonts w:ascii="Times New Roman" w:hAnsi="Times New Roman" w:eastAsia="等线" w:cs="Times New Roman"/>
          <w:kern w:val="2"/>
          <w:lang w:eastAsia="zh-CN"/>
        </w:rPr>
        <w:t xml:space="preserve">13 Government St, Changping District, Beijing 102200, China. Tel: </w:t>
      </w:r>
      <w:r>
        <w:rPr>
          <w:rFonts w:hint="eastAsia" w:ascii="Times New Roman" w:hAnsi="Times New Roman" w:eastAsia="等线" w:cs="Times New Roman"/>
          <w:kern w:val="2"/>
          <w:lang w:eastAsia="zh-CN"/>
        </w:rPr>
        <w:t>+86-</w:t>
      </w:r>
      <w:r>
        <w:rPr>
          <w:rFonts w:ascii="Times New Roman" w:hAnsi="Times New Roman" w:eastAsia="等线" w:cs="Times New Roman"/>
          <w:kern w:val="2"/>
          <w:lang w:eastAsia="zh-CN"/>
        </w:rPr>
        <w:t>152</w:t>
      </w:r>
      <w:r>
        <w:rPr>
          <w:rFonts w:hint="eastAsia" w:ascii="Times New Roman" w:hAnsi="Times New Roman" w:eastAsia="等线" w:cs="Times New Roman"/>
          <w:kern w:val="2"/>
          <w:lang w:eastAsia="zh-CN"/>
        </w:rPr>
        <w:t>-</w:t>
      </w:r>
      <w:r>
        <w:rPr>
          <w:rFonts w:ascii="Times New Roman" w:hAnsi="Times New Roman" w:eastAsia="等线" w:cs="Times New Roman"/>
          <w:kern w:val="2"/>
          <w:lang w:eastAsia="zh-CN"/>
        </w:rPr>
        <w:t>1036</w:t>
      </w:r>
      <w:r>
        <w:rPr>
          <w:rFonts w:hint="eastAsia" w:ascii="Times New Roman" w:hAnsi="Times New Roman" w:eastAsia="等线" w:cs="Times New Roman"/>
          <w:kern w:val="2"/>
          <w:lang w:eastAsia="zh-CN"/>
        </w:rPr>
        <w:t>-</w:t>
      </w:r>
      <w:r>
        <w:rPr>
          <w:rFonts w:ascii="Times New Roman" w:hAnsi="Times New Roman" w:eastAsia="等线" w:cs="Times New Roman"/>
          <w:kern w:val="2"/>
          <w:lang w:eastAsia="zh-CN"/>
        </w:rPr>
        <w:t>5022</w:t>
      </w:r>
      <w:r>
        <w:rPr>
          <w:rFonts w:hint="eastAsia" w:ascii="Times New Roman" w:hAnsi="Times New Roman" w:eastAsia="等线" w:cs="Times New Roman"/>
          <w:kern w:val="2"/>
          <w:lang w:eastAsia="zh-CN"/>
        </w:rPr>
        <w:t xml:space="preserve">. </w:t>
      </w:r>
      <w:r>
        <w:rPr>
          <w:rFonts w:ascii="Times New Roman" w:hAnsi="Times New Roman" w:eastAsia="等线" w:cs="Times New Roman"/>
          <w:kern w:val="2"/>
          <w:lang w:eastAsia="zh-CN"/>
        </w:rPr>
        <w:t>E-mail: lukai@ chinacdc.cn ( Kai</w:t>
      </w:r>
      <w:r>
        <w:rPr>
          <w:rFonts w:hint="eastAsia" w:ascii="Times New Roman" w:hAnsi="Times New Roman" w:eastAsia="等线" w:cs="Times New Roman"/>
          <w:kern w:val="2"/>
          <w:lang w:eastAsia="zh-CN"/>
        </w:rPr>
        <w:t xml:space="preserve"> </w:t>
      </w:r>
      <w:r>
        <w:rPr>
          <w:rFonts w:ascii="Times New Roman" w:hAnsi="Times New Roman" w:eastAsia="等线" w:cs="Times New Roman"/>
          <w:kern w:val="2"/>
          <w:lang w:eastAsia="zh-CN"/>
        </w:rPr>
        <w:t>L</w:t>
      </w:r>
      <w:r>
        <w:rPr>
          <w:rFonts w:hint="eastAsia" w:ascii="Times New Roman" w:hAnsi="Times New Roman" w:eastAsia="等线" w:cs="Times New Roman"/>
          <w:kern w:val="2"/>
          <w:lang w:eastAsia="zh-CN"/>
        </w:rPr>
        <w:t>u</w:t>
      </w:r>
      <w:r>
        <w:rPr>
          <w:rFonts w:ascii="Times New Roman" w:hAnsi="Times New Roman" w:eastAsia="等线" w:cs="Times New Roman"/>
          <w:kern w:val="2"/>
          <w:lang w:eastAsia="zh-CN"/>
        </w:rPr>
        <w:t>)</w:t>
      </w:r>
      <w:r>
        <w:rPr>
          <w:rFonts w:hint="eastAsia" w:ascii="Times New Roman" w:hAnsi="Times New Roman" w:eastAsia="等线" w:cs="Times New Roman"/>
          <w:kern w:val="2"/>
          <w:lang w:eastAsia="zh-CN"/>
        </w:rPr>
        <w:t xml:space="preserve"> ;</w:t>
      </w:r>
    </w:p>
    <w:p>
      <w:pPr>
        <w:widowControl w:val="0"/>
        <w:spacing w:line="360" w:lineRule="auto"/>
        <w:jc w:val="both"/>
        <w:rPr>
          <w:rFonts w:ascii="Times New Roman" w:hAnsi="Times New Roman" w:eastAsia="等线" w:cs="Times New Roman"/>
          <w:kern w:val="2"/>
          <w:lang w:eastAsia="zh-CN"/>
        </w:rPr>
      </w:pPr>
      <w:r>
        <w:rPr>
          <w:rFonts w:ascii="Times New Roman" w:hAnsi="Times New Roman" w:eastAsia="等线" w:cs="Times New Roman"/>
          <w:kern w:val="2"/>
          <w:lang w:eastAsia="zh-CN"/>
        </w:rPr>
        <w:t>No. 7 Panjiayuan Nanli, Chaoyang District, Beijing 100021, China. Tel: +86-10-5093-0180. E-mail: liyimin@nieh.chinacdc.cn (Yi</w:t>
      </w:r>
      <w:r>
        <w:rPr>
          <w:rFonts w:hint="eastAsia" w:ascii="Times New Roman" w:hAnsi="Times New Roman" w:eastAsia="等线" w:cs="Times New Roman"/>
          <w:kern w:val="2"/>
          <w:lang w:eastAsia="zh-CN"/>
        </w:rPr>
        <w:t>m</w:t>
      </w:r>
      <w:r>
        <w:rPr>
          <w:rFonts w:ascii="Times New Roman" w:hAnsi="Times New Roman" w:eastAsia="等线" w:cs="Times New Roman"/>
          <w:kern w:val="2"/>
          <w:lang w:eastAsia="zh-CN"/>
        </w:rPr>
        <w:t>in</w:t>
      </w:r>
      <w:r>
        <w:rPr>
          <w:rFonts w:hint="eastAsia" w:ascii="Times New Roman" w:hAnsi="Times New Roman" w:eastAsia="等线" w:cs="Times New Roman"/>
          <w:kern w:val="2"/>
          <w:lang w:eastAsia="zh-CN"/>
        </w:rPr>
        <w:t xml:space="preserve"> </w:t>
      </w:r>
      <w:r>
        <w:rPr>
          <w:rFonts w:ascii="Times New Roman" w:hAnsi="Times New Roman" w:eastAsia="等线" w:cs="Times New Roman"/>
          <w:kern w:val="2"/>
          <w:lang w:eastAsia="zh-CN"/>
        </w:rPr>
        <w:t>L</w:t>
      </w:r>
      <w:r>
        <w:rPr>
          <w:rFonts w:hint="eastAsia" w:ascii="Times New Roman" w:hAnsi="Times New Roman" w:eastAsia="等线" w:cs="Times New Roman"/>
          <w:kern w:val="2"/>
          <w:lang w:eastAsia="zh-CN"/>
        </w:rPr>
        <w:t>i</w:t>
      </w:r>
      <w:r>
        <w:rPr>
          <w:rFonts w:ascii="Times New Roman" w:hAnsi="Times New Roman" w:eastAsia="等线" w:cs="Times New Roman"/>
          <w:kern w:val="2"/>
          <w:lang w:eastAsia="zh-CN"/>
        </w:rPr>
        <w:t>)</w:t>
      </w:r>
      <w:r>
        <w:rPr>
          <w:rFonts w:hint="eastAsia" w:ascii="Times New Roman" w:hAnsi="Times New Roman" w:eastAsia="等线" w:cs="Times New Roman"/>
          <w:kern w:val="2"/>
          <w:lang w:eastAsia="zh-CN"/>
        </w:rPr>
        <w:t xml:space="preserve"> .</w:t>
      </w:r>
    </w:p>
    <w:p>
      <w:pPr>
        <w:spacing w:line="360" w:lineRule="auto"/>
        <w:rPr>
          <w:rFonts w:ascii="Arial" w:hAnsi="Arial" w:cs="Arial"/>
        </w:rPr>
      </w:pPr>
      <w:r>
        <w:rPr>
          <w:rFonts w:ascii="Arial" w:hAnsi="Arial" w:cs="Arial"/>
        </w:rPr>
        <w:br w:type="page"/>
      </w:r>
    </w:p>
    <w:p>
      <w:pPr>
        <w:spacing w:line="276" w:lineRule="auto"/>
        <w:jc w:val="center"/>
        <w:rPr>
          <w:rFonts w:ascii="Times New Roman" w:hAnsi="Times New Roman" w:cs="Times New Roman"/>
          <w:bCs/>
          <w:sz w:val="28"/>
          <w:szCs w:val="28"/>
        </w:rPr>
      </w:pPr>
      <w:r>
        <w:rPr>
          <w:rFonts w:ascii="Times New Roman" w:hAnsi="Times New Roman" w:cs="Times New Roman"/>
          <w:b/>
          <w:sz w:val="28"/>
          <w:szCs w:val="28"/>
        </w:rPr>
        <w:t xml:space="preserve">Summary: </w:t>
      </w:r>
      <w:r>
        <w:rPr>
          <w:rFonts w:hint="eastAsia" w:ascii="Times New Roman" w:hAnsi="Times New Roman" w:cs="Times New Roman"/>
          <w:bCs/>
          <w:sz w:val="28"/>
          <w:szCs w:val="28"/>
          <w:lang w:eastAsia="zh-CN"/>
        </w:rPr>
        <w:t>1</w:t>
      </w:r>
      <w:r>
        <w:rPr>
          <w:rFonts w:hint="default" w:ascii="Times New Roman" w:hAnsi="Times New Roman" w:cs="Times New Roman"/>
          <w:bCs/>
          <w:sz w:val="28"/>
          <w:szCs w:val="28"/>
          <w:lang w:eastAsia="zh-CN"/>
        </w:rPr>
        <w:t>0</w:t>
      </w:r>
      <w:r>
        <w:rPr>
          <w:rFonts w:ascii="Times New Roman" w:hAnsi="Times New Roman" w:cs="Times New Roman"/>
          <w:bCs/>
          <w:sz w:val="28"/>
          <w:szCs w:val="28"/>
          <w:lang w:eastAsia="zh-CN"/>
        </w:rPr>
        <w:t xml:space="preserve"> </w:t>
      </w:r>
      <w:r>
        <w:rPr>
          <w:rFonts w:ascii="Times New Roman" w:hAnsi="Times New Roman" w:cs="Times New Roman"/>
          <w:bCs/>
          <w:sz w:val="28"/>
          <w:szCs w:val="28"/>
        </w:rPr>
        <w:t xml:space="preserve">Pages, </w:t>
      </w:r>
      <w:r>
        <w:rPr>
          <w:rFonts w:ascii="Times New Roman" w:hAnsi="Times New Roman" w:cs="Times New Roman"/>
          <w:bCs/>
          <w:sz w:val="28"/>
          <w:szCs w:val="28"/>
          <w:lang w:eastAsia="zh-CN"/>
        </w:rPr>
        <w:t>4</w:t>
      </w:r>
      <w:r>
        <w:rPr>
          <w:rFonts w:ascii="Times New Roman" w:hAnsi="Times New Roman" w:cs="Times New Roman"/>
          <w:bCs/>
          <w:sz w:val="28"/>
          <w:szCs w:val="28"/>
        </w:rPr>
        <w:t xml:space="preserve"> Tables, and </w:t>
      </w:r>
      <w:r>
        <w:rPr>
          <w:rFonts w:ascii="Times New Roman" w:hAnsi="Times New Roman" w:cs="Times New Roman"/>
          <w:bCs/>
          <w:sz w:val="28"/>
          <w:szCs w:val="28"/>
          <w:lang w:eastAsia="zh-CN"/>
        </w:rPr>
        <w:t xml:space="preserve">1 </w:t>
      </w:r>
      <w:r>
        <w:rPr>
          <w:rFonts w:ascii="Times New Roman" w:hAnsi="Times New Roman" w:cs="Times New Roman"/>
          <w:bCs/>
          <w:sz w:val="28"/>
          <w:szCs w:val="28"/>
        </w:rPr>
        <w:t>Figure</w:t>
      </w:r>
    </w:p>
    <w:p>
      <w:pPr>
        <w:spacing w:line="276" w:lineRule="auto"/>
        <w:jc w:val="both"/>
        <w:rPr>
          <w:rFonts w:ascii="Arial" w:hAnsi="Arial" w:cs="Arial"/>
          <w:bCs/>
          <w:sz w:val="28"/>
          <w:szCs w:val="28"/>
        </w:rPr>
      </w:pPr>
    </w:p>
    <w:sdt>
      <w:sdtPr>
        <w:rPr>
          <w:rFonts w:ascii="Arial" w:hAnsi="Arial" w:cs="Arial" w:eastAsiaTheme="minorEastAsia"/>
          <w:color w:val="auto"/>
          <w:sz w:val="24"/>
          <w:szCs w:val="24"/>
          <w:lang w:eastAsia="ja-JP"/>
        </w:rPr>
        <w:id w:val="1"/>
      </w:sdtPr>
      <w:sdtEndPr>
        <w:rPr>
          <w:rFonts w:ascii="Arial" w:hAnsi="Arial" w:cs="Arial" w:eastAsiaTheme="minorEastAsia"/>
          <w:b/>
          <w:bCs/>
          <w:color w:val="auto"/>
          <w:sz w:val="24"/>
          <w:szCs w:val="24"/>
          <w:lang w:eastAsia="ja-JP"/>
        </w:rPr>
      </w:sdtEndPr>
      <w:sdtContent>
        <w:p>
          <w:pPr>
            <w:pStyle w:val="40"/>
            <w:spacing w:line="276" w:lineRule="auto"/>
            <w:jc w:val="center"/>
            <w:rPr>
              <w:rFonts w:ascii="Times New Roman" w:hAnsi="Times New Roman" w:cs="Times New Roman" w:eastAsiaTheme="minorEastAsia"/>
              <w:b/>
              <w:bCs/>
              <w:color w:val="000000" w:themeColor="text1"/>
              <w:sz w:val="44"/>
              <w:szCs w:val="44"/>
              <w:lang w:eastAsia="ja-JP"/>
              <w14:textFill>
                <w14:solidFill>
                  <w14:schemeClr w14:val="tx1"/>
                </w14:solidFill>
              </w14:textFill>
            </w:rPr>
          </w:pPr>
          <w:r>
            <w:rPr>
              <w:rFonts w:ascii="Times New Roman" w:hAnsi="Times New Roman" w:cs="Times New Roman" w:eastAsiaTheme="minorEastAsia"/>
              <w:b/>
              <w:bCs/>
              <w:color w:val="000000" w:themeColor="text1"/>
              <w:sz w:val="44"/>
              <w:szCs w:val="44"/>
              <w14:textFill>
                <w14:solidFill>
                  <w14:schemeClr w14:val="tx1"/>
                </w14:solidFill>
              </w14:textFill>
            </w:rPr>
            <w:t>Content</w:t>
          </w:r>
        </w:p>
        <w:p>
          <w:pPr>
            <w:spacing w:line="276" w:lineRule="auto"/>
            <w:jc w:val="both"/>
            <w:rPr>
              <w:rFonts w:ascii="Times New Roman" w:hAnsi="Times New Roman" w:cs="Times New Roman"/>
            </w:rPr>
          </w:pPr>
        </w:p>
        <w:p>
          <w:pPr>
            <w:pStyle w:val="8"/>
            <w:tabs>
              <w:tab w:val="right" w:leader="dot" w:pos="9026"/>
            </w:tabs>
          </w:pPr>
          <w:r>
            <w:rPr>
              <w:rFonts w:ascii="Times New Roman" w:hAnsi="Times New Roman" w:cs="Times New Roman"/>
              <w:b/>
              <w:bCs/>
            </w:rPr>
            <w:fldChar w:fldCharType="begin"/>
          </w:r>
          <w:r>
            <w:rPr>
              <w:rFonts w:ascii="Times New Roman" w:hAnsi="Times New Roman" w:cs="Times New Roman"/>
              <w:b/>
              <w:bCs/>
            </w:rPr>
            <w:instrText xml:space="preserve"> TOC \o "1-3" \h \z \u </w:instrText>
          </w:r>
          <w:r>
            <w:rPr>
              <w:rFonts w:ascii="Times New Roman" w:hAnsi="Times New Roman" w:cs="Times New Roman"/>
              <w:b/>
              <w:bCs/>
            </w:rPr>
            <w:fldChar w:fldCharType="separate"/>
          </w:r>
          <w:r>
            <w:rPr>
              <w:rFonts w:ascii="Times New Roman" w:hAnsi="Times New Roman" w:cs="Times New Roman"/>
              <w:bCs/>
            </w:rPr>
            <w:fldChar w:fldCharType="begin"/>
          </w:r>
          <w:r>
            <w:rPr>
              <w:rFonts w:ascii="Times New Roman" w:hAnsi="Times New Roman" w:cs="Times New Roman"/>
              <w:bCs/>
            </w:rPr>
            <w:instrText xml:space="preserve"> HYPERLINK \l _Toc102450175 </w:instrText>
          </w:r>
          <w:r>
            <w:rPr>
              <w:rFonts w:ascii="Times New Roman" w:hAnsi="Times New Roman" w:cs="Times New Roman"/>
              <w:bCs/>
            </w:rPr>
            <w:fldChar w:fldCharType="separate"/>
          </w:r>
          <w:r>
            <w:rPr>
              <w:rFonts w:ascii="Times New Roman" w:hAnsi="Times New Roman" w:cs="Times New Roman"/>
              <w:bCs w:val="0"/>
              <w:i/>
              <w:iCs/>
              <w:szCs w:val="24"/>
            </w:rPr>
            <w:t xml:space="preserve">1. </w:t>
          </w:r>
          <w:r>
            <w:rPr>
              <w:rFonts w:ascii="Times New Roman" w:hAnsi="Times New Roman" w:cs="Times New Roman"/>
              <w:bCs w:val="0"/>
              <w:i/>
              <w:iCs/>
              <w:szCs w:val="24"/>
              <w:lang w:eastAsia="zh-CN"/>
            </w:rPr>
            <w:t>SUPPORTING</w:t>
          </w:r>
          <w:r>
            <w:rPr>
              <w:rFonts w:hint="default" w:ascii="Times New Roman" w:hAnsi="Times New Roman" w:cs="Times New Roman"/>
              <w:bCs w:val="0"/>
              <w:i/>
              <w:iCs/>
              <w:szCs w:val="24"/>
              <w:lang w:eastAsia="zh-CN"/>
            </w:rPr>
            <w:t xml:space="preserve"> </w:t>
          </w:r>
          <w:r>
            <w:rPr>
              <w:rFonts w:ascii="Times New Roman" w:hAnsi="Times New Roman" w:cs="Times New Roman"/>
              <w:bCs w:val="0"/>
              <w:i/>
              <w:iCs/>
              <w:szCs w:val="24"/>
            </w:rPr>
            <w:t>MATERIALS AND METHODS</w:t>
          </w:r>
          <w:r>
            <w:tab/>
          </w:r>
          <w:r>
            <w:fldChar w:fldCharType="begin"/>
          </w:r>
          <w:r>
            <w:instrText xml:space="preserve"> PAGEREF _Toc102450175 \h </w:instrText>
          </w:r>
          <w:r>
            <w:fldChar w:fldCharType="separate"/>
          </w:r>
          <w:r>
            <w:t>1</w:t>
          </w:r>
          <w:r>
            <w:fldChar w:fldCharType="end"/>
          </w:r>
          <w:r>
            <w:rPr>
              <w:rFonts w:ascii="Times New Roman" w:hAnsi="Times New Roman" w:cs="Times New Roman"/>
              <w:bCs/>
            </w:rPr>
            <w:fldChar w:fldCharType="end"/>
          </w:r>
        </w:p>
        <w:p>
          <w:pPr>
            <w:pStyle w:val="9"/>
            <w:tabs>
              <w:tab w:val="right" w:leader="dot" w:pos="9026"/>
            </w:tabs>
          </w:pPr>
          <w:r>
            <w:rPr>
              <w:rFonts w:ascii="Times New Roman" w:hAnsi="Times New Roman" w:cs="Times New Roman"/>
              <w:bCs/>
            </w:rPr>
            <w:fldChar w:fldCharType="begin"/>
          </w:r>
          <w:r>
            <w:rPr>
              <w:rFonts w:ascii="Times New Roman" w:hAnsi="Times New Roman" w:cs="Times New Roman"/>
              <w:bCs/>
            </w:rPr>
            <w:instrText xml:space="preserve"> HYPERLINK \l _Toc1745689978 </w:instrText>
          </w:r>
          <w:r>
            <w:rPr>
              <w:rFonts w:ascii="Times New Roman" w:hAnsi="Times New Roman" w:cs="Times New Roman"/>
              <w:bCs/>
            </w:rPr>
            <w:fldChar w:fldCharType="separate"/>
          </w:r>
          <w:r>
            <w:rPr>
              <w:rFonts w:hint="eastAsia" w:cs="Times New Roman" w:eastAsiaTheme="minorEastAsia"/>
              <w:bCs w:val="0"/>
              <w:i/>
              <w:szCs w:val="24"/>
              <w:lang w:eastAsia="zh-CN"/>
            </w:rPr>
            <w:t xml:space="preserve">1.1. </w:t>
          </w:r>
          <w:r>
            <w:rPr>
              <w:rFonts w:cs="Times New Roman" w:eastAsiaTheme="minorEastAsia"/>
              <w:bCs w:val="0"/>
              <w:i/>
              <w:szCs w:val="24"/>
              <w:lang w:eastAsia="zh-CN"/>
            </w:rPr>
            <w:t>Information on Maleic Acid Polymer Scale Inhibitor</w:t>
          </w:r>
          <w:r>
            <w:tab/>
          </w:r>
          <w:r>
            <w:fldChar w:fldCharType="begin"/>
          </w:r>
          <w:r>
            <w:instrText xml:space="preserve"> PAGEREF _Toc1745689978 \h </w:instrText>
          </w:r>
          <w:r>
            <w:fldChar w:fldCharType="separate"/>
          </w:r>
          <w:r>
            <w:t>1</w:t>
          </w:r>
          <w:r>
            <w:fldChar w:fldCharType="end"/>
          </w:r>
          <w:r>
            <w:rPr>
              <w:rFonts w:ascii="Times New Roman" w:hAnsi="Times New Roman" w:cs="Times New Roman"/>
              <w:bCs/>
            </w:rPr>
            <w:fldChar w:fldCharType="end"/>
          </w:r>
        </w:p>
        <w:p>
          <w:pPr>
            <w:pStyle w:val="9"/>
            <w:tabs>
              <w:tab w:val="right" w:leader="dot" w:pos="9026"/>
            </w:tabs>
          </w:pPr>
          <w:r>
            <w:rPr>
              <w:rFonts w:ascii="Times New Roman" w:hAnsi="Times New Roman" w:cs="Times New Roman"/>
              <w:bCs/>
            </w:rPr>
            <w:fldChar w:fldCharType="begin"/>
          </w:r>
          <w:r>
            <w:rPr>
              <w:rFonts w:ascii="Times New Roman" w:hAnsi="Times New Roman" w:cs="Times New Roman"/>
              <w:bCs/>
            </w:rPr>
            <w:instrText xml:space="preserve"> HYPERLINK \l _Toc889874932 </w:instrText>
          </w:r>
          <w:r>
            <w:rPr>
              <w:rFonts w:ascii="Times New Roman" w:hAnsi="Times New Roman" w:cs="Times New Roman"/>
              <w:bCs/>
            </w:rPr>
            <w:fldChar w:fldCharType="separate"/>
          </w:r>
          <w:r>
            <w:rPr>
              <w:rFonts w:cs="Times New Roman" w:eastAsiaTheme="minorEastAsia"/>
              <w:bCs w:val="0"/>
              <w:i/>
              <w:szCs w:val="24"/>
              <w:lang w:eastAsia="zh-CN"/>
            </w:rPr>
            <w:t>1.2. Animal Husbandry</w:t>
          </w:r>
          <w:r>
            <w:tab/>
          </w:r>
          <w:r>
            <w:fldChar w:fldCharType="begin"/>
          </w:r>
          <w:r>
            <w:instrText xml:space="preserve"> PAGEREF _Toc889874932 \h </w:instrText>
          </w:r>
          <w:r>
            <w:fldChar w:fldCharType="separate"/>
          </w:r>
          <w:r>
            <w:t>1</w:t>
          </w:r>
          <w:r>
            <w:fldChar w:fldCharType="end"/>
          </w:r>
          <w:r>
            <w:rPr>
              <w:rFonts w:ascii="Times New Roman" w:hAnsi="Times New Roman" w:cs="Times New Roman"/>
              <w:bCs/>
            </w:rPr>
            <w:fldChar w:fldCharType="end"/>
          </w:r>
        </w:p>
        <w:p>
          <w:pPr>
            <w:pStyle w:val="9"/>
            <w:tabs>
              <w:tab w:val="right" w:leader="dot" w:pos="9026"/>
            </w:tabs>
          </w:pPr>
          <w:r>
            <w:rPr>
              <w:rFonts w:ascii="Times New Roman" w:hAnsi="Times New Roman" w:cs="Times New Roman"/>
              <w:bCs/>
            </w:rPr>
            <w:fldChar w:fldCharType="begin"/>
          </w:r>
          <w:r>
            <w:rPr>
              <w:rFonts w:ascii="Times New Roman" w:hAnsi="Times New Roman" w:cs="Times New Roman"/>
              <w:bCs/>
            </w:rPr>
            <w:instrText xml:space="preserve"> HYPERLINK \l _Toc1051864416 </w:instrText>
          </w:r>
          <w:r>
            <w:rPr>
              <w:rFonts w:ascii="Times New Roman" w:hAnsi="Times New Roman" w:cs="Times New Roman"/>
              <w:bCs/>
            </w:rPr>
            <w:fldChar w:fldCharType="separate"/>
          </w:r>
          <w:r>
            <w:rPr>
              <w:rFonts w:cs="Times New Roman" w:eastAsiaTheme="minorEastAsia"/>
              <w:bCs w:val="0"/>
              <w:i/>
              <w:szCs w:val="24"/>
              <w:lang w:eastAsia="zh-CN"/>
            </w:rPr>
            <w:t>1.3. Acute Oral Toxicity Test</w:t>
          </w:r>
          <w:r>
            <w:tab/>
          </w:r>
          <w:r>
            <w:fldChar w:fldCharType="begin"/>
          </w:r>
          <w:r>
            <w:instrText xml:space="preserve"> PAGEREF _Toc1051864416 \h </w:instrText>
          </w:r>
          <w:r>
            <w:fldChar w:fldCharType="separate"/>
          </w:r>
          <w:r>
            <w:t>2</w:t>
          </w:r>
          <w:r>
            <w:fldChar w:fldCharType="end"/>
          </w:r>
          <w:r>
            <w:rPr>
              <w:rFonts w:ascii="Times New Roman" w:hAnsi="Times New Roman" w:cs="Times New Roman"/>
              <w:bCs/>
            </w:rPr>
            <w:fldChar w:fldCharType="end"/>
          </w:r>
        </w:p>
        <w:p>
          <w:pPr>
            <w:pStyle w:val="9"/>
            <w:tabs>
              <w:tab w:val="right" w:leader="dot" w:pos="9026"/>
            </w:tabs>
          </w:pPr>
          <w:r>
            <w:rPr>
              <w:rFonts w:ascii="Times New Roman" w:hAnsi="Times New Roman" w:cs="Times New Roman"/>
              <w:bCs/>
            </w:rPr>
            <w:fldChar w:fldCharType="begin"/>
          </w:r>
          <w:r>
            <w:rPr>
              <w:rFonts w:ascii="Times New Roman" w:hAnsi="Times New Roman" w:cs="Times New Roman"/>
              <w:bCs/>
            </w:rPr>
            <w:instrText xml:space="preserve"> HYPERLINK \l _Toc599857608 </w:instrText>
          </w:r>
          <w:r>
            <w:rPr>
              <w:rFonts w:ascii="Times New Roman" w:hAnsi="Times New Roman" w:cs="Times New Roman"/>
              <w:bCs/>
            </w:rPr>
            <w:fldChar w:fldCharType="separate"/>
          </w:r>
          <w:r>
            <w:rPr>
              <w:rFonts w:cs="Times New Roman" w:eastAsiaTheme="minorEastAsia"/>
              <w:bCs w:val="0"/>
              <w:i/>
              <w:szCs w:val="24"/>
              <w:lang w:eastAsia="zh-CN"/>
            </w:rPr>
            <w:t>1.4. Subchronic Oral Toxicity Test</w:t>
          </w:r>
          <w:r>
            <w:tab/>
          </w:r>
          <w:r>
            <w:fldChar w:fldCharType="begin"/>
          </w:r>
          <w:r>
            <w:instrText xml:space="preserve"> PAGEREF _Toc599857608 \h </w:instrText>
          </w:r>
          <w:r>
            <w:fldChar w:fldCharType="separate"/>
          </w:r>
          <w:r>
            <w:t>2</w:t>
          </w:r>
          <w:r>
            <w:fldChar w:fldCharType="end"/>
          </w:r>
          <w:r>
            <w:rPr>
              <w:rFonts w:ascii="Times New Roman" w:hAnsi="Times New Roman" w:cs="Times New Roman"/>
              <w:bCs/>
            </w:rPr>
            <w:fldChar w:fldCharType="end"/>
          </w:r>
        </w:p>
        <w:p>
          <w:pPr>
            <w:pStyle w:val="9"/>
            <w:tabs>
              <w:tab w:val="right" w:leader="dot" w:pos="9026"/>
            </w:tabs>
          </w:pPr>
          <w:r>
            <w:rPr>
              <w:rFonts w:ascii="Times New Roman" w:hAnsi="Times New Roman" w:cs="Times New Roman"/>
              <w:bCs/>
            </w:rPr>
            <w:fldChar w:fldCharType="begin"/>
          </w:r>
          <w:r>
            <w:rPr>
              <w:rFonts w:ascii="Times New Roman" w:hAnsi="Times New Roman" w:cs="Times New Roman"/>
              <w:bCs/>
            </w:rPr>
            <w:instrText xml:space="preserve"> HYPERLINK \l _Toc1518578638 </w:instrText>
          </w:r>
          <w:r>
            <w:rPr>
              <w:rFonts w:ascii="Times New Roman" w:hAnsi="Times New Roman" w:cs="Times New Roman"/>
              <w:bCs/>
            </w:rPr>
            <w:fldChar w:fldCharType="separate"/>
          </w:r>
          <w:r>
            <w:rPr>
              <w:rFonts w:cs="Times New Roman" w:eastAsiaTheme="minorEastAsia"/>
              <w:bCs w:val="0"/>
              <w:i/>
              <w:iCs/>
              <w:szCs w:val="24"/>
              <w:lang w:eastAsia="zh-CN"/>
            </w:rPr>
            <w:t>1.5. Genotoxicity Test</w:t>
          </w:r>
          <w:r>
            <w:tab/>
          </w:r>
          <w:r>
            <w:fldChar w:fldCharType="begin"/>
          </w:r>
          <w:r>
            <w:instrText xml:space="preserve"> PAGEREF _Toc1518578638 \h </w:instrText>
          </w:r>
          <w:r>
            <w:fldChar w:fldCharType="separate"/>
          </w:r>
          <w:r>
            <w:t>4</w:t>
          </w:r>
          <w:r>
            <w:fldChar w:fldCharType="end"/>
          </w:r>
          <w:r>
            <w:rPr>
              <w:rFonts w:ascii="Times New Roman" w:hAnsi="Times New Roman" w:cs="Times New Roman"/>
              <w:bCs/>
            </w:rPr>
            <w:fldChar w:fldCharType="end"/>
          </w:r>
        </w:p>
        <w:p>
          <w:pPr>
            <w:pStyle w:val="8"/>
            <w:tabs>
              <w:tab w:val="right" w:leader="dot" w:pos="9026"/>
            </w:tabs>
          </w:pPr>
          <w:r>
            <w:rPr>
              <w:rFonts w:ascii="Times New Roman" w:hAnsi="Times New Roman" w:cs="Times New Roman"/>
              <w:bCs/>
            </w:rPr>
            <w:fldChar w:fldCharType="begin"/>
          </w:r>
          <w:r>
            <w:rPr>
              <w:rFonts w:ascii="Times New Roman" w:hAnsi="Times New Roman" w:cs="Times New Roman"/>
              <w:bCs/>
            </w:rPr>
            <w:instrText xml:space="preserve"> HYPERLINK \l _Toc2055507918 </w:instrText>
          </w:r>
          <w:r>
            <w:rPr>
              <w:rFonts w:ascii="Times New Roman" w:hAnsi="Times New Roman" w:cs="Times New Roman"/>
              <w:bCs/>
            </w:rPr>
            <w:fldChar w:fldCharType="separate"/>
          </w:r>
          <w:r>
            <w:rPr>
              <w:rFonts w:ascii="Arial" w:hAnsi="Arial" w:cs="Arial" w:eastAsiaTheme="minorEastAsia"/>
              <w:bCs/>
              <w:szCs w:val="24"/>
            </w:rPr>
            <w:t xml:space="preserve">2. </w:t>
          </w:r>
          <w:r>
            <w:rPr>
              <w:rFonts w:ascii="Times New Roman" w:hAnsi="Times New Roman" w:cs="Times New Roman"/>
              <w:bCs w:val="0"/>
              <w:i/>
              <w:iCs/>
              <w:szCs w:val="24"/>
              <w:lang w:eastAsia="zh-CN"/>
            </w:rPr>
            <w:t>SUPPORTING</w:t>
          </w:r>
          <w:r>
            <w:rPr>
              <w:rFonts w:hint="default" w:ascii="Times New Roman" w:hAnsi="Times New Roman" w:cs="Times New Roman"/>
              <w:bCs w:val="0"/>
              <w:i/>
              <w:iCs/>
              <w:szCs w:val="24"/>
              <w:lang w:eastAsia="zh-CN"/>
            </w:rPr>
            <w:t xml:space="preserve"> </w:t>
          </w:r>
          <w:r>
            <w:rPr>
              <w:rFonts w:ascii="Times New Roman" w:hAnsi="Times New Roman" w:cs="Times New Roman"/>
              <w:i/>
              <w:iCs/>
            </w:rPr>
            <w:t>RESULTS</w:t>
          </w:r>
          <w:r>
            <w:tab/>
          </w:r>
          <w:r>
            <w:fldChar w:fldCharType="begin"/>
          </w:r>
          <w:r>
            <w:instrText xml:space="preserve"> PAGEREF _Toc2055507918 \h </w:instrText>
          </w:r>
          <w:r>
            <w:fldChar w:fldCharType="separate"/>
          </w:r>
          <w:r>
            <w:t>6</w:t>
          </w:r>
          <w:r>
            <w:fldChar w:fldCharType="end"/>
          </w:r>
          <w:r>
            <w:rPr>
              <w:rFonts w:ascii="Times New Roman" w:hAnsi="Times New Roman" w:cs="Times New Roman"/>
              <w:bCs/>
            </w:rPr>
            <w:fldChar w:fldCharType="end"/>
          </w:r>
        </w:p>
        <w:p>
          <w:pPr>
            <w:pStyle w:val="9"/>
            <w:tabs>
              <w:tab w:val="right" w:leader="dot" w:pos="9026"/>
            </w:tabs>
          </w:pPr>
          <w:r>
            <w:rPr>
              <w:rFonts w:ascii="Times New Roman" w:hAnsi="Times New Roman" w:cs="Times New Roman"/>
              <w:bCs/>
            </w:rPr>
            <w:fldChar w:fldCharType="begin"/>
          </w:r>
          <w:r>
            <w:rPr>
              <w:rFonts w:ascii="Times New Roman" w:hAnsi="Times New Roman" w:cs="Times New Roman"/>
              <w:bCs/>
            </w:rPr>
            <w:instrText xml:space="preserve"> HYPERLINK \l _Toc352148537 </w:instrText>
          </w:r>
          <w:r>
            <w:rPr>
              <w:rFonts w:ascii="Times New Roman" w:hAnsi="Times New Roman" w:cs="Times New Roman"/>
              <w:bCs/>
            </w:rPr>
            <w:fldChar w:fldCharType="separate"/>
          </w:r>
          <w:r>
            <w:rPr>
              <w:rFonts w:cs="Times New Roman" w:eastAsiaTheme="minorEastAsia"/>
              <w:bCs w:val="0"/>
              <w:i/>
              <w:iCs/>
              <w:szCs w:val="24"/>
            </w:rPr>
            <w:t>Table S1. Rat deaths in the maleic acid polymer scale inhibitor oral acute toxicity test after single oral gavage</w:t>
          </w:r>
          <w:r>
            <w:tab/>
          </w:r>
          <w:r>
            <w:fldChar w:fldCharType="begin"/>
          </w:r>
          <w:r>
            <w:instrText xml:space="preserve"> PAGEREF _Toc352148537 \h </w:instrText>
          </w:r>
          <w:r>
            <w:fldChar w:fldCharType="separate"/>
          </w:r>
          <w:r>
            <w:t>6</w:t>
          </w:r>
          <w:r>
            <w:fldChar w:fldCharType="end"/>
          </w:r>
          <w:r>
            <w:rPr>
              <w:rFonts w:ascii="Times New Roman" w:hAnsi="Times New Roman" w:cs="Times New Roman"/>
              <w:bCs/>
            </w:rPr>
            <w:fldChar w:fldCharType="end"/>
          </w:r>
        </w:p>
        <w:p>
          <w:pPr>
            <w:pStyle w:val="9"/>
            <w:tabs>
              <w:tab w:val="right" w:leader="dot" w:pos="9026"/>
            </w:tabs>
          </w:pPr>
          <w:r>
            <w:rPr>
              <w:rFonts w:ascii="Times New Roman" w:hAnsi="Times New Roman" w:cs="Times New Roman"/>
              <w:bCs/>
            </w:rPr>
            <w:fldChar w:fldCharType="begin"/>
          </w:r>
          <w:r>
            <w:rPr>
              <w:rFonts w:ascii="Times New Roman" w:hAnsi="Times New Roman" w:cs="Times New Roman"/>
              <w:bCs/>
            </w:rPr>
            <w:instrText xml:space="preserve"> HYPERLINK \l _Toc95530227 </w:instrText>
          </w:r>
          <w:r>
            <w:rPr>
              <w:rFonts w:ascii="Times New Roman" w:hAnsi="Times New Roman" w:cs="Times New Roman"/>
              <w:bCs/>
            </w:rPr>
            <w:fldChar w:fldCharType="separate"/>
          </w:r>
          <w:r>
            <w:rPr>
              <w:rFonts w:cs="Times New Roman" w:eastAsiaTheme="minorEastAsia"/>
              <w:bCs w:val="0"/>
              <w:i/>
              <w:iCs/>
              <w:szCs w:val="24"/>
            </w:rPr>
            <w:t>Table S2. Body weight changes of rats exposed to different doses of maleic acid polymer scale inhibitor for 90 days</w:t>
          </w:r>
          <w:r>
            <w:tab/>
          </w:r>
          <w:r>
            <w:fldChar w:fldCharType="begin"/>
          </w:r>
          <w:r>
            <w:instrText xml:space="preserve"> PAGEREF _Toc95530227 \h </w:instrText>
          </w:r>
          <w:r>
            <w:fldChar w:fldCharType="separate"/>
          </w:r>
          <w:r>
            <w:t>7</w:t>
          </w:r>
          <w:r>
            <w:fldChar w:fldCharType="end"/>
          </w:r>
          <w:r>
            <w:rPr>
              <w:rFonts w:ascii="Times New Roman" w:hAnsi="Times New Roman" w:cs="Times New Roman"/>
              <w:bCs/>
            </w:rPr>
            <w:fldChar w:fldCharType="end"/>
          </w:r>
        </w:p>
        <w:p>
          <w:pPr>
            <w:pStyle w:val="9"/>
            <w:tabs>
              <w:tab w:val="right" w:leader="dot" w:pos="9026"/>
            </w:tabs>
          </w:pPr>
          <w:r>
            <w:rPr>
              <w:rFonts w:ascii="Times New Roman" w:hAnsi="Times New Roman" w:cs="Times New Roman"/>
              <w:bCs/>
            </w:rPr>
            <w:fldChar w:fldCharType="begin"/>
          </w:r>
          <w:r>
            <w:rPr>
              <w:rFonts w:ascii="Times New Roman" w:hAnsi="Times New Roman" w:cs="Times New Roman"/>
              <w:bCs/>
            </w:rPr>
            <w:instrText xml:space="preserve"> HYPERLINK \l _Toc1632934925 </w:instrText>
          </w:r>
          <w:r>
            <w:rPr>
              <w:rFonts w:ascii="Times New Roman" w:hAnsi="Times New Roman" w:cs="Times New Roman"/>
              <w:bCs/>
            </w:rPr>
            <w:fldChar w:fldCharType="separate"/>
          </w:r>
          <w:r>
            <w:rPr>
              <w:rFonts w:cs="Times New Roman" w:eastAsiaTheme="minorEastAsia"/>
              <w:bCs w:val="0"/>
              <w:i/>
              <w:iCs/>
              <w:szCs w:val="24"/>
            </w:rPr>
            <w:t>Table S3.</w:t>
          </w:r>
          <w:r>
            <w:rPr>
              <w:rFonts w:cs="Times New Roman"/>
              <w:bCs w:val="0"/>
              <w:i/>
              <w:iCs/>
            </w:rPr>
            <w:t xml:space="preserve"> </w:t>
          </w:r>
          <w:r>
            <w:rPr>
              <w:rFonts w:cs="Times New Roman"/>
              <w:bCs w:val="0"/>
              <w:i/>
              <w:iCs/>
              <w:lang w:eastAsia="zh-CN"/>
            </w:rPr>
            <w:t>Biochemical changes in the blood of rats exposed to different doses of maleic acid polymer scale inhibitor for 90 days</w:t>
          </w:r>
          <w:r>
            <w:tab/>
          </w:r>
          <w:r>
            <w:fldChar w:fldCharType="begin"/>
          </w:r>
          <w:r>
            <w:instrText xml:space="preserve"> PAGEREF _Toc1632934925 \h </w:instrText>
          </w:r>
          <w:r>
            <w:fldChar w:fldCharType="separate"/>
          </w:r>
          <w:r>
            <w:t>8</w:t>
          </w:r>
          <w:r>
            <w:fldChar w:fldCharType="end"/>
          </w:r>
          <w:r>
            <w:rPr>
              <w:rFonts w:ascii="Times New Roman" w:hAnsi="Times New Roman" w:cs="Times New Roman"/>
              <w:bCs/>
            </w:rPr>
            <w:fldChar w:fldCharType="end"/>
          </w:r>
        </w:p>
        <w:p>
          <w:pPr>
            <w:pStyle w:val="9"/>
            <w:tabs>
              <w:tab w:val="right" w:leader="dot" w:pos="9026"/>
            </w:tabs>
          </w:pPr>
          <w:r>
            <w:rPr>
              <w:rFonts w:ascii="Times New Roman" w:hAnsi="Times New Roman" w:cs="Times New Roman"/>
              <w:bCs/>
            </w:rPr>
            <w:fldChar w:fldCharType="begin"/>
          </w:r>
          <w:r>
            <w:rPr>
              <w:rFonts w:ascii="Times New Roman" w:hAnsi="Times New Roman" w:cs="Times New Roman"/>
              <w:bCs/>
            </w:rPr>
            <w:instrText xml:space="preserve"> HYPERLINK \l _Toc464344069 </w:instrText>
          </w:r>
          <w:r>
            <w:rPr>
              <w:rFonts w:ascii="Times New Roman" w:hAnsi="Times New Roman" w:cs="Times New Roman"/>
              <w:bCs/>
            </w:rPr>
            <w:fldChar w:fldCharType="separate"/>
          </w:r>
          <w:r>
            <w:rPr>
              <w:rFonts w:cs="Times New Roman" w:eastAsiaTheme="minorEastAsia"/>
              <w:bCs w:val="0"/>
              <w:i/>
              <w:iCs/>
              <w:szCs w:val="24"/>
            </w:rPr>
            <w:t>Table S4.</w:t>
          </w:r>
          <w:r>
            <w:rPr>
              <w:rFonts w:cs="Times New Roman"/>
              <w:bCs w:val="0"/>
              <w:i/>
              <w:iCs/>
            </w:rPr>
            <w:t xml:space="preserve"> </w:t>
          </w:r>
          <w:r>
            <w:rPr>
              <w:rFonts w:cs="Times New Roman"/>
              <w:bCs w:val="0"/>
              <w:i/>
              <w:iCs/>
              <w:lang w:eastAsia="zh-CN"/>
            </w:rPr>
            <w:t>Hematologic changes in the blood of rats exposed to different doses of maleic acid polymer scale inhibitor for 90 days</w:t>
          </w:r>
          <w:r>
            <w:tab/>
          </w:r>
          <w:r>
            <w:fldChar w:fldCharType="begin"/>
          </w:r>
          <w:r>
            <w:instrText xml:space="preserve"> PAGEREF _Toc464344069 \h </w:instrText>
          </w:r>
          <w:r>
            <w:fldChar w:fldCharType="separate"/>
          </w:r>
          <w:r>
            <w:t>9</w:t>
          </w:r>
          <w:r>
            <w:fldChar w:fldCharType="end"/>
          </w:r>
          <w:r>
            <w:rPr>
              <w:rFonts w:ascii="Times New Roman" w:hAnsi="Times New Roman" w:cs="Times New Roman"/>
              <w:bCs/>
            </w:rPr>
            <w:fldChar w:fldCharType="end"/>
          </w:r>
        </w:p>
        <w:p>
          <w:pPr>
            <w:pStyle w:val="9"/>
            <w:tabs>
              <w:tab w:val="right" w:leader="dot" w:pos="9026"/>
            </w:tabs>
          </w:pPr>
          <w:r>
            <w:rPr>
              <w:rFonts w:ascii="Times New Roman" w:hAnsi="Times New Roman" w:cs="Times New Roman"/>
              <w:bCs/>
            </w:rPr>
            <w:fldChar w:fldCharType="begin"/>
          </w:r>
          <w:r>
            <w:rPr>
              <w:rFonts w:ascii="Times New Roman" w:hAnsi="Times New Roman" w:cs="Times New Roman"/>
              <w:bCs/>
            </w:rPr>
            <w:instrText xml:space="preserve"> HYPERLINK \l _Toc1661417404 </w:instrText>
          </w:r>
          <w:r>
            <w:rPr>
              <w:rFonts w:ascii="Times New Roman" w:hAnsi="Times New Roman" w:cs="Times New Roman"/>
              <w:bCs/>
            </w:rPr>
            <w:fldChar w:fldCharType="separate"/>
          </w:r>
          <w:r>
            <w:rPr>
              <w:rFonts w:cs="Times New Roman" w:eastAsiaTheme="minorEastAsia"/>
              <w:bCs w:val="0"/>
              <w:i/>
              <w:iCs/>
            </w:rPr>
            <w:t>Figure</w:t>
          </w:r>
          <w:r>
            <w:rPr>
              <w:rFonts w:cs="Times New Roman" w:eastAsiaTheme="minorEastAsia"/>
              <w:bCs w:val="0"/>
              <w:i/>
              <w:iCs/>
              <w:lang w:eastAsia="zh-CN"/>
            </w:rPr>
            <w:t xml:space="preserve"> </w:t>
          </w:r>
          <w:r>
            <w:rPr>
              <w:rFonts w:cs="Times New Roman" w:eastAsiaTheme="minorEastAsia"/>
              <w:bCs w:val="0"/>
              <w:i/>
              <w:iCs/>
            </w:rPr>
            <w:t>S1.</w:t>
          </w:r>
          <w:r>
            <w:rPr>
              <w:rFonts w:cs="Times New Roman"/>
              <w:bCs w:val="0"/>
              <w:i/>
              <w:iCs/>
            </w:rPr>
            <w:t xml:space="preserve"> </w:t>
          </w:r>
          <w:r>
            <w:rPr>
              <w:rFonts w:cs="Times New Roman"/>
            </w:rPr>
            <w:t>Typical pathology of important organs in the histopatholog</w:t>
          </w:r>
          <w:r>
            <w:rPr>
              <w:rFonts w:hint="default" w:cs="Times New Roman"/>
            </w:rPr>
            <w:t>y</w:t>
          </w:r>
          <w:r>
            <w:rPr>
              <w:rFonts w:cs="Times New Roman"/>
            </w:rPr>
            <w:t xml:space="preserve"> </w:t>
          </w:r>
          <w:r>
            <w:tab/>
          </w:r>
          <w:r>
            <w:fldChar w:fldCharType="begin"/>
          </w:r>
          <w:r>
            <w:instrText xml:space="preserve"> PAGEREF _Toc1661417404 \h </w:instrText>
          </w:r>
          <w:r>
            <w:fldChar w:fldCharType="separate"/>
          </w:r>
          <w:r>
            <w:t>10</w:t>
          </w:r>
          <w:r>
            <w:fldChar w:fldCharType="end"/>
          </w:r>
          <w:r>
            <w:rPr>
              <w:rFonts w:ascii="Times New Roman" w:hAnsi="Times New Roman" w:cs="Times New Roman"/>
              <w:bCs/>
            </w:rPr>
            <w:fldChar w:fldCharType="end"/>
          </w:r>
        </w:p>
        <w:p>
          <w:pPr>
            <w:spacing w:line="276" w:lineRule="auto"/>
            <w:jc w:val="both"/>
            <w:rPr>
              <w:rFonts w:ascii="Arial" w:hAnsi="Arial" w:cs="Arial"/>
            </w:rPr>
          </w:pPr>
          <w:r>
            <w:rPr>
              <w:rFonts w:ascii="Times New Roman" w:hAnsi="Times New Roman" w:cs="Times New Roman"/>
              <w:bCs/>
            </w:rPr>
            <w:fldChar w:fldCharType="end"/>
          </w:r>
        </w:p>
      </w:sdtContent>
    </w:sdt>
    <w:p>
      <w:pPr>
        <w:spacing w:line="276" w:lineRule="auto"/>
        <w:jc w:val="both"/>
        <w:rPr>
          <w:rFonts w:ascii="Arial" w:hAnsi="Arial" w:cs="Arial"/>
          <w:lang w:eastAsia="zh-CN"/>
        </w:rPr>
        <w:sectPr>
          <w:footerReference r:id="rId3" w:type="default"/>
          <w:footerReference r:id="rId4" w:type="even"/>
          <w:pgSz w:w="11906" w:h="16838"/>
          <w:pgMar w:top="1440" w:right="1440" w:bottom="1440" w:left="1440" w:header="851" w:footer="992" w:gutter="0"/>
          <w:cols w:space="425" w:num="1"/>
          <w:docGrid w:type="lines" w:linePitch="326" w:charSpace="0"/>
        </w:sectPr>
      </w:pPr>
    </w:p>
    <w:p>
      <w:pPr>
        <w:pStyle w:val="2"/>
        <w:numPr>
          <w:ilvl w:val="0"/>
          <w:numId w:val="1"/>
        </w:numPr>
        <w:spacing w:before="0" w:after="0" w:line="360" w:lineRule="auto"/>
        <w:ind w:firstLine="482"/>
        <w:jc w:val="both"/>
        <w:rPr>
          <w:rFonts w:ascii="Times New Roman" w:hAnsi="Times New Roman" w:cs="Times New Roman"/>
          <w:bCs w:val="0"/>
          <w:i/>
          <w:iCs/>
          <w:sz w:val="24"/>
          <w:szCs w:val="24"/>
        </w:rPr>
      </w:pPr>
      <w:bookmarkStart w:id="0" w:name="_Toc17994"/>
      <w:bookmarkStart w:id="1" w:name="_Toc102450175"/>
      <w:bookmarkStart w:id="2" w:name="_Toc100760372"/>
      <w:r>
        <w:rPr>
          <w:rFonts w:ascii="Times New Roman" w:hAnsi="Times New Roman" w:cs="Times New Roman"/>
          <w:bCs w:val="0"/>
          <w:i/>
          <w:iCs/>
          <w:sz w:val="24"/>
          <w:szCs w:val="24"/>
          <w:lang w:eastAsia="zh-CN"/>
        </w:rPr>
        <w:t>SUPPORTING</w:t>
      </w:r>
      <w:r>
        <w:rPr>
          <w:rFonts w:hint="default" w:ascii="Times New Roman" w:hAnsi="Times New Roman" w:cs="Times New Roman"/>
          <w:bCs w:val="0"/>
          <w:i/>
          <w:iCs/>
          <w:sz w:val="24"/>
          <w:szCs w:val="24"/>
          <w:lang w:eastAsia="zh-CN"/>
        </w:rPr>
        <w:t xml:space="preserve"> </w:t>
      </w:r>
      <w:r>
        <w:rPr>
          <w:rFonts w:ascii="Times New Roman" w:hAnsi="Times New Roman" w:cs="Times New Roman"/>
          <w:bCs w:val="0"/>
          <w:i/>
          <w:iCs/>
          <w:sz w:val="24"/>
          <w:szCs w:val="24"/>
        </w:rPr>
        <w:t>MATERIALS AND METHODS</w:t>
      </w:r>
      <w:bookmarkEnd w:id="0"/>
      <w:bookmarkEnd w:id="1"/>
      <w:bookmarkEnd w:id="2"/>
    </w:p>
    <w:p>
      <w:pPr>
        <w:pStyle w:val="3"/>
        <w:spacing w:before="0" w:after="0" w:line="360" w:lineRule="auto"/>
        <w:jc w:val="both"/>
        <w:rPr>
          <w:rFonts w:cs="Times New Roman" w:eastAsiaTheme="minorEastAsia"/>
          <w:bCs w:val="0"/>
          <w:i/>
          <w:szCs w:val="24"/>
          <w:lang w:eastAsia="zh-CN"/>
        </w:rPr>
      </w:pPr>
      <w:bookmarkStart w:id="3" w:name="_Toc1745689978"/>
      <w:r>
        <w:rPr>
          <w:rFonts w:hint="eastAsia" w:cs="Times New Roman" w:eastAsiaTheme="minorEastAsia"/>
          <w:bCs w:val="0"/>
          <w:i/>
          <w:szCs w:val="24"/>
          <w:lang w:eastAsia="zh-CN"/>
        </w:rPr>
        <w:t xml:space="preserve">1.1. </w:t>
      </w:r>
      <w:r>
        <w:rPr>
          <w:rFonts w:cs="Times New Roman" w:eastAsiaTheme="minorEastAsia"/>
          <w:bCs w:val="0"/>
          <w:i/>
          <w:szCs w:val="24"/>
          <w:lang w:eastAsia="zh-CN"/>
        </w:rPr>
        <w:t>Information on Maleic Acid Polymer Scale Inhibitor</w:t>
      </w:r>
      <w:bookmarkEnd w:id="3"/>
      <w:bookmarkStart w:id="31" w:name="_GoBack"/>
      <w:bookmarkEnd w:id="31"/>
    </w:p>
    <w:p>
      <w:pPr>
        <w:spacing w:line="360" w:lineRule="auto"/>
        <w:ind w:firstLine="480" w:firstLineChars="200"/>
        <w:jc w:val="both"/>
        <w:rPr>
          <w:rFonts w:ascii="Times New Roman" w:hAnsi="Times New Roman" w:cs="Times New Roman"/>
        </w:rPr>
      </w:pPr>
      <w:r>
        <w:rPr>
          <w:rFonts w:ascii="Times New Roman" w:hAnsi="Times New Roman" w:cs="Times New Roman"/>
        </w:rPr>
        <w:t>The production process was as follows: (1) Maleic anhydride was hydrolyzed to maleic acid at 90–105</w:t>
      </w:r>
      <w:r>
        <w:rPr>
          <w:rFonts w:ascii="Times New Roman" w:hAnsi="Times New Roman" w:eastAsia="微软雅黑" w:cs="Times New Roman"/>
        </w:rPr>
        <w:t xml:space="preserve"> °C</w:t>
      </w:r>
      <w:r>
        <w:rPr>
          <w:rFonts w:ascii="Times New Roman" w:hAnsi="Times New Roman" w:cs="Times New Roman"/>
        </w:rPr>
        <w:t xml:space="preserve">; (2) The second monomer, sodium propylene sulfonate, the initiator, hydrogen peroxide (or sodium persulfate), and the catalyst, ferrous sulfate, were added to the maleic acid solution and polymerized at 90–105 </w:t>
      </w:r>
      <w:r>
        <w:rPr>
          <w:rFonts w:ascii="Times New Roman" w:hAnsi="Times New Roman" w:eastAsia="微软雅黑" w:cs="Times New Roman"/>
        </w:rPr>
        <w:t>°C</w:t>
      </w:r>
      <w:r>
        <w:rPr>
          <w:rFonts w:ascii="Times New Roman" w:hAnsi="Times New Roman" w:cs="Times New Roman"/>
        </w:rPr>
        <w:t xml:space="preserve"> to generate a maleic acid/sodium propylene sulfonate copolymer; (3) Hydroxyethylidenediphosphonic acid was added to the copolymer to synthesize the low-phosphorus polymer scale inhibitor. The reaction formula is as follows:</w:t>
      </w:r>
    </w:p>
    <w:p>
      <w:pPr>
        <w:spacing w:line="360" w:lineRule="auto"/>
        <w:rPr>
          <w:rFonts w:ascii="Arial" w:hAnsi="Arial" w:cs="Arial"/>
        </w:rPr>
      </w:pPr>
      <w:r>
        <w:rPr>
          <w:rFonts w:ascii="Arial" w:hAnsi="Arial" w:cs="Arial"/>
          <w:lang w:eastAsia="zh-CN"/>
        </w:rPr>
        <w:drawing>
          <wp:inline distT="0" distB="0" distL="0" distR="0">
            <wp:extent cx="5731510" cy="1670685"/>
            <wp:effectExtent l="0" t="0" r="2540"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5731510" cy="1670685"/>
                    </a:xfrm>
                    <a:prstGeom prst="rect">
                      <a:avLst/>
                    </a:prstGeom>
                  </pic:spPr>
                </pic:pic>
              </a:graphicData>
            </a:graphic>
          </wp:inline>
        </w:drawing>
      </w:r>
    </w:p>
    <w:p>
      <w:pPr>
        <w:pStyle w:val="3"/>
        <w:spacing w:before="0" w:after="0" w:line="360" w:lineRule="auto"/>
        <w:jc w:val="both"/>
        <w:rPr>
          <w:rFonts w:cs="Times New Roman" w:eastAsiaTheme="minorEastAsia"/>
          <w:bCs w:val="0"/>
          <w:i/>
          <w:szCs w:val="24"/>
          <w:lang w:eastAsia="zh-CN"/>
        </w:rPr>
      </w:pPr>
      <w:bookmarkStart w:id="4" w:name="_Toc889874932"/>
      <w:bookmarkStart w:id="5" w:name="_Toc3660"/>
      <w:bookmarkStart w:id="6" w:name="_Toc100760374"/>
      <w:r>
        <w:rPr>
          <w:rFonts w:cs="Times New Roman" w:eastAsiaTheme="minorEastAsia"/>
          <w:bCs w:val="0"/>
          <w:i/>
          <w:szCs w:val="24"/>
          <w:lang w:eastAsia="zh-CN"/>
        </w:rPr>
        <w:t>1.2. Animal Husbandry</w:t>
      </w:r>
      <w:bookmarkEnd w:id="4"/>
      <w:bookmarkEnd w:id="5"/>
      <w:bookmarkEnd w:id="6"/>
    </w:p>
    <w:p>
      <w:pPr>
        <w:spacing w:line="360" w:lineRule="auto"/>
        <w:ind w:firstLine="480" w:firstLineChars="200"/>
        <w:jc w:val="both"/>
        <w:rPr>
          <w:rFonts w:ascii="Times New Roman" w:hAnsi="Times New Roman" w:cs="Times New Roman"/>
          <w:b/>
        </w:rPr>
      </w:pPr>
      <w:bookmarkStart w:id="7" w:name="_Toc3615"/>
      <w:bookmarkStart w:id="8" w:name="_Toc100760376"/>
      <w:r>
        <w:rPr>
          <w:rFonts w:ascii="Times New Roman" w:hAnsi="Times New Roman" w:cs="Times New Roman"/>
        </w:rPr>
        <w:t>A total of 120 6-week-old specific pathogen-free (SPF) W</w:t>
      </w:r>
      <w:r>
        <w:rPr>
          <w:rFonts w:ascii="Times New Roman" w:hAnsi="Times New Roman" w:cs="Times New Roman"/>
          <w:lang w:eastAsia="zh-CN"/>
        </w:rPr>
        <w:t>i</w:t>
      </w:r>
      <w:r>
        <w:rPr>
          <w:rFonts w:ascii="Times New Roman" w:hAnsi="Times New Roman" w:cs="Times New Roman"/>
        </w:rPr>
        <w:t>star rats weighing 180–200 g and 50 SPF Kunming mice weighing 25–30 g, half male and half female, were obtained from the Experimental Animal Center of the Academy of Military Medical Sciences (Beijing, China). Forty of the Wistar rats were used for the acute oral toxicity test, and 80 were used for the subchronic toxicity test. The 50 Kunming mice were used for the mammalian erythrocyte micronucleus test. The animals were maintained in a temperature-controlled (23</w:t>
      </w:r>
      <w:r>
        <w:rPr>
          <w:rFonts w:ascii="Times New Roman" w:hAnsi="Times New Roman" w:cs="Times New Roman"/>
          <w:lang w:eastAsia="zh-CN"/>
        </w:rPr>
        <w:t xml:space="preserve"> ± </w:t>
      </w:r>
      <w:r>
        <w:rPr>
          <w:rFonts w:ascii="Times New Roman" w:hAnsi="Times New Roman" w:cs="Times New Roman"/>
        </w:rPr>
        <w:t>2 °C) environment with a 12-h light/dark cycle and with free access to food and water. The Committee of Laboratory Animal Welfare and Ethical Review, Institute of Environmental and Health-Related Product Safety, China CDC</w:t>
      </w:r>
      <w:r>
        <w:rPr>
          <w:rStyle w:val="19"/>
          <w:rFonts w:ascii="Times New Roman" w:hAnsi="Times New Roman" w:cs="Times New Roman"/>
          <w:lang w:eastAsia="zh-CN"/>
        </w:rPr>
        <w:t xml:space="preserve"> </w:t>
      </w:r>
      <w:r>
        <w:rPr>
          <w:rFonts w:ascii="Times New Roman" w:hAnsi="Times New Roman" w:cs="Times New Roman"/>
          <w:lang w:eastAsia="zh-CN"/>
        </w:rPr>
        <w:t>(</w:t>
      </w:r>
      <w:r>
        <w:rPr>
          <w:rFonts w:ascii="Times New Roman" w:hAnsi="Times New Roman" w:cs="Times New Roman"/>
        </w:rPr>
        <w:t>Chinese Center for Disease Control and Prevention</w:t>
      </w:r>
      <w:r>
        <w:rPr>
          <w:rFonts w:ascii="Times New Roman" w:hAnsi="Times New Roman" w:cs="Times New Roman"/>
          <w:lang w:eastAsia="zh-CN"/>
        </w:rPr>
        <w:t>)</w:t>
      </w:r>
      <w:r>
        <w:rPr>
          <w:rFonts w:ascii="Times New Roman" w:hAnsi="Times New Roman" w:cs="Times New Roman"/>
        </w:rPr>
        <w:t xml:space="preserve"> approved all of the animal procedures (approval documents are provided in the Supporting Information). All of the animal experiments complied with the ARRIVE guidelines and were carried out in accordance with European Union directive 2010/63/EU for animal experiments.</w:t>
      </w:r>
    </w:p>
    <w:p>
      <w:pPr>
        <w:pStyle w:val="3"/>
        <w:spacing w:before="0" w:after="0" w:line="360" w:lineRule="auto"/>
        <w:jc w:val="both"/>
        <w:rPr>
          <w:rFonts w:cs="Times New Roman" w:eastAsiaTheme="minorEastAsia"/>
          <w:bCs w:val="0"/>
          <w:i/>
          <w:szCs w:val="24"/>
          <w:lang w:eastAsia="zh-CN"/>
        </w:rPr>
      </w:pPr>
      <w:bookmarkStart w:id="9" w:name="_Toc1051864416"/>
      <w:r>
        <w:rPr>
          <w:rFonts w:cs="Times New Roman" w:eastAsiaTheme="minorEastAsia"/>
          <w:bCs w:val="0"/>
          <w:i/>
          <w:szCs w:val="24"/>
          <w:lang w:eastAsia="zh-CN"/>
        </w:rPr>
        <w:t>1.3. Acute Oral Toxicity Test</w:t>
      </w:r>
      <w:bookmarkEnd w:id="7"/>
      <w:bookmarkEnd w:id="8"/>
      <w:bookmarkEnd w:id="9"/>
    </w:p>
    <w:p>
      <w:pPr>
        <w:spacing w:line="360" w:lineRule="auto"/>
        <w:ind w:firstLine="480" w:firstLineChars="200"/>
        <w:jc w:val="both"/>
        <w:rPr>
          <w:rFonts w:ascii="Times New Roman" w:hAnsi="Times New Roman" w:cs="Times New Roman"/>
        </w:rPr>
      </w:pPr>
      <w:r>
        <w:rPr>
          <w:rFonts w:ascii="Times New Roman" w:hAnsi="Times New Roman" w:cs="Times New Roman"/>
        </w:rPr>
        <w:t>The acute oral toxicity test was conducted according to Horn’s method to obtain the LD</w:t>
      </w:r>
      <w:r>
        <w:rPr>
          <w:rFonts w:ascii="Times New Roman" w:hAnsi="Times New Roman" w:cs="Times New Roman"/>
          <w:vertAlign w:val="subscript"/>
        </w:rPr>
        <w:t xml:space="preserve">50 </w:t>
      </w:r>
      <w:r>
        <w:rPr>
          <w:rFonts w:hint="eastAsia" w:ascii="Times New Roman" w:hAnsi="Times New Roman" w:cs="Times New Roman"/>
          <w:lang w:eastAsia="zh-CN"/>
        </w:rPr>
        <w:t>[</w:t>
      </w:r>
      <w:r>
        <w:rPr>
          <w:rFonts w:ascii="Times New Roman" w:hAnsi="Times New Roman" w:cs="Times New Roman"/>
        </w:rPr>
        <w:t>Organization for Economic Cooperation and Development (OECD), 1987</w:t>
      </w:r>
      <w:r>
        <w:rPr>
          <w:rFonts w:ascii="Times New Roman" w:hAnsi="Times New Roman" w:cs="Times New Roman"/>
          <w:bCs/>
        </w:rPr>
        <w:t>]</w:t>
      </w:r>
      <w:r>
        <w:rPr>
          <w:rFonts w:ascii="Times New Roman" w:hAnsi="Times New Roman" w:cs="Times New Roman"/>
        </w:rPr>
        <w:t>; US Environmental Protection Agency (USEPA, 1998). Four dose groups (1000, 2150, 4640 and 10,000 mg/kg body weight) were established for the pre-experiment, and the test substance was prepared in distilled water. Five male and five female rats in each group were orally administered the test substance once, and the dose was calculated as 0.1 mL/100 g body weight. The doses used in the formal experiment were selected based on the results of the pre-experiment, and the number of animals in each group and the exposure route in the formal experiment were the same as in the pre-experiment. After dose administration, the general condition, poisoning symptoms and mortality of the animals were observed for 2 weeks.</w:t>
      </w:r>
    </w:p>
    <w:p>
      <w:pPr>
        <w:pStyle w:val="3"/>
        <w:spacing w:before="0" w:after="0" w:line="360" w:lineRule="auto"/>
        <w:jc w:val="both"/>
        <w:rPr>
          <w:rFonts w:cs="Times New Roman" w:eastAsiaTheme="minorEastAsia"/>
          <w:bCs w:val="0"/>
          <w:i/>
          <w:szCs w:val="24"/>
          <w:lang w:eastAsia="zh-CN"/>
        </w:rPr>
      </w:pPr>
      <w:bookmarkStart w:id="10" w:name="_Toc100760377"/>
      <w:bookmarkStart w:id="11" w:name="_Toc599857608"/>
      <w:bookmarkStart w:id="12" w:name="_Toc19480"/>
      <w:r>
        <w:rPr>
          <w:rFonts w:cs="Times New Roman" w:eastAsiaTheme="minorEastAsia"/>
          <w:bCs w:val="0"/>
          <w:i/>
          <w:szCs w:val="24"/>
          <w:lang w:eastAsia="zh-CN"/>
        </w:rPr>
        <w:t>1.4. Subchronic Oral Toxicity Test</w:t>
      </w:r>
      <w:bookmarkEnd w:id="10"/>
      <w:bookmarkEnd w:id="11"/>
      <w:bookmarkEnd w:id="12"/>
    </w:p>
    <w:p>
      <w:pPr>
        <w:pStyle w:val="22"/>
        <w:numPr>
          <w:ilvl w:val="255"/>
          <w:numId w:val="0"/>
        </w:numPr>
        <w:spacing w:line="360" w:lineRule="auto"/>
        <w:jc w:val="both"/>
        <w:rPr>
          <w:b/>
          <w:i/>
          <w:iCs/>
        </w:rPr>
      </w:pPr>
      <w:r>
        <w:rPr>
          <w:b/>
          <w:i/>
          <w:iCs/>
          <w:lang w:eastAsia="zh-CN"/>
        </w:rPr>
        <w:t xml:space="preserve">1.4.1. </w:t>
      </w:r>
      <w:r>
        <w:rPr>
          <w:b/>
          <w:i/>
          <w:iCs/>
        </w:rPr>
        <w:t>Animal exposure</w:t>
      </w:r>
    </w:p>
    <w:p>
      <w:pPr>
        <w:spacing w:line="360" w:lineRule="auto"/>
        <w:ind w:firstLine="480" w:firstLineChars="200"/>
        <w:jc w:val="both"/>
        <w:rPr>
          <w:rFonts w:ascii="Times New Roman" w:hAnsi="Times New Roman" w:cs="Times New Roman"/>
        </w:rPr>
      </w:pPr>
      <w:r>
        <w:rPr>
          <w:rFonts w:ascii="Times New Roman" w:hAnsi="Times New Roman" w:cs="Times New Roman"/>
        </w:rPr>
        <w:t>The experiment was conducted according to the OECD guidelines for subchronic toxicity testing and was based on the pretest results. The doses were based on the LD</w:t>
      </w:r>
      <w:r>
        <w:rPr>
          <w:rFonts w:ascii="Times New Roman" w:hAnsi="Times New Roman" w:cs="Times New Roman"/>
          <w:vertAlign w:val="subscript"/>
        </w:rPr>
        <w:t xml:space="preserve">50 </w:t>
      </w:r>
      <w:r>
        <w:rPr>
          <w:rFonts w:ascii="Times New Roman" w:hAnsi="Times New Roman" w:cs="Times New Roman"/>
        </w:rPr>
        <w:t>value obtained from the acute oral toxicity test. In the subchronic toxicity test, 1/5, 1/10 and 1/20 LD</w:t>
      </w:r>
      <w:r>
        <w:rPr>
          <w:rFonts w:ascii="Times New Roman" w:hAnsi="Times New Roman" w:cs="Times New Roman"/>
          <w:vertAlign w:val="subscript"/>
        </w:rPr>
        <w:t>50</w:t>
      </w:r>
      <w:r>
        <w:rPr>
          <w:rFonts w:ascii="Times New Roman" w:hAnsi="Times New Roman" w:cs="Times New Roman"/>
        </w:rPr>
        <w:t xml:space="preserve"> were set as the high, medium and low doses, respectively. Ten males and ten females in each group were exposed to the maleic acid polymer scale inhibitor with a daily oral dose of 1 mL/100 g weight for 90 days. Control rats were treated with the same amount of deionized water. During the exposure period, the rats were evaluated daily for behavioral activities and signs of diarrhea, dehydration and deterioration of their physical condition. The weight and food consumption of the animals were recorded weekly. </w:t>
      </w:r>
    </w:p>
    <w:p>
      <w:pPr>
        <w:spacing w:line="360" w:lineRule="auto"/>
        <w:ind w:firstLine="480" w:firstLineChars="200"/>
        <w:jc w:val="both"/>
        <w:rPr>
          <w:rFonts w:ascii="Times New Roman" w:hAnsi="Times New Roman" w:cs="Times New Roman"/>
        </w:rPr>
      </w:pPr>
      <w:r>
        <w:rPr>
          <w:rFonts w:ascii="Times New Roman" w:hAnsi="Times New Roman" w:cs="Times New Roman"/>
        </w:rPr>
        <w:t>After the exposure period, the rats were fasted overnight. Under anesthesia with pentobarbital sodium, blood samples were taken via the abdominal aorta, and then the rats were euthanized by dislocation. Organs and tissues (e.g. liver, kidney, spleen and testis) were quickly dissected and carefully examined for abnormalities. The liver, spleen, kidney, stomach, duodenum and testis/ovaries were weighed and fixed in 10% formalin solution for histopathological examination. Whole blood samples were used for routine blood testing, and the serum obtained by centrifugation was used to determine the blood biochemical indices.</w:t>
      </w:r>
    </w:p>
    <w:p>
      <w:pPr>
        <w:pStyle w:val="22"/>
        <w:numPr>
          <w:ilvl w:val="255"/>
          <w:numId w:val="0"/>
        </w:numPr>
        <w:spacing w:line="360" w:lineRule="auto"/>
        <w:jc w:val="both"/>
        <w:rPr>
          <w:b/>
          <w:i/>
          <w:iCs/>
        </w:rPr>
      </w:pPr>
      <w:r>
        <w:rPr>
          <w:b/>
          <w:i/>
          <w:iCs/>
          <w:lang w:eastAsia="zh-CN"/>
        </w:rPr>
        <w:t xml:space="preserve">1.4.2. </w:t>
      </w:r>
      <w:r>
        <w:rPr>
          <w:b/>
          <w:i/>
          <w:iCs/>
        </w:rPr>
        <w:t>Biochemical examination</w:t>
      </w:r>
    </w:p>
    <w:p>
      <w:pPr>
        <w:spacing w:line="360" w:lineRule="auto"/>
        <w:ind w:firstLine="480" w:firstLineChars="200"/>
        <w:jc w:val="both"/>
        <w:rPr>
          <w:rFonts w:ascii="Times New Roman" w:hAnsi="Times New Roman" w:cs="Times New Roman"/>
          <w:bCs/>
        </w:rPr>
      </w:pPr>
      <w:r>
        <w:rPr>
          <w:rFonts w:ascii="Times New Roman" w:hAnsi="Times New Roman" w:cs="Times New Roman"/>
          <w:bCs/>
        </w:rPr>
        <w:t>Hepatic function-related indices [alanine aminotransferase (ALT), aspartate aminotransferase (AST), total protein (TP), albumin (ALB), globulin (GLB), total bilirubin (TBIL), direct bilirubin (DBIL), indirect bilirubin (IBIL) and alkaline phosphatase (ALP)], renal function-related indices [urea nitrogen (UREA) and creatinine (CREA)] and other key indices [blood glucose (GLU) and total cholesterol (CHOL)] were assessed using a Toshiba 120 Automatic Biochemical Analyzer (Japan). Blood biochemical test kits were provided by BioSino Bio-Technology &amp; Science Inc.</w:t>
      </w:r>
    </w:p>
    <w:p>
      <w:pPr>
        <w:pStyle w:val="22"/>
        <w:numPr>
          <w:ilvl w:val="255"/>
          <w:numId w:val="0"/>
        </w:numPr>
        <w:overflowPunct w:val="0"/>
        <w:spacing w:line="360" w:lineRule="auto"/>
        <w:jc w:val="both"/>
        <w:rPr>
          <w:b/>
          <w:i/>
          <w:iCs/>
        </w:rPr>
      </w:pPr>
      <w:r>
        <w:rPr>
          <w:b/>
          <w:i/>
          <w:iCs/>
          <w:lang w:eastAsia="zh-CN"/>
        </w:rPr>
        <w:t xml:space="preserve">1.4.3. </w:t>
      </w:r>
      <w:r>
        <w:rPr>
          <w:b/>
          <w:i/>
          <w:iCs/>
        </w:rPr>
        <w:t>Hematological examination</w:t>
      </w:r>
    </w:p>
    <w:p>
      <w:pPr>
        <w:overflowPunct w:val="0"/>
        <w:spacing w:line="360" w:lineRule="auto"/>
        <w:ind w:firstLine="480" w:firstLineChars="200"/>
        <w:jc w:val="both"/>
        <w:rPr>
          <w:rFonts w:ascii="Times New Roman" w:hAnsi="Times New Roman" w:cs="Times New Roman"/>
          <w:bCs/>
        </w:rPr>
      </w:pPr>
      <w:r>
        <w:rPr>
          <w:rFonts w:ascii="Times New Roman" w:hAnsi="Times New Roman" w:cs="Times New Roman"/>
          <w:bCs/>
        </w:rPr>
        <w:t>Erythrocyte-related indices [red blood cell (RBC) number, hemoglobin (HGB), hematocrit (HCT), mean corpuscular volume (MCV), mean corpuscular hemoglobin (MCH), mean corpuscular hemoglobin concentration (MCHC) and coefficient of variation of RBC distribution width (RDW-CV)], platelet related-indices [number of platelets (PLT), plateletcrit (PCT), mean platelet volume (MPV) and platelet distribution width (PDW)] and immune cell-related indices [white blood cell (WBC) count, number of lymphocytes (Lymph#), number of intermediate cells (Mid#), number of granulocytes (Gran#), percentage of lymphocytes (Lymph%), percentage of intermediate cells (Mid%) and percentage of granulocytes (Gran%)] were measured using a Sysmex XP-100 automated hematological analyzer (Sysmex, Kobe, Japan).</w:t>
      </w:r>
    </w:p>
    <w:p>
      <w:pPr>
        <w:pStyle w:val="22"/>
        <w:numPr>
          <w:ilvl w:val="255"/>
          <w:numId w:val="0"/>
        </w:numPr>
        <w:overflowPunct w:val="0"/>
        <w:spacing w:line="360" w:lineRule="auto"/>
        <w:jc w:val="both"/>
        <w:rPr>
          <w:b/>
          <w:i/>
          <w:iCs/>
        </w:rPr>
      </w:pPr>
      <w:r>
        <w:rPr>
          <w:b/>
          <w:i/>
          <w:iCs/>
          <w:lang w:eastAsia="zh-CN"/>
        </w:rPr>
        <w:t xml:space="preserve">1.4.4. </w:t>
      </w:r>
      <w:r>
        <w:rPr>
          <w:b/>
          <w:i/>
          <w:iCs/>
        </w:rPr>
        <w:t xml:space="preserve">Histopathological evaluation </w:t>
      </w:r>
    </w:p>
    <w:p>
      <w:pPr>
        <w:overflowPunct w:val="0"/>
        <w:spacing w:line="360" w:lineRule="auto"/>
        <w:ind w:firstLine="480" w:firstLineChars="200"/>
        <w:jc w:val="both"/>
        <w:rPr>
          <w:rFonts w:ascii="Times New Roman" w:hAnsi="Times New Roman" w:cs="Times New Roman"/>
        </w:rPr>
      </w:pPr>
      <w:r>
        <w:rPr>
          <w:rFonts w:ascii="Times New Roman" w:hAnsi="Times New Roman" w:cs="Times New Roman"/>
        </w:rPr>
        <w:t>Specimens of the liver, spleen, kidney, stomach, duodenum and testis/ovaries were collected and fixed in 4% neutral buffered formaldehyde. Thereafter, the organs and tissues were embedded in paraffin, sectioned at 5 μm and stained with hematoxylin and eosin. The sections were examined under an Olympus BX43 optical microscope (Tokyo, Japan) by an experienced pathologist who was blinded to the sample identity. Images were acquired with an LV320 Digital Acquisition Device by a separate experienced pathologist blinded to the sample identity.</w:t>
      </w:r>
    </w:p>
    <w:p>
      <w:pPr>
        <w:pStyle w:val="22"/>
        <w:numPr>
          <w:ilvl w:val="255"/>
          <w:numId w:val="0"/>
        </w:numPr>
        <w:overflowPunct w:val="0"/>
        <w:spacing w:line="360" w:lineRule="auto"/>
        <w:jc w:val="both"/>
        <w:rPr>
          <w:b/>
          <w:i/>
          <w:iCs/>
        </w:rPr>
      </w:pPr>
      <w:r>
        <w:rPr>
          <w:b/>
          <w:i/>
          <w:iCs/>
          <w:lang w:eastAsia="zh-CN"/>
        </w:rPr>
        <w:t xml:space="preserve">1.4.5. </w:t>
      </w:r>
      <w:r>
        <w:rPr>
          <w:b/>
          <w:i/>
          <w:iCs/>
        </w:rPr>
        <w:t>Statistics</w:t>
      </w:r>
    </w:p>
    <w:p>
      <w:pPr>
        <w:overflowPunct w:val="0"/>
        <w:spacing w:line="360" w:lineRule="auto"/>
        <w:ind w:firstLine="480" w:firstLineChars="200"/>
        <w:jc w:val="both"/>
        <w:rPr>
          <w:rFonts w:ascii="Times New Roman" w:hAnsi="Times New Roman" w:cs="Times New Roman"/>
        </w:rPr>
      </w:pPr>
      <w:r>
        <w:rPr>
          <w:rFonts w:ascii="Times New Roman" w:hAnsi="Times New Roman" w:cs="Times New Roman"/>
        </w:rPr>
        <w:t>R was employed to analyze the experimental data. The Shapiro–Wilk test was used to assess distribution normality, and Bartlett’s test was used to assess homogeneity of variance. Dunnett’s test was administrated if the data showed homoscedasticity and a normal distribution; the Wilcoxon rank–sum test was used for pairwise comparisons in the case of heteroscedasticity or a skewed distribution. In all groups, significant differences were identified at P &lt; 0.05.</w:t>
      </w:r>
    </w:p>
    <w:p>
      <w:pPr>
        <w:pStyle w:val="3"/>
        <w:spacing w:before="0" w:after="0" w:line="360" w:lineRule="auto"/>
        <w:jc w:val="both"/>
        <w:rPr>
          <w:rFonts w:cs="Times New Roman" w:eastAsiaTheme="minorEastAsia"/>
          <w:bCs w:val="0"/>
          <w:i/>
          <w:iCs/>
          <w:szCs w:val="24"/>
          <w:lang w:eastAsia="zh-CN"/>
        </w:rPr>
      </w:pPr>
      <w:bookmarkStart w:id="13" w:name="_Toc1518578638"/>
      <w:r>
        <w:rPr>
          <w:rFonts w:cs="Times New Roman" w:eastAsiaTheme="minorEastAsia"/>
          <w:bCs w:val="0"/>
          <w:i/>
          <w:iCs/>
          <w:szCs w:val="24"/>
          <w:lang w:eastAsia="zh-CN"/>
        </w:rPr>
        <w:t>1.5. Genotoxicity Test</w:t>
      </w:r>
      <w:bookmarkEnd w:id="13"/>
    </w:p>
    <w:p>
      <w:pPr>
        <w:pStyle w:val="22"/>
        <w:overflowPunct w:val="0"/>
        <w:spacing w:line="360" w:lineRule="auto"/>
        <w:ind w:left="0" w:firstLine="480" w:firstLineChars="200"/>
        <w:jc w:val="both"/>
      </w:pPr>
      <w:r>
        <w:t>Genotoxicity was assessed with the mammalian erythrocyte micronucleus test and the comet assay.</w:t>
      </w:r>
    </w:p>
    <w:p>
      <w:pPr>
        <w:pStyle w:val="22"/>
        <w:numPr>
          <w:ilvl w:val="255"/>
          <w:numId w:val="0"/>
        </w:numPr>
        <w:overflowPunct w:val="0"/>
        <w:spacing w:line="360" w:lineRule="auto"/>
        <w:jc w:val="both"/>
        <w:rPr>
          <w:b/>
          <w:bCs/>
          <w:i/>
          <w:iCs/>
          <w:szCs w:val="21"/>
        </w:rPr>
      </w:pPr>
      <w:r>
        <w:rPr>
          <w:b/>
          <w:bCs/>
          <w:i/>
          <w:iCs/>
          <w:szCs w:val="21"/>
          <w:lang w:eastAsia="zh-CN"/>
        </w:rPr>
        <w:t xml:space="preserve">1.5.1. </w:t>
      </w:r>
      <w:r>
        <w:rPr>
          <w:b/>
          <w:bCs/>
          <w:i/>
          <w:iCs/>
          <w:szCs w:val="21"/>
        </w:rPr>
        <w:t>Mammalian erythrocyte micronucleus test</w:t>
      </w:r>
    </w:p>
    <w:p>
      <w:pPr>
        <w:overflowPunct w:val="0"/>
        <w:spacing w:line="360" w:lineRule="auto"/>
        <w:ind w:firstLine="480" w:firstLineChars="200"/>
        <w:jc w:val="both"/>
        <w:rPr>
          <w:rFonts w:ascii="Times New Roman" w:hAnsi="Times New Roman" w:cs="Times New Roman"/>
          <w:lang w:eastAsia="zh-CN"/>
        </w:rPr>
      </w:pPr>
      <w:r>
        <w:rPr>
          <w:rFonts w:ascii="Times New Roman" w:hAnsi="Times New Roman" w:cs="Times New Roman"/>
        </w:rPr>
        <w:t xml:space="preserve"> The micronucleus test of polychromatic erythrocytes (PCEs) in mouse bone marrow was conducted according to the OECD guidelines (OECD, 1997). The test substance was divided into three dose groups (1000, 2000 and 5000 mg/kg body weight) and was prepared in distilled water. The mitomycin C dose in the positive control group was 1.0 mg/kg body weight (mitomycin C was obtained from Sigma–Aldrich Cheme GmbH, batch number 028K1815), and distilled water was used in the control group. There were 10 mice in each group, 5 males and 5 females. The test substance groups and distilled water control group were dosed orally twice in 30 h, while the positive control group (mitomycin C) was dosed intraperitoneally twice in 30 h. Six h after the second administration, the animals were euthanized by decapitation. The sternal bone marrow was collected, smeared with calf serum dilution and stained with Giemsa. Under a light microscope, 2,000 PCEs were counted for each animal, and the micronucleus rate was calculated as the percentage per thousand PCEs containing a micronucleus. The results were analyzed by the Poisson distribution with the U-test.</w:t>
      </w:r>
    </w:p>
    <w:p>
      <w:pPr>
        <w:pStyle w:val="22"/>
        <w:numPr>
          <w:ilvl w:val="255"/>
          <w:numId w:val="0"/>
        </w:numPr>
        <w:overflowPunct w:val="0"/>
        <w:spacing w:line="360" w:lineRule="auto"/>
        <w:jc w:val="both"/>
        <w:rPr>
          <w:b/>
          <w:bCs/>
          <w:i/>
          <w:iCs/>
          <w:szCs w:val="21"/>
        </w:rPr>
      </w:pPr>
      <w:r>
        <w:rPr>
          <w:b/>
          <w:bCs/>
          <w:i/>
          <w:iCs/>
          <w:szCs w:val="21"/>
          <w:lang w:eastAsia="zh-CN"/>
        </w:rPr>
        <w:t>1.5.2. Comet</w:t>
      </w:r>
      <w:r>
        <w:rPr>
          <w:b/>
          <w:bCs/>
          <w:i/>
          <w:iCs/>
          <w:szCs w:val="21"/>
        </w:rPr>
        <w:t xml:space="preserve"> </w:t>
      </w:r>
      <w:r>
        <w:rPr>
          <w:b/>
          <w:bCs/>
          <w:i/>
          <w:iCs/>
          <w:szCs w:val="21"/>
          <w:lang w:eastAsia="zh-CN"/>
        </w:rPr>
        <w:t>assay</w:t>
      </w:r>
    </w:p>
    <w:p>
      <w:pPr>
        <w:overflowPunct w:val="0"/>
        <w:spacing w:line="360" w:lineRule="auto"/>
        <w:ind w:firstLine="480" w:firstLineChars="200"/>
        <w:jc w:val="both"/>
        <w:rPr>
          <w:rFonts w:ascii="Times New Roman" w:hAnsi="Times New Roman" w:cs="Times New Roman"/>
        </w:rPr>
      </w:pPr>
      <w:r>
        <w:rPr>
          <w:rFonts w:ascii="Times New Roman" w:hAnsi="Times New Roman" w:cs="Times New Roman"/>
        </w:rPr>
        <w:t>CHO cells were cultured in DMEM/F12 basic medium containing 10% fetal bovine serum and 1% penicillin/streptomycin and incubated at 37 °C and 5% CO</w:t>
      </w:r>
      <w:r>
        <w:rPr>
          <w:rFonts w:ascii="Times New Roman" w:hAnsi="Times New Roman" w:cs="Times New Roman"/>
          <w:vertAlign w:val="subscript"/>
        </w:rPr>
        <w:t>2</w:t>
      </w:r>
      <w:r>
        <w:rPr>
          <w:rFonts w:ascii="Times New Roman" w:hAnsi="Times New Roman" w:cs="Times New Roman"/>
        </w:rPr>
        <w:t>. CHO cells in the growth phase were digested with trypsin, prepared at a density of 1 × 10</w:t>
      </w:r>
      <w:r>
        <w:rPr>
          <w:rFonts w:ascii="Times New Roman" w:hAnsi="Times New Roman" w:cs="Times New Roman"/>
          <w:vertAlign w:val="superscript"/>
        </w:rPr>
        <w:t>5</w:t>
      </w:r>
      <w:r>
        <w:rPr>
          <w:rFonts w:ascii="Times New Roman" w:hAnsi="Times New Roman" w:cs="Times New Roman"/>
        </w:rPr>
        <w:t xml:space="preserve"> cells/mL, and 2 mL/well were added to 12 well culture plates.</w:t>
      </w:r>
    </w:p>
    <w:p>
      <w:pPr>
        <w:overflowPunct w:val="0"/>
        <w:spacing w:line="360" w:lineRule="auto"/>
        <w:ind w:firstLine="480" w:firstLineChars="200"/>
        <w:jc w:val="both"/>
        <w:rPr>
          <w:rFonts w:ascii="Times New Roman" w:hAnsi="Times New Roman" w:cs="Times New Roman"/>
        </w:rPr>
      </w:pPr>
      <w:r>
        <w:rPr>
          <w:rFonts w:ascii="Times New Roman" w:hAnsi="Times New Roman" w:cs="Times New Roman"/>
        </w:rPr>
        <w:t>The IC</w:t>
      </w:r>
      <w:r>
        <w:rPr>
          <w:rFonts w:ascii="Times New Roman" w:hAnsi="Times New Roman" w:cs="Times New Roman"/>
          <w:vertAlign w:val="subscript"/>
        </w:rPr>
        <w:t>50</w:t>
      </w:r>
      <w:r>
        <w:rPr>
          <w:rFonts w:ascii="Times New Roman" w:hAnsi="Times New Roman" w:cs="Times New Roman"/>
        </w:rPr>
        <w:t xml:space="preserve"> obtained from the cytotoxicity test was used as the highest dose, followed by a 4-fold gradient dilution with culture medium. K</w:t>
      </w:r>
      <w:r>
        <w:rPr>
          <w:rFonts w:ascii="Times New Roman" w:hAnsi="Times New Roman" w:cs="Times New Roman"/>
          <w:vertAlign w:val="subscript"/>
        </w:rPr>
        <w:t>2</w:t>
      </w:r>
      <w:r>
        <w:rPr>
          <w:rFonts w:ascii="Times New Roman" w:hAnsi="Times New Roman" w:cs="Times New Roman"/>
        </w:rPr>
        <w:t>Cr</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7</w:t>
      </w:r>
      <w:r>
        <w:rPr>
          <w:rFonts w:ascii="Times New Roman" w:hAnsi="Times New Roman" w:cs="Times New Roman"/>
        </w:rPr>
        <w:t xml:space="preserve"> (1 μg/mL) was used as the positive control, and culture medium was used as the negative control. Each test dose was added to two wells, and the plates were then placed in the incubator for 3 h. After incubation, the CHO cells were washed with PBS, digested with trypsin, centrifuged and adjusted to a cell density of 1 × 10</w:t>
      </w:r>
      <w:r>
        <w:rPr>
          <w:rFonts w:ascii="Times New Roman" w:hAnsi="Times New Roman" w:cs="Times New Roman"/>
          <w:vertAlign w:val="superscript"/>
        </w:rPr>
        <w:t>5</w:t>
      </w:r>
      <w:r>
        <w:rPr>
          <w:rFonts w:ascii="Times New Roman" w:hAnsi="Times New Roman" w:cs="Times New Roman"/>
        </w:rPr>
        <w:t xml:space="preserve">/mL using </w:t>
      </w:r>
      <w:bookmarkStart w:id="14" w:name="OLE_LINK2"/>
      <w:r>
        <w:rPr>
          <w:rFonts w:ascii="Times New Roman" w:hAnsi="Times New Roman" w:cs="Times New Roman"/>
        </w:rPr>
        <w:t>HBSS</w:t>
      </w:r>
      <w:bookmarkEnd w:id="14"/>
      <w:r>
        <w:rPr>
          <w:rFonts w:ascii="Times New Roman" w:hAnsi="Times New Roman" w:cs="Times New Roman"/>
          <w:lang w:eastAsia="zh-CN"/>
        </w:rPr>
        <w:t xml:space="preserve"> (</w:t>
      </w:r>
      <w:r>
        <w:rPr>
          <w:rFonts w:ascii="Times New Roman" w:hAnsi="Times New Roman" w:cs="Times New Roman"/>
        </w:rPr>
        <w:t>Hank's Balanced Salt Solution</w:t>
      </w:r>
      <w:r>
        <w:rPr>
          <w:rFonts w:ascii="Times New Roman" w:hAnsi="Times New Roman" w:cs="Times New Roman"/>
          <w:lang w:eastAsia="zh-CN"/>
        </w:rPr>
        <w:t>)</w:t>
      </w:r>
      <w:r>
        <w:rPr>
          <w:rFonts w:ascii="Times New Roman" w:hAnsi="Times New Roman" w:cs="Times New Roman"/>
        </w:rPr>
        <w:t xml:space="preserve">. A 30 μL aliquot of cell suspension and 300 μL of low-melting agarose (LMA) were fully mixed (cell suspension: LMA = 1: 10), and then 30 μL of the mixture was placed on a slide and stored at 4 </w:t>
      </w:r>
      <w:r>
        <w:rPr>
          <w:rFonts w:ascii="Times New Roman" w:hAnsi="Times New Roman" w:eastAsia="微软雅黑" w:cs="Times New Roman"/>
        </w:rPr>
        <w:t>°C</w:t>
      </w:r>
      <w:r>
        <w:rPr>
          <w:rFonts w:ascii="Times New Roman" w:hAnsi="Times New Roman" w:cs="Times New Roman"/>
        </w:rPr>
        <w:t xml:space="preserve"> for 10 min. </w:t>
      </w:r>
    </w:p>
    <w:p>
      <w:pPr>
        <w:overflowPunct w:val="0"/>
        <w:spacing w:line="360" w:lineRule="auto"/>
        <w:ind w:firstLine="480" w:firstLineChars="200"/>
        <w:jc w:val="both"/>
        <w:rPr>
          <w:rFonts w:ascii="Times New Roman" w:hAnsi="Times New Roman" w:cs="Times New Roman"/>
        </w:rPr>
      </w:pPr>
      <w:r>
        <w:rPr>
          <w:rFonts w:ascii="Times New Roman" w:hAnsi="Times New Roman" w:cs="Times New Roman"/>
        </w:rPr>
        <w:t xml:space="preserve">The frosted slides, on which cells were embedded in agarose, were submerged in cold lysis solution (2.5 mol/L NaCl, 100 mmol/L EDTA, 10 mmol/L Tris, 1% N-lauroylsarcosine Na [NLSN was adjusted to pH 10.0 with NaOH and contained 1% Triton X-100 and 10% DMSO, both freshly added]) and stored at 4 </w:t>
      </w:r>
      <w:r>
        <w:rPr>
          <w:rFonts w:ascii="Times New Roman" w:hAnsi="Times New Roman" w:eastAsia="微软雅黑" w:cs="Times New Roman"/>
        </w:rPr>
        <w:t>°C</w:t>
      </w:r>
      <w:r>
        <w:rPr>
          <w:rFonts w:ascii="Times New Roman" w:hAnsi="Times New Roman" w:cs="Times New Roman"/>
        </w:rPr>
        <w:t xml:space="preserve"> in the dark for at least 1 h to remove cellular proteins. The slides were then placed in a horizontal gel electrophoresis unit filled with fresh electrophoresis buffer (300 mmol/L NaOH, 1 mmol/L EDTA) at 20 </w:t>
      </w:r>
      <w:r>
        <w:rPr>
          <w:rFonts w:ascii="Times New Roman" w:hAnsi="Times New Roman" w:eastAsia="微软雅黑" w:cs="Times New Roman"/>
        </w:rPr>
        <w:t>°C</w:t>
      </w:r>
      <w:r>
        <w:rPr>
          <w:rFonts w:ascii="Times New Roman" w:hAnsi="Times New Roman" w:cs="Times New Roman"/>
        </w:rPr>
        <w:t xml:space="preserve"> for 30 min to allow DNA unwinding before electrophoresis. </w:t>
      </w:r>
    </w:p>
    <w:p>
      <w:pPr>
        <w:overflowPunct w:val="0"/>
        <w:spacing w:line="360" w:lineRule="auto"/>
        <w:jc w:val="both"/>
        <w:rPr>
          <w:rFonts w:hint="default" w:ascii="Times New Roman" w:hAnsi="Times New Roman" w:cs="Times New Roman"/>
        </w:rPr>
        <w:sectPr>
          <w:footerReference r:id="rId5" w:type="default"/>
          <w:pgSz w:w="11906" w:h="16838"/>
          <w:pgMar w:top="1440" w:right="1440" w:bottom="1440" w:left="1440" w:header="851" w:footer="994" w:gutter="0"/>
          <w:lnNumType w:countBy="1" w:restart="continuous"/>
          <w:pgNumType w:start="1"/>
          <w:cols w:space="425" w:num="1"/>
          <w:docGrid w:type="lines" w:linePitch="326" w:charSpace="0"/>
        </w:sectPr>
      </w:pPr>
      <w:r>
        <w:rPr>
          <w:rFonts w:ascii="Times New Roman" w:hAnsi="Times New Roman" w:cs="Times New Roman"/>
        </w:rPr>
        <w:t>Electrophoresis was conducted for 1 h (20 °C, 25 V and 100 mA). The above steps were carried out under red or yellow light to avoid DNA damage. After electrophoresis, the slides were washed three times with neutralization buffer (0.5 mol/L Tris, pH 7.5) and then dyed with SYBR Green I and examined under a fluorescence microscope (Olympius BX41, Japan). A total of 100 cells in each dose group were randomly selected and analyzed with the</w:t>
      </w:r>
      <w:r>
        <w:rPr>
          <w:rFonts w:hint="default" w:ascii="Times New Roman" w:hAnsi="Times New Roman" w:cs="Times New Roman"/>
        </w:rPr>
        <w:t xml:space="preserve"> Comet Assay </w:t>
      </w:r>
      <w:r>
        <w:rPr>
          <w:rFonts w:ascii="Times New Roman" w:hAnsi="Times New Roman" w:cs="Times New Roman"/>
        </w:rPr>
        <w:t>IV software. The tail DNA content (tail DNA%) and tail moment (TM) were selected as single and composite indicators to evaluate the extent of DNA damage</w:t>
      </w:r>
      <w:r>
        <w:rPr>
          <w:rFonts w:hint="default" w:ascii="Times New Roman" w:hAnsi="Times New Roman" w:cs="Times New Roman"/>
        </w:rPr>
        <w:t>.</w:t>
      </w:r>
    </w:p>
    <w:p>
      <w:pPr>
        <w:pStyle w:val="2"/>
        <w:numPr>
          <w:ilvl w:val="0"/>
          <w:numId w:val="1"/>
        </w:numPr>
        <w:spacing w:before="0" w:after="0" w:line="360" w:lineRule="auto"/>
        <w:ind w:firstLine="480" w:firstLineChars="200"/>
        <w:rPr>
          <w:rStyle w:val="39"/>
          <w:rFonts w:ascii="Arial" w:hAnsi="Arial" w:cs="Arial" w:eastAsiaTheme="minorEastAsia"/>
          <w:b/>
          <w:bCs/>
          <w:szCs w:val="24"/>
        </w:rPr>
      </w:pPr>
      <w:bookmarkStart w:id="15" w:name="_Toc2055507918"/>
      <w:bookmarkStart w:id="16" w:name="_Toc3574"/>
      <w:bookmarkStart w:id="17" w:name="_Toc100760382"/>
      <w:r>
        <w:rPr>
          <w:rFonts w:ascii="Times New Roman" w:hAnsi="Times New Roman" w:cs="Times New Roman"/>
          <w:bCs w:val="0"/>
          <w:i/>
          <w:iCs/>
          <w:sz w:val="24"/>
          <w:szCs w:val="24"/>
          <w:lang w:eastAsia="zh-CN"/>
        </w:rPr>
        <w:t>SUPPORTING</w:t>
      </w:r>
      <w:r>
        <w:rPr>
          <w:rFonts w:hint="default" w:ascii="Times New Roman" w:hAnsi="Times New Roman" w:cs="Times New Roman"/>
          <w:bCs w:val="0"/>
          <w:i/>
          <w:iCs/>
          <w:sz w:val="24"/>
          <w:szCs w:val="24"/>
          <w:lang w:eastAsia="zh-CN"/>
        </w:rPr>
        <w:t xml:space="preserve"> </w:t>
      </w:r>
      <w:r>
        <w:rPr>
          <w:rFonts w:ascii="Times New Roman" w:hAnsi="Times New Roman" w:cs="Times New Roman"/>
          <w:i/>
          <w:iCs/>
          <w:sz w:val="24"/>
        </w:rPr>
        <w:t>RESULTS</w:t>
      </w:r>
      <w:bookmarkEnd w:id="15"/>
    </w:p>
    <w:p>
      <w:pPr>
        <w:pStyle w:val="3"/>
        <w:spacing w:before="0" w:after="0" w:line="360" w:lineRule="auto"/>
        <w:jc w:val="both"/>
        <w:rPr>
          <w:rFonts w:cs="Times New Roman" w:eastAsiaTheme="minorEastAsia"/>
          <w:bCs w:val="0"/>
          <w:i/>
          <w:iCs/>
          <w:szCs w:val="24"/>
        </w:rPr>
      </w:pPr>
      <w:bookmarkStart w:id="18" w:name="_Toc352148537"/>
      <w:r>
        <w:rPr>
          <w:rStyle w:val="39"/>
          <w:rFonts w:cs="Times New Roman" w:eastAsiaTheme="minorEastAsia"/>
          <w:b/>
          <w:bCs w:val="0"/>
          <w:i/>
          <w:iCs/>
          <w:szCs w:val="24"/>
        </w:rPr>
        <w:t>Table S1. Rat deaths in the maleic acid polymer scale inhibitor oral acute toxicity test after single oral gavage</w:t>
      </w:r>
      <w:bookmarkEnd w:id="18"/>
    </w:p>
    <w:bookmarkEnd w:id="16"/>
    <w:bookmarkEnd w:id="17"/>
    <w:tbl>
      <w:tblPr>
        <w:tblStyle w:val="12"/>
        <w:tblpPr w:leftFromText="180" w:rightFromText="180" w:vertAnchor="text" w:horzAnchor="page" w:tblpX="1598" w:tblpY="252"/>
        <w:tblOverlap w:val="never"/>
        <w:tblW w:w="4997" w:type="pct"/>
        <w:tblInd w:w="0" w:type="dxa"/>
        <w:tblLayout w:type="autofit"/>
        <w:tblCellMar>
          <w:top w:w="0" w:type="dxa"/>
          <w:left w:w="0" w:type="dxa"/>
          <w:bottom w:w="0" w:type="dxa"/>
          <w:right w:w="0" w:type="dxa"/>
        </w:tblCellMar>
      </w:tblPr>
      <w:tblGrid>
        <w:gridCol w:w="1910"/>
        <w:gridCol w:w="3013"/>
        <w:gridCol w:w="782"/>
        <w:gridCol w:w="5269"/>
        <w:gridCol w:w="3191"/>
      </w:tblGrid>
      <w:tr>
        <w:trPr>
          <w:trHeight w:val="282" w:hRule="atLeast"/>
        </w:trPr>
        <w:tc>
          <w:tcPr>
            <w:tcW w:w="674" w:type="pct"/>
            <w:tcBorders>
              <w:top w:val="single" w:color="auto" w:sz="4" w:space="0"/>
              <w:bottom w:val="single" w:color="auto" w:sz="4" w:space="0"/>
            </w:tcBorders>
            <w:shd w:val="clear" w:color="auto" w:fill="auto"/>
            <w:tcMar>
              <w:top w:w="15" w:type="dxa"/>
              <w:left w:w="108" w:type="dxa"/>
              <w:bottom w:w="0" w:type="dxa"/>
              <w:right w:w="108"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b/>
                <w:lang w:eastAsia="zh-CN"/>
              </w:rPr>
            </w:pPr>
            <w:r>
              <w:rPr>
                <w:rFonts w:ascii="Times New Roman" w:hAnsi="Times New Roman" w:cs="Times New Roman"/>
                <w:b/>
                <w:bCs/>
                <w:lang w:eastAsia="zh-CN"/>
              </w:rPr>
              <w:t>Sex</w:t>
            </w:r>
          </w:p>
        </w:tc>
        <w:tc>
          <w:tcPr>
            <w:tcW w:w="1063" w:type="pct"/>
            <w:tcBorders>
              <w:top w:val="single" w:color="auto" w:sz="4" w:space="0"/>
              <w:bottom w:val="single" w:color="auto" w:sz="4" w:space="0"/>
            </w:tcBorders>
            <w:shd w:val="clear" w:color="auto" w:fill="auto"/>
            <w:tcMar>
              <w:top w:w="15" w:type="dxa"/>
              <w:left w:w="108" w:type="dxa"/>
              <w:bottom w:w="0" w:type="dxa"/>
              <w:right w:w="108"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b/>
              </w:rPr>
            </w:pPr>
            <w:r>
              <w:rPr>
                <w:rFonts w:ascii="Times New Roman" w:hAnsi="Times New Roman" w:cs="Times New Roman"/>
                <w:b/>
                <w:bCs/>
                <w:lang w:eastAsia="zh-CN"/>
              </w:rPr>
              <w:t>Dose (</w:t>
            </w:r>
            <w:r>
              <w:rPr>
                <w:rFonts w:ascii="Times New Roman" w:hAnsi="Times New Roman" w:cs="Times New Roman"/>
                <w:b/>
                <w:bCs/>
              </w:rPr>
              <w:t>mg/kg)</w:t>
            </w:r>
          </w:p>
        </w:tc>
        <w:tc>
          <w:tcPr>
            <w:tcW w:w="276" w:type="pct"/>
            <w:tcBorders>
              <w:top w:val="single" w:color="auto" w:sz="4" w:space="0"/>
              <w:bottom w:val="single" w:color="auto" w:sz="4" w:space="0"/>
            </w:tcBorders>
            <w:shd w:val="clear" w:color="auto" w:fill="auto"/>
            <w:tcMar>
              <w:top w:w="15" w:type="dxa"/>
              <w:left w:w="108" w:type="dxa"/>
              <w:bottom w:w="0" w:type="dxa"/>
              <w:right w:w="108"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b/>
                <w:lang w:eastAsia="zh-CN"/>
              </w:rPr>
            </w:pPr>
            <w:r>
              <w:rPr>
                <w:rFonts w:ascii="Times New Roman" w:hAnsi="Times New Roman" w:cs="Times New Roman"/>
                <w:b/>
                <w:bCs/>
                <w:lang w:eastAsia="zh-CN"/>
              </w:rPr>
              <w:t>N</w:t>
            </w:r>
          </w:p>
        </w:tc>
        <w:tc>
          <w:tcPr>
            <w:tcW w:w="1859" w:type="pct"/>
            <w:tcBorders>
              <w:top w:val="single" w:color="auto" w:sz="4" w:space="0"/>
              <w:bottom w:val="single" w:color="auto" w:sz="4" w:space="0"/>
            </w:tcBorders>
            <w:shd w:val="clear" w:color="auto" w:fill="auto"/>
            <w:tcMar>
              <w:top w:w="15" w:type="dxa"/>
              <w:left w:w="108" w:type="dxa"/>
              <w:bottom w:w="0" w:type="dxa"/>
              <w:right w:w="108"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b/>
              </w:rPr>
            </w:pPr>
            <w:r>
              <w:rPr>
                <w:rFonts w:ascii="Times New Roman" w:hAnsi="Times New Roman" w:cs="Times New Roman"/>
                <w:b/>
                <w:bCs/>
              </w:rPr>
              <w:t>Number of dead animals</w:t>
            </w:r>
          </w:p>
        </w:tc>
        <w:tc>
          <w:tcPr>
            <w:tcW w:w="1126" w:type="pct"/>
            <w:tcBorders>
              <w:top w:val="single" w:color="auto" w:sz="4" w:space="0"/>
              <w:bottom w:val="single" w:color="auto" w:sz="4" w:space="0"/>
            </w:tcBorders>
            <w:shd w:val="clear" w:color="auto" w:fill="auto"/>
            <w:tcMar>
              <w:top w:w="15" w:type="dxa"/>
              <w:left w:w="108" w:type="dxa"/>
              <w:bottom w:w="0" w:type="dxa"/>
              <w:right w:w="108"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b/>
              </w:rPr>
            </w:pPr>
            <w:r>
              <w:rPr>
                <w:rFonts w:ascii="Times New Roman" w:hAnsi="Times New Roman" w:cs="Times New Roman"/>
                <w:b/>
                <w:bCs/>
              </w:rPr>
              <w:t>Mortality (%)</w:t>
            </w:r>
          </w:p>
        </w:tc>
      </w:tr>
      <w:tr>
        <w:trPr>
          <w:trHeight w:val="208" w:hRule="atLeast"/>
        </w:trPr>
        <w:tc>
          <w:tcPr>
            <w:tcW w:w="674" w:type="pct"/>
            <w:vMerge w:val="restart"/>
            <w:tcBorders>
              <w:top w:val="single" w:color="auto" w:sz="4" w:space="0"/>
            </w:tcBorders>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lang w:eastAsia="zh-CN"/>
              </w:rPr>
            </w:pPr>
            <w:r>
              <w:rPr>
                <w:rFonts w:ascii="Times New Roman" w:hAnsi="Times New Roman" w:cs="Times New Roman"/>
                <w:bCs/>
                <w:lang w:eastAsia="zh-CN"/>
              </w:rPr>
              <w:t xml:space="preserve">Female </w:t>
            </w:r>
          </w:p>
        </w:tc>
        <w:tc>
          <w:tcPr>
            <w:tcW w:w="1063" w:type="pct"/>
            <w:tcBorders>
              <w:top w:val="single" w:color="auto" w:sz="4" w:space="0"/>
            </w:tcBorders>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2150</w:t>
            </w:r>
          </w:p>
        </w:tc>
        <w:tc>
          <w:tcPr>
            <w:tcW w:w="276" w:type="pct"/>
            <w:tcBorders>
              <w:top w:val="single" w:color="auto" w:sz="4" w:space="0"/>
            </w:tcBorders>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5</w:t>
            </w:r>
          </w:p>
        </w:tc>
        <w:tc>
          <w:tcPr>
            <w:tcW w:w="1859" w:type="pct"/>
            <w:tcBorders>
              <w:top w:val="single" w:color="auto" w:sz="4" w:space="0"/>
            </w:tcBorders>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0</w:t>
            </w:r>
          </w:p>
        </w:tc>
        <w:tc>
          <w:tcPr>
            <w:tcW w:w="1126" w:type="pct"/>
            <w:tcBorders>
              <w:top w:val="single" w:color="auto" w:sz="4" w:space="0"/>
            </w:tcBorders>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0</w:t>
            </w:r>
          </w:p>
        </w:tc>
      </w:tr>
      <w:tr>
        <w:trPr>
          <w:trHeight w:val="307" w:hRule="atLeast"/>
        </w:trPr>
        <w:tc>
          <w:tcPr>
            <w:tcW w:w="674" w:type="pct"/>
            <w:vMerge w:val="continue"/>
            <w:shd w:val="clear" w:color="auto" w:fill="auto"/>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p>
        </w:tc>
        <w:tc>
          <w:tcPr>
            <w:tcW w:w="1063" w:type="pct"/>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4640</w:t>
            </w:r>
          </w:p>
        </w:tc>
        <w:tc>
          <w:tcPr>
            <w:tcW w:w="276" w:type="pct"/>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5</w:t>
            </w:r>
          </w:p>
        </w:tc>
        <w:tc>
          <w:tcPr>
            <w:tcW w:w="1859" w:type="pct"/>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0</w:t>
            </w:r>
          </w:p>
        </w:tc>
        <w:tc>
          <w:tcPr>
            <w:tcW w:w="1126" w:type="pct"/>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0</w:t>
            </w:r>
          </w:p>
        </w:tc>
      </w:tr>
      <w:tr>
        <w:trPr>
          <w:trHeight w:val="256" w:hRule="atLeast"/>
        </w:trPr>
        <w:tc>
          <w:tcPr>
            <w:tcW w:w="674" w:type="pct"/>
            <w:vMerge w:val="continue"/>
            <w:shd w:val="clear" w:color="auto" w:fill="auto"/>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p>
        </w:tc>
        <w:tc>
          <w:tcPr>
            <w:tcW w:w="1063" w:type="pct"/>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10,000</w:t>
            </w:r>
          </w:p>
        </w:tc>
        <w:tc>
          <w:tcPr>
            <w:tcW w:w="276" w:type="pct"/>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5</w:t>
            </w:r>
          </w:p>
        </w:tc>
        <w:tc>
          <w:tcPr>
            <w:tcW w:w="1859" w:type="pct"/>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rPr>
              <w:t>5</w:t>
            </w:r>
          </w:p>
        </w:tc>
        <w:tc>
          <w:tcPr>
            <w:tcW w:w="1126" w:type="pct"/>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100</w:t>
            </w:r>
          </w:p>
        </w:tc>
      </w:tr>
      <w:tr>
        <w:trPr>
          <w:trHeight w:val="322" w:hRule="atLeast"/>
        </w:trPr>
        <w:tc>
          <w:tcPr>
            <w:tcW w:w="674" w:type="pct"/>
            <w:vMerge w:val="continue"/>
            <w:shd w:val="clear" w:color="auto" w:fill="auto"/>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p>
        </w:tc>
        <w:tc>
          <w:tcPr>
            <w:tcW w:w="1063" w:type="pct"/>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21,500</w:t>
            </w:r>
          </w:p>
        </w:tc>
        <w:tc>
          <w:tcPr>
            <w:tcW w:w="276" w:type="pct"/>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5</w:t>
            </w:r>
          </w:p>
        </w:tc>
        <w:tc>
          <w:tcPr>
            <w:tcW w:w="1859" w:type="pct"/>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rPr>
              <w:t>5</w:t>
            </w:r>
          </w:p>
        </w:tc>
        <w:tc>
          <w:tcPr>
            <w:tcW w:w="1126" w:type="pct"/>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100</w:t>
            </w:r>
          </w:p>
        </w:tc>
      </w:tr>
      <w:tr>
        <w:trPr>
          <w:trHeight w:val="406" w:hRule="atLeast"/>
        </w:trPr>
        <w:tc>
          <w:tcPr>
            <w:tcW w:w="674" w:type="pct"/>
            <w:vMerge w:val="restart"/>
            <w:tcBorders>
              <w:bottom w:val="single" w:color="auto" w:sz="4" w:space="0"/>
            </w:tcBorders>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lang w:eastAsia="zh-CN"/>
              </w:rPr>
            </w:pPr>
            <w:r>
              <w:rPr>
                <w:rFonts w:ascii="Times New Roman" w:hAnsi="Times New Roman" w:cs="Times New Roman"/>
                <w:bCs/>
                <w:lang w:eastAsia="zh-CN"/>
              </w:rPr>
              <w:t>Male</w:t>
            </w:r>
          </w:p>
        </w:tc>
        <w:tc>
          <w:tcPr>
            <w:tcW w:w="1063" w:type="pct"/>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2150</w:t>
            </w:r>
          </w:p>
        </w:tc>
        <w:tc>
          <w:tcPr>
            <w:tcW w:w="276" w:type="pct"/>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5</w:t>
            </w:r>
          </w:p>
        </w:tc>
        <w:tc>
          <w:tcPr>
            <w:tcW w:w="1859" w:type="pct"/>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0</w:t>
            </w:r>
          </w:p>
        </w:tc>
        <w:tc>
          <w:tcPr>
            <w:tcW w:w="1126" w:type="pct"/>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0</w:t>
            </w:r>
          </w:p>
        </w:tc>
      </w:tr>
      <w:tr>
        <w:trPr>
          <w:trHeight w:val="236" w:hRule="atLeast"/>
        </w:trPr>
        <w:tc>
          <w:tcPr>
            <w:tcW w:w="674" w:type="pct"/>
            <w:vMerge w:val="continue"/>
            <w:tcBorders>
              <w:bottom w:val="single" w:color="auto" w:sz="4" w:space="0"/>
            </w:tcBorders>
            <w:shd w:val="clear" w:color="auto" w:fill="auto"/>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p>
        </w:tc>
        <w:tc>
          <w:tcPr>
            <w:tcW w:w="1063" w:type="pct"/>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4640</w:t>
            </w:r>
          </w:p>
        </w:tc>
        <w:tc>
          <w:tcPr>
            <w:tcW w:w="276" w:type="pct"/>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5</w:t>
            </w:r>
          </w:p>
        </w:tc>
        <w:tc>
          <w:tcPr>
            <w:tcW w:w="1859" w:type="pct"/>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0</w:t>
            </w:r>
          </w:p>
        </w:tc>
        <w:tc>
          <w:tcPr>
            <w:tcW w:w="1126" w:type="pct"/>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0</w:t>
            </w:r>
          </w:p>
        </w:tc>
      </w:tr>
      <w:tr>
        <w:trPr>
          <w:trHeight w:val="348" w:hRule="atLeast"/>
        </w:trPr>
        <w:tc>
          <w:tcPr>
            <w:tcW w:w="674" w:type="pct"/>
            <w:vMerge w:val="continue"/>
            <w:tcBorders>
              <w:bottom w:val="single" w:color="auto" w:sz="4" w:space="0"/>
            </w:tcBorders>
            <w:shd w:val="clear" w:color="auto" w:fill="auto"/>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p>
        </w:tc>
        <w:tc>
          <w:tcPr>
            <w:tcW w:w="1063" w:type="pct"/>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10,000</w:t>
            </w:r>
          </w:p>
        </w:tc>
        <w:tc>
          <w:tcPr>
            <w:tcW w:w="276" w:type="pct"/>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5</w:t>
            </w:r>
          </w:p>
        </w:tc>
        <w:tc>
          <w:tcPr>
            <w:tcW w:w="1859" w:type="pct"/>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rPr>
              <w:t>3</w:t>
            </w:r>
          </w:p>
        </w:tc>
        <w:tc>
          <w:tcPr>
            <w:tcW w:w="1126" w:type="pct"/>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60</w:t>
            </w:r>
          </w:p>
        </w:tc>
      </w:tr>
      <w:tr>
        <w:trPr>
          <w:trHeight w:val="356" w:hRule="atLeast"/>
        </w:trPr>
        <w:tc>
          <w:tcPr>
            <w:tcW w:w="674" w:type="pct"/>
            <w:vMerge w:val="continue"/>
            <w:tcBorders>
              <w:bottom w:val="single" w:color="auto" w:sz="4" w:space="0"/>
            </w:tcBorders>
            <w:shd w:val="clear" w:color="auto" w:fill="auto"/>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p>
        </w:tc>
        <w:tc>
          <w:tcPr>
            <w:tcW w:w="1063" w:type="pct"/>
            <w:tcBorders>
              <w:bottom w:val="single" w:color="auto" w:sz="4" w:space="0"/>
            </w:tcBorders>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21,500</w:t>
            </w:r>
          </w:p>
        </w:tc>
        <w:tc>
          <w:tcPr>
            <w:tcW w:w="276" w:type="pct"/>
            <w:tcBorders>
              <w:bottom w:val="single" w:color="auto" w:sz="4" w:space="0"/>
            </w:tcBorders>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5</w:t>
            </w:r>
          </w:p>
        </w:tc>
        <w:tc>
          <w:tcPr>
            <w:tcW w:w="1859" w:type="pct"/>
            <w:tcBorders>
              <w:bottom w:val="single" w:color="auto" w:sz="4" w:space="0"/>
            </w:tcBorders>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rPr>
              <w:t>5</w:t>
            </w:r>
          </w:p>
        </w:tc>
        <w:tc>
          <w:tcPr>
            <w:tcW w:w="1126" w:type="pct"/>
            <w:tcBorders>
              <w:bottom w:val="single" w:color="auto" w:sz="4" w:space="0"/>
            </w:tcBorders>
            <w:shd w:val="clear" w:color="auto" w:fill="auto"/>
            <w:tcMar>
              <w:top w:w="72" w:type="dxa"/>
              <w:left w:w="144" w:type="dxa"/>
              <w:bottom w:w="72" w:type="dxa"/>
              <w:right w:w="144" w:type="dxa"/>
            </w:tcMar>
            <w:vAlign w:val="center"/>
          </w:tcPr>
          <w:p>
            <w:pPr>
              <w:keepNext w:val="0"/>
              <w:keepLines w:val="0"/>
              <w:pageBreakBefore w:val="0"/>
              <w:widowControl/>
              <w:numPr>
                <w:ilvl w:val="12"/>
                <w:numId w:val="0"/>
              </w:numPr>
              <w:kinsoku/>
              <w:wordWrap/>
              <w:overflowPunct/>
              <w:topLinePunct w:val="0"/>
              <w:autoSpaceDE/>
              <w:autoSpaceDN/>
              <w:bidi w:val="0"/>
              <w:adjustRightInd w:val="0"/>
              <w:snapToGrid w:val="0"/>
              <w:spacing w:line="276" w:lineRule="auto"/>
              <w:ind w:firstLine="0" w:firstLineChars="0"/>
              <w:jc w:val="center"/>
              <w:textAlignment w:val="auto"/>
              <w:rPr>
                <w:rFonts w:ascii="Times New Roman" w:hAnsi="Times New Roman" w:cs="Times New Roman"/>
              </w:rPr>
            </w:pPr>
            <w:r>
              <w:rPr>
                <w:rFonts w:ascii="Times New Roman" w:hAnsi="Times New Roman" w:cs="Times New Roman"/>
                <w:bCs/>
              </w:rPr>
              <w:t>100</w:t>
            </w:r>
          </w:p>
        </w:tc>
      </w:tr>
    </w:tbl>
    <w:p>
      <w:pPr>
        <w:keepNext w:val="0"/>
        <w:keepLines w:val="0"/>
        <w:pageBreakBefore w:val="0"/>
        <w:widowControl/>
        <w:kinsoku/>
        <w:wordWrap/>
        <w:overflowPunct/>
        <w:topLinePunct w:val="0"/>
        <w:autoSpaceDE/>
        <w:autoSpaceDN/>
        <w:bidi w:val="0"/>
        <w:spacing w:line="276" w:lineRule="auto"/>
        <w:textAlignment w:val="auto"/>
        <w:rPr>
          <w:rStyle w:val="39"/>
          <w:rFonts w:ascii="Arial" w:hAnsi="Arial" w:cs="Arial" w:eastAsiaTheme="minorEastAsia"/>
        </w:rPr>
        <w:sectPr>
          <w:pgSz w:w="16838" w:h="11906" w:orient="landscape"/>
          <w:pgMar w:top="1440" w:right="1440" w:bottom="1440" w:left="1440" w:header="851" w:footer="994" w:gutter="0"/>
          <w:lnNumType w:countBy="1" w:restart="continuous"/>
          <w:cols w:space="425" w:num="1"/>
          <w:docGrid w:type="lines" w:linePitch="326" w:charSpace="0"/>
        </w:sectPr>
      </w:pPr>
    </w:p>
    <w:p>
      <w:pPr>
        <w:pStyle w:val="3"/>
        <w:spacing w:before="0" w:after="0" w:line="360" w:lineRule="auto"/>
        <w:jc w:val="both"/>
        <w:rPr>
          <w:rStyle w:val="39"/>
          <w:rFonts w:cs="Times New Roman" w:eastAsiaTheme="minorEastAsia"/>
          <w:b/>
          <w:bCs w:val="0"/>
          <w:i/>
          <w:iCs/>
          <w:szCs w:val="24"/>
        </w:rPr>
      </w:pPr>
      <w:bookmarkStart w:id="19" w:name="_Toc19305"/>
      <w:bookmarkEnd w:id="19"/>
      <w:bookmarkStart w:id="20" w:name="_Toc95530227"/>
      <w:r>
        <w:rPr>
          <w:rStyle w:val="39"/>
          <w:rFonts w:cs="Times New Roman" w:eastAsiaTheme="minorEastAsia"/>
          <w:b/>
          <w:bCs w:val="0"/>
          <w:i/>
          <w:iCs/>
          <w:szCs w:val="24"/>
        </w:rPr>
        <w:t>Table S2. Body weight changes of rats exposed to different doses of maleic acid polymer scale inhibitor for 90 days</w:t>
      </w:r>
      <w:bookmarkEnd w:id="20"/>
    </w:p>
    <w:p>
      <w:pPr>
        <w:pStyle w:val="3"/>
        <w:spacing w:before="0" w:after="0" w:line="240" w:lineRule="auto"/>
        <w:jc w:val="both"/>
        <w:rPr>
          <w:rStyle w:val="39"/>
          <w:rFonts w:cs="Times New Roman" w:eastAsiaTheme="minorEastAsia"/>
          <w:b w:val="0"/>
          <w:bCs w:val="0"/>
          <w:szCs w:val="24"/>
        </w:rPr>
      </w:pPr>
      <w:bookmarkStart w:id="21" w:name="_Toc1406240880"/>
      <w:r>
        <w:rPr>
          <w:rStyle w:val="39"/>
          <w:rFonts w:cs="Times New Roman" w:eastAsiaTheme="minorEastAsia"/>
          <w:b w:val="0"/>
          <w:bCs w:val="0"/>
          <w:szCs w:val="24"/>
        </w:rPr>
        <w:t>All values are expressed as the mean</w:t>
      </w:r>
      <w:r>
        <w:rPr>
          <w:rStyle w:val="39"/>
          <w:rFonts w:cs="Times New Roman" w:eastAsiaTheme="minorEastAsia"/>
          <w:b w:val="0"/>
          <w:bCs w:val="0"/>
          <w:szCs w:val="24"/>
          <w:lang w:eastAsia="zh-CN"/>
        </w:rPr>
        <w:t xml:space="preserve"> ± </w:t>
      </w:r>
      <w:r>
        <w:rPr>
          <w:rStyle w:val="39"/>
          <w:rFonts w:cs="Times New Roman" w:eastAsiaTheme="minorEastAsia"/>
          <w:b w:val="0"/>
          <w:bCs w:val="0"/>
          <w:szCs w:val="24"/>
        </w:rPr>
        <w:t xml:space="preserve">SD per group (n = 20, 10 male and 10 female). The Shapiro–Wilk test was used to assess normality, and Bartlett’s test was used to assess homogeneity of variance. Dunnett’s test was used in the case of homoscedasticity and a normal distribution, and the Wilcoxon rank–sum test was used in the case of heteroscedasticity or a skewed distribution for statistical analysis comparing with the control group; ** </w:t>
      </w:r>
      <w:r>
        <w:rPr>
          <w:rStyle w:val="39"/>
          <w:rFonts w:cs="Times New Roman" w:eastAsiaTheme="minorEastAsia"/>
          <w:b w:val="0"/>
          <w:bCs w:val="0"/>
          <w:i/>
          <w:iCs/>
          <w:szCs w:val="24"/>
        </w:rPr>
        <w:t>p</w:t>
      </w:r>
      <w:r>
        <w:rPr>
          <w:rStyle w:val="39"/>
          <w:rFonts w:cs="Times New Roman" w:eastAsiaTheme="minorEastAsia"/>
          <w:b w:val="0"/>
          <w:bCs w:val="0"/>
          <w:szCs w:val="24"/>
        </w:rPr>
        <w:t xml:space="preserve"> &lt; 0.01, *** </w:t>
      </w:r>
      <w:r>
        <w:rPr>
          <w:rStyle w:val="39"/>
          <w:rFonts w:cs="Times New Roman" w:eastAsiaTheme="minorEastAsia"/>
          <w:b w:val="0"/>
          <w:bCs w:val="0"/>
          <w:i/>
          <w:iCs/>
          <w:szCs w:val="24"/>
        </w:rPr>
        <w:t>p</w:t>
      </w:r>
      <w:r>
        <w:rPr>
          <w:rStyle w:val="39"/>
          <w:rFonts w:cs="Times New Roman" w:eastAsiaTheme="minorEastAsia"/>
          <w:b w:val="0"/>
          <w:bCs w:val="0"/>
          <w:szCs w:val="24"/>
        </w:rPr>
        <w:t xml:space="preserve"> &lt; 0.001.</w:t>
      </w:r>
      <w:bookmarkEnd w:id="21"/>
    </w:p>
    <w:tbl>
      <w:tblPr>
        <w:tblStyle w:val="12"/>
        <w:tblW w:w="5079" w:type="pct"/>
        <w:tblInd w:w="0" w:type="dxa"/>
        <w:tblLayout w:type="fixed"/>
        <w:tblCellMar>
          <w:top w:w="0" w:type="dxa"/>
          <w:left w:w="108" w:type="dxa"/>
          <w:bottom w:w="0" w:type="dxa"/>
          <w:right w:w="108" w:type="dxa"/>
        </w:tblCellMar>
      </w:tblPr>
      <w:tblGrid>
        <w:gridCol w:w="1026"/>
        <w:gridCol w:w="1605"/>
        <w:gridCol w:w="1654"/>
        <w:gridCol w:w="1496"/>
        <w:gridCol w:w="1642"/>
        <w:gridCol w:w="1671"/>
        <w:gridCol w:w="1728"/>
        <w:gridCol w:w="1664"/>
        <w:gridCol w:w="1912"/>
      </w:tblGrid>
      <w:tr>
        <w:trPr>
          <w:trHeight w:val="357" w:hRule="atLeast"/>
        </w:trPr>
        <w:tc>
          <w:tcPr>
            <w:tcW w:w="356" w:type="pct"/>
            <w:vMerge w:val="restart"/>
            <w:tcBorders>
              <w:top w:val="single" w:color="auto" w:sz="8" w:space="0"/>
              <w:left w:val="nil"/>
              <w:bottom w:val="single" w:color="000000" w:sz="8" w:space="0"/>
              <w:right w:val="nil"/>
            </w:tcBorders>
            <w:shd w:val="clear" w:color="auto" w:fill="auto"/>
            <w:noWrap/>
            <w:vAlign w:val="center"/>
          </w:tcPr>
          <w:p>
            <w:pPr>
              <w:spacing w:line="240" w:lineRule="auto"/>
              <w:jc w:val="center"/>
              <w:rPr>
                <w:rFonts w:ascii="Times New Roman" w:hAnsi="Times New Roman" w:eastAsia="宋体" w:cs="Times New Roman"/>
                <w:b/>
                <w:bCs/>
                <w:color w:val="000000"/>
                <w:sz w:val="21"/>
                <w:szCs w:val="21"/>
                <w:lang w:eastAsia="zh-CN"/>
              </w:rPr>
            </w:pPr>
            <w:r>
              <w:rPr>
                <w:rFonts w:ascii="Times New Roman" w:hAnsi="Times New Roman" w:eastAsia="宋体" w:cs="Times New Roman"/>
                <w:b/>
                <w:bCs/>
                <w:color w:val="000000"/>
                <w:sz w:val="21"/>
                <w:szCs w:val="21"/>
                <w:lang w:eastAsia="zh-CN"/>
              </w:rPr>
              <w:t>Time</w:t>
            </w:r>
          </w:p>
        </w:tc>
        <w:tc>
          <w:tcPr>
            <w:tcW w:w="2220" w:type="pct"/>
            <w:gridSpan w:val="4"/>
            <w:tcBorders>
              <w:top w:val="single" w:color="auto" w:sz="8" w:space="0"/>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Female</w:t>
            </w:r>
          </w:p>
        </w:tc>
        <w:tc>
          <w:tcPr>
            <w:tcW w:w="2422" w:type="pct"/>
            <w:gridSpan w:val="4"/>
            <w:tcBorders>
              <w:top w:val="single" w:color="auto" w:sz="8" w:space="0"/>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Male</w:t>
            </w:r>
          </w:p>
        </w:tc>
      </w:tr>
      <w:tr>
        <w:trPr>
          <w:trHeight w:val="357" w:hRule="atLeast"/>
        </w:trPr>
        <w:tc>
          <w:tcPr>
            <w:tcW w:w="356" w:type="pct"/>
            <w:vMerge w:val="continue"/>
            <w:tcBorders>
              <w:top w:val="single" w:color="auto" w:sz="8" w:space="0"/>
              <w:left w:val="nil"/>
              <w:bottom w:val="single" w:color="000000" w:sz="8" w:space="0"/>
              <w:right w:val="nil"/>
            </w:tcBorders>
            <w:vAlign w:val="center"/>
          </w:tcPr>
          <w:p>
            <w:pPr>
              <w:spacing w:line="240" w:lineRule="auto"/>
              <w:jc w:val="center"/>
              <w:rPr>
                <w:rFonts w:ascii="Times New Roman" w:hAnsi="Times New Roman" w:eastAsia="宋体" w:cs="Times New Roman"/>
                <w:b/>
                <w:bCs/>
                <w:color w:val="000000"/>
                <w:sz w:val="21"/>
                <w:szCs w:val="21"/>
                <w:lang w:eastAsia="zh-CN"/>
              </w:rPr>
            </w:pPr>
          </w:p>
        </w:tc>
        <w:tc>
          <w:tcPr>
            <w:tcW w:w="557" w:type="pct"/>
            <w:tcBorders>
              <w:top w:val="nil"/>
              <w:left w:val="nil"/>
              <w:bottom w:val="single" w:color="auto" w:sz="8" w:space="0"/>
              <w:right w:val="nil"/>
            </w:tcBorders>
            <w:shd w:val="clear" w:color="auto" w:fill="auto"/>
            <w:noWrap/>
            <w:vAlign w:val="center"/>
          </w:tcPr>
          <w:p>
            <w:pPr>
              <w:spacing w:line="240" w:lineRule="auto"/>
              <w:jc w:val="center"/>
              <w:rPr>
                <w:rFonts w:ascii="Times New Roman" w:hAnsi="Times New Roman" w:eastAsia="宋体" w:cs="Times New Roman"/>
                <w:b/>
                <w:color w:val="000000"/>
                <w:sz w:val="21"/>
                <w:szCs w:val="21"/>
                <w:lang w:eastAsia="zh-CN"/>
              </w:rPr>
            </w:pPr>
            <w:r>
              <w:rPr>
                <w:rFonts w:ascii="Times New Roman" w:hAnsi="Times New Roman" w:cs="Times New Roman"/>
                <w:sz w:val="21"/>
                <w:lang w:eastAsia="zh-CN"/>
              </w:rPr>
              <w:t>Control</w:t>
            </w:r>
          </w:p>
        </w:tc>
        <w:tc>
          <w:tcPr>
            <w:tcW w:w="574" w:type="pct"/>
            <w:tcBorders>
              <w:top w:val="nil"/>
              <w:left w:val="nil"/>
              <w:bottom w:val="single" w:color="auto" w:sz="8" w:space="0"/>
              <w:right w:val="nil"/>
            </w:tcBorders>
            <w:shd w:val="clear" w:color="auto" w:fill="auto"/>
            <w:noWrap/>
            <w:vAlign w:val="center"/>
          </w:tcPr>
          <w:p>
            <w:pPr>
              <w:spacing w:line="240" w:lineRule="auto"/>
              <w:jc w:val="center"/>
              <w:rPr>
                <w:rFonts w:ascii="Times New Roman" w:hAnsi="Times New Roman" w:eastAsia="宋体" w:cs="Times New Roman"/>
                <w:b/>
                <w:color w:val="000000"/>
                <w:sz w:val="21"/>
                <w:szCs w:val="21"/>
                <w:lang w:eastAsia="zh-CN"/>
              </w:rPr>
            </w:pPr>
            <w:r>
              <w:rPr>
                <w:rFonts w:ascii="Times New Roman" w:hAnsi="Times New Roman" w:cs="Times New Roman"/>
                <w:sz w:val="21"/>
                <w:lang w:eastAsia="zh-CN"/>
              </w:rPr>
              <w:t>1/20 LD</w:t>
            </w:r>
            <w:r>
              <w:rPr>
                <w:rFonts w:ascii="Times New Roman" w:hAnsi="Times New Roman" w:cs="Times New Roman"/>
                <w:sz w:val="21"/>
                <w:vertAlign w:val="subscript"/>
                <w:lang w:eastAsia="zh-CN"/>
              </w:rPr>
              <w:t>50</w:t>
            </w:r>
          </w:p>
        </w:tc>
        <w:tc>
          <w:tcPr>
            <w:tcW w:w="519" w:type="pct"/>
            <w:tcBorders>
              <w:top w:val="nil"/>
              <w:left w:val="nil"/>
              <w:bottom w:val="single" w:color="auto" w:sz="8" w:space="0"/>
              <w:right w:val="nil"/>
            </w:tcBorders>
            <w:shd w:val="clear" w:color="auto" w:fill="auto"/>
            <w:noWrap/>
            <w:vAlign w:val="center"/>
          </w:tcPr>
          <w:p>
            <w:pPr>
              <w:spacing w:line="240" w:lineRule="auto"/>
              <w:jc w:val="center"/>
              <w:rPr>
                <w:rFonts w:ascii="Times New Roman" w:hAnsi="Times New Roman" w:eastAsia="宋体" w:cs="Times New Roman"/>
                <w:b/>
                <w:color w:val="000000"/>
                <w:sz w:val="21"/>
                <w:szCs w:val="21"/>
                <w:lang w:eastAsia="zh-CN"/>
              </w:rPr>
            </w:pPr>
            <w:r>
              <w:rPr>
                <w:rFonts w:ascii="Times New Roman" w:hAnsi="Times New Roman" w:cs="Times New Roman"/>
                <w:sz w:val="21"/>
                <w:lang w:eastAsia="zh-CN"/>
              </w:rPr>
              <w:t>1/10 LD</w:t>
            </w:r>
            <w:r>
              <w:rPr>
                <w:rFonts w:ascii="Times New Roman" w:hAnsi="Times New Roman" w:cs="Times New Roman"/>
                <w:sz w:val="21"/>
                <w:vertAlign w:val="subscript"/>
                <w:lang w:eastAsia="zh-CN"/>
              </w:rPr>
              <w:t>50</w:t>
            </w:r>
          </w:p>
        </w:tc>
        <w:tc>
          <w:tcPr>
            <w:tcW w:w="569" w:type="pct"/>
            <w:tcBorders>
              <w:top w:val="nil"/>
              <w:left w:val="nil"/>
              <w:bottom w:val="single" w:color="auto" w:sz="8" w:space="0"/>
              <w:right w:val="nil"/>
            </w:tcBorders>
            <w:shd w:val="clear" w:color="auto" w:fill="auto"/>
            <w:noWrap/>
            <w:vAlign w:val="center"/>
          </w:tcPr>
          <w:p>
            <w:pPr>
              <w:spacing w:line="240" w:lineRule="auto"/>
              <w:jc w:val="center"/>
              <w:rPr>
                <w:rFonts w:ascii="Times New Roman" w:hAnsi="Times New Roman" w:eastAsia="宋体" w:cs="Times New Roman"/>
                <w:b/>
                <w:color w:val="000000"/>
                <w:sz w:val="21"/>
                <w:szCs w:val="21"/>
                <w:lang w:eastAsia="zh-CN"/>
              </w:rPr>
            </w:pPr>
            <w:r>
              <w:rPr>
                <w:rFonts w:ascii="Times New Roman" w:hAnsi="Times New Roman" w:cs="Times New Roman"/>
                <w:sz w:val="21"/>
                <w:lang w:eastAsia="zh-CN"/>
              </w:rPr>
              <w:t>1/5 LD</w:t>
            </w:r>
            <w:r>
              <w:rPr>
                <w:rFonts w:ascii="Times New Roman" w:hAnsi="Times New Roman" w:cs="Times New Roman"/>
                <w:sz w:val="21"/>
                <w:vertAlign w:val="subscript"/>
                <w:lang w:eastAsia="zh-CN"/>
              </w:rPr>
              <w:t>50</w:t>
            </w:r>
          </w:p>
        </w:tc>
        <w:tc>
          <w:tcPr>
            <w:tcW w:w="580" w:type="pct"/>
            <w:tcBorders>
              <w:top w:val="nil"/>
              <w:left w:val="nil"/>
              <w:bottom w:val="single" w:color="auto" w:sz="8" w:space="0"/>
              <w:right w:val="nil"/>
            </w:tcBorders>
            <w:shd w:val="clear" w:color="auto" w:fill="auto"/>
            <w:noWrap/>
            <w:vAlign w:val="center"/>
          </w:tcPr>
          <w:p>
            <w:pPr>
              <w:spacing w:line="240" w:lineRule="auto"/>
              <w:jc w:val="center"/>
              <w:rPr>
                <w:rFonts w:ascii="Times New Roman" w:hAnsi="Times New Roman" w:eastAsia="宋体" w:cs="Times New Roman"/>
                <w:b/>
                <w:color w:val="000000"/>
                <w:sz w:val="21"/>
                <w:szCs w:val="21"/>
                <w:lang w:eastAsia="zh-CN"/>
              </w:rPr>
            </w:pPr>
            <w:r>
              <w:rPr>
                <w:rFonts w:ascii="Times New Roman" w:hAnsi="Times New Roman" w:cs="Times New Roman"/>
                <w:sz w:val="21"/>
                <w:lang w:eastAsia="zh-CN"/>
              </w:rPr>
              <w:t>Control</w:t>
            </w:r>
          </w:p>
        </w:tc>
        <w:tc>
          <w:tcPr>
            <w:tcW w:w="600" w:type="pct"/>
            <w:tcBorders>
              <w:top w:val="nil"/>
              <w:left w:val="nil"/>
              <w:bottom w:val="single" w:color="auto" w:sz="8" w:space="0"/>
              <w:right w:val="nil"/>
            </w:tcBorders>
            <w:shd w:val="clear" w:color="auto" w:fill="auto"/>
            <w:noWrap/>
            <w:vAlign w:val="center"/>
          </w:tcPr>
          <w:p>
            <w:pPr>
              <w:spacing w:line="240" w:lineRule="auto"/>
              <w:jc w:val="center"/>
              <w:rPr>
                <w:rFonts w:ascii="Times New Roman" w:hAnsi="Times New Roman" w:eastAsia="宋体" w:cs="Times New Roman"/>
                <w:b/>
                <w:color w:val="000000"/>
                <w:sz w:val="21"/>
                <w:szCs w:val="21"/>
                <w:lang w:eastAsia="zh-CN"/>
              </w:rPr>
            </w:pPr>
            <w:r>
              <w:rPr>
                <w:rFonts w:ascii="Times New Roman" w:hAnsi="Times New Roman" w:cs="Times New Roman"/>
                <w:sz w:val="21"/>
                <w:lang w:eastAsia="zh-CN"/>
              </w:rPr>
              <w:t>1/20 LD</w:t>
            </w:r>
            <w:r>
              <w:rPr>
                <w:rFonts w:ascii="Times New Roman" w:hAnsi="Times New Roman" w:cs="Times New Roman"/>
                <w:sz w:val="21"/>
                <w:vertAlign w:val="subscript"/>
                <w:lang w:eastAsia="zh-CN"/>
              </w:rPr>
              <w:t>50</w:t>
            </w:r>
          </w:p>
        </w:tc>
        <w:tc>
          <w:tcPr>
            <w:tcW w:w="578" w:type="pct"/>
            <w:tcBorders>
              <w:top w:val="nil"/>
              <w:left w:val="nil"/>
              <w:bottom w:val="single" w:color="auto" w:sz="8" w:space="0"/>
              <w:right w:val="nil"/>
            </w:tcBorders>
            <w:shd w:val="clear" w:color="auto" w:fill="auto"/>
            <w:noWrap/>
            <w:vAlign w:val="center"/>
          </w:tcPr>
          <w:p>
            <w:pPr>
              <w:spacing w:line="240" w:lineRule="auto"/>
              <w:jc w:val="center"/>
              <w:rPr>
                <w:rFonts w:ascii="Times New Roman" w:hAnsi="Times New Roman" w:eastAsia="宋体" w:cs="Times New Roman"/>
                <w:b/>
                <w:color w:val="000000"/>
                <w:sz w:val="21"/>
                <w:szCs w:val="21"/>
                <w:lang w:eastAsia="zh-CN"/>
              </w:rPr>
            </w:pPr>
            <w:r>
              <w:rPr>
                <w:rFonts w:ascii="Times New Roman" w:hAnsi="Times New Roman" w:cs="Times New Roman"/>
                <w:sz w:val="21"/>
                <w:lang w:eastAsia="zh-CN"/>
              </w:rPr>
              <w:t>1/10 LD</w:t>
            </w:r>
            <w:r>
              <w:rPr>
                <w:rFonts w:ascii="Times New Roman" w:hAnsi="Times New Roman" w:cs="Times New Roman"/>
                <w:sz w:val="21"/>
                <w:vertAlign w:val="subscript"/>
                <w:lang w:eastAsia="zh-CN"/>
              </w:rPr>
              <w:t>50</w:t>
            </w:r>
          </w:p>
        </w:tc>
        <w:tc>
          <w:tcPr>
            <w:tcW w:w="662" w:type="pct"/>
            <w:tcBorders>
              <w:top w:val="nil"/>
              <w:left w:val="nil"/>
              <w:bottom w:val="single" w:color="auto" w:sz="8" w:space="0"/>
              <w:right w:val="nil"/>
            </w:tcBorders>
            <w:shd w:val="clear" w:color="auto" w:fill="auto"/>
            <w:noWrap/>
            <w:vAlign w:val="center"/>
          </w:tcPr>
          <w:p>
            <w:pPr>
              <w:spacing w:line="240" w:lineRule="auto"/>
              <w:jc w:val="center"/>
              <w:rPr>
                <w:rFonts w:ascii="Times New Roman" w:hAnsi="Times New Roman" w:eastAsia="宋体" w:cs="Times New Roman"/>
                <w:b/>
                <w:color w:val="000000"/>
                <w:sz w:val="21"/>
                <w:szCs w:val="21"/>
                <w:lang w:eastAsia="zh-CN"/>
              </w:rPr>
            </w:pPr>
            <w:r>
              <w:rPr>
                <w:rFonts w:ascii="Times New Roman" w:hAnsi="Times New Roman" w:cs="Times New Roman"/>
                <w:sz w:val="21"/>
                <w:lang w:eastAsia="zh-CN"/>
              </w:rPr>
              <w:t>1/5 LD</w:t>
            </w:r>
            <w:r>
              <w:rPr>
                <w:rFonts w:ascii="Times New Roman" w:hAnsi="Times New Roman" w:cs="Times New Roman"/>
                <w:sz w:val="21"/>
                <w:vertAlign w:val="subscript"/>
                <w:lang w:eastAsia="zh-CN"/>
              </w:rPr>
              <w:t>50</w:t>
            </w:r>
          </w:p>
        </w:tc>
      </w:tr>
      <w:tr>
        <w:trPr>
          <w:trHeight w:val="407" w:hRule="atLeast"/>
        </w:trPr>
        <w:tc>
          <w:tcPr>
            <w:tcW w:w="356"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b/>
                <w:color w:val="000000"/>
                <w:sz w:val="21"/>
                <w:szCs w:val="21"/>
                <w:lang w:eastAsia="zh-CN"/>
              </w:rPr>
            </w:pPr>
            <w:r>
              <w:rPr>
                <w:rFonts w:ascii="Times New Roman" w:hAnsi="Times New Roman" w:eastAsia="宋体" w:cs="Times New Roman"/>
                <w:b/>
                <w:color w:val="000000"/>
                <w:sz w:val="21"/>
                <w:szCs w:val="21"/>
                <w:lang w:eastAsia="zh-CN"/>
              </w:rPr>
              <w:t>Week 1</w:t>
            </w:r>
          </w:p>
        </w:tc>
        <w:tc>
          <w:tcPr>
            <w:tcW w:w="557"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71.57 ± 11.24</w:t>
            </w:r>
          </w:p>
        </w:tc>
        <w:tc>
          <w:tcPr>
            <w:tcW w:w="574"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70.03 ± 9.95</w:t>
            </w:r>
          </w:p>
        </w:tc>
        <w:tc>
          <w:tcPr>
            <w:tcW w:w="519"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70.09 ± 5.94</w:t>
            </w:r>
          </w:p>
        </w:tc>
        <w:tc>
          <w:tcPr>
            <w:tcW w:w="569"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79.96 ± 10.44</w:t>
            </w:r>
          </w:p>
        </w:tc>
        <w:tc>
          <w:tcPr>
            <w:tcW w:w="580"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76.96 ± 5.30</w:t>
            </w:r>
          </w:p>
        </w:tc>
        <w:tc>
          <w:tcPr>
            <w:tcW w:w="600"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77.58 ± 8.55</w:t>
            </w:r>
          </w:p>
        </w:tc>
        <w:tc>
          <w:tcPr>
            <w:tcW w:w="578"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75.39 ± 6.48</w:t>
            </w:r>
          </w:p>
        </w:tc>
        <w:tc>
          <w:tcPr>
            <w:tcW w:w="662"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69.78 ± 6.04**</w:t>
            </w:r>
          </w:p>
        </w:tc>
      </w:tr>
      <w:tr>
        <w:trPr>
          <w:trHeight w:val="387" w:hRule="atLeast"/>
        </w:trPr>
        <w:tc>
          <w:tcPr>
            <w:tcW w:w="356"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b/>
                <w:color w:val="000000"/>
                <w:sz w:val="21"/>
                <w:szCs w:val="21"/>
                <w:lang w:eastAsia="zh-CN"/>
              </w:rPr>
            </w:pPr>
            <w:r>
              <w:rPr>
                <w:rFonts w:ascii="Times New Roman" w:hAnsi="Times New Roman" w:eastAsia="宋体" w:cs="Times New Roman"/>
                <w:b/>
                <w:color w:val="000000"/>
                <w:sz w:val="21"/>
                <w:szCs w:val="21"/>
                <w:lang w:eastAsia="zh-CN"/>
              </w:rPr>
              <w:t>Week 2</w:t>
            </w:r>
          </w:p>
        </w:tc>
        <w:tc>
          <w:tcPr>
            <w:tcW w:w="557"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108.18 ± 14.10</w:t>
            </w:r>
          </w:p>
        </w:tc>
        <w:tc>
          <w:tcPr>
            <w:tcW w:w="574"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99.97 ± 11.20</w:t>
            </w:r>
          </w:p>
        </w:tc>
        <w:tc>
          <w:tcPr>
            <w:tcW w:w="519"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100.53 ± 8.20</w:t>
            </w:r>
          </w:p>
        </w:tc>
        <w:tc>
          <w:tcPr>
            <w:tcW w:w="569"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109.09 ± 12.70</w:t>
            </w:r>
          </w:p>
        </w:tc>
        <w:tc>
          <w:tcPr>
            <w:tcW w:w="580"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116.18 ± 8.43</w:t>
            </w:r>
          </w:p>
        </w:tc>
        <w:tc>
          <w:tcPr>
            <w:tcW w:w="600"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117.19 ± 9.42</w:t>
            </w:r>
          </w:p>
        </w:tc>
        <w:tc>
          <w:tcPr>
            <w:tcW w:w="578"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113.93 ± 9.61</w:t>
            </w:r>
          </w:p>
        </w:tc>
        <w:tc>
          <w:tcPr>
            <w:tcW w:w="662"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100.60 ± 10.56**</w:t>
            </w:r>
          </w:p>
        </w:tc>
      </w:tr>
      <w:tr>
        <w:trPr>
          <w:trHeight w:val="387" w:hRule="atLeast"/>
        </w:trPr>
        <w:tc>
          <w:tcPr>
            <w:tcW w:w="356"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b/>
                <w:color w:val="000000"/>
                <w:sz w:val="21"/>
                <w:szCs w:val="21"/>
                <w:lang w:eastAsia="zh-CN"/>
              </w:rPr>
            </w:pPr>
            <w:r>
              <w:rPr>
                <w:rFonts w:ascii="Times New Roman" w:hAnsi="Times New Roman" w:eastAsia="宋体" w:cs="Times New Roman"/>
                <w:b/>
                <w:color w:val="000000"/>
                <w:sz w:val="21"/>
                <w:szCs w:val="21"/>
                <w:lang w:eastAsia="zh-CN"/>
              </w:rPr>
              <w:t>Week 3</w:t>
            </w:r>
          </w:p>
        </w:tc>
        <w:tc>
          <w:tcPr>
            <w:tcW w:w="557"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160.52 ± 10.81</w:t>
            </w:r>
          </w:p>
        </w:tc>
        <w:tc>
          <w:tcPr>
            <w:tcW w:w="574"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154.76 ± 6.26</w:t>
            </w:r>
          </w:p>
        </w:tc>
        <w:tc>
          <w:tcPr>
            <w:tcW w:w="519"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154.33 ± 6.38</w:t>
            </w:r>
          </w:p>
        </w:tc>
        <w:tc>
          <w:tcPr>
            <w:tcW w:w="569"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154.09 ± 11.49</w:t>
            </w:r>
          </w:p>
        </w:tc>
        <w:tc>
          <w:tcPr>
            <w:tcW w:w="580"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189.76 ± 9.19</w:t>
            </w:r>
          </w:p>
        </w:tc>
        <w:tc>
          <w:tcPr>
            <w:tcW w:w="600"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184.95 ± 8.40</w:t>
            </w:r>
          </w:p>
        </w:tc>
        <w:tc>
          <w:tcPr>
            <w:tcW w:w="578"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188.59 ± 12.87</w:t>
            </w:r>
          </w:p>
        </w:tc>
        <w:tc>
          <w:tcPr>
            <w:tcW w:w="662"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170.06 ± 13.24***</w:t>
            </w:r>
          </w:p>
        </w:tc>
      </w:tr>
      <w:tr>
        <w:trPr>
          <w:trHeight w:val="387" w:hRule="atLeast"/>
        </w:trPr>
        <w:tc>
          <w:tcPr>
            <w:tcW w:w="356"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b/>
                <w:color w:val="000000"/>
                <w:sz w:val="21"/>
                <w:szCs w:val="21"/>
                <w:lang w:eastAsia="zh-CN"/>
              </w:rPr>
            </w:pPr>
            <w:r>
              <w:rPr>
                <w:rFonts w:ascii="Times New Roman" w:hAnsi="Times New Roman" w:eastAsia="宋体" w:cs="Times New Roman"/>
                <w:b/>
                <w:color w:val="000000"/>
                <w:sz w:val="21"/>
                <w:szCs w:val="21"/>
                <w:lang w:eastAsia="zh-CN"/>
              </w:rPr>
              <w:t>Week 4</w:t>
            </w:r>
          </w:p>
        </w:tc>
        <w:tc>
          <w:tcPr>
            <w:tcW w:w="557"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185.32 ± 10.35</w:t>
            </w:r>
          </w:p>
        </w:tc>
        <w:tc>
          <w:tcPr>
            <w:tcW w:w="574"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179.27 ± 4.89</w:t>
            </w:r>
          </w:p>
        </w:tc>
        <w:tc>
          <w:tcPr>
            <w:tcW w:w="519"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181.63 ± 10.14</w:t>
            </w:r>
          </w:p>
        </w:tc>
        <w:tc>
          <w:tcPr>
            <w:tcW w:w="569"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177.28 ± 10.68</w:t>
            </w:r>
          </w:p>
        </w:tc>
        <w:tc>
          <w:tcPr>
            <w:tcW w:w="580"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250.36 ± 11.40</w:t>
            </w:r>
          </w:p>
        </w:tc>
        <w:tc>
          <w:tcPr>
            <w:tcW w:w="600"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250.69 ± 11.92</w:t>
            </w:r>
          </w:p>
        </w:tc>
        <w:tc>
          <w:tcPr>
            <w:tcW w:w="578"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243.99 ± 13.75</w:t>
            </w:r>
          </w:p>
        </w:tc>
        <w:tc>
          <w:tcPr>
            <w:tcW w:w="662"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223.03 ± 12.57***</w:t>
            </w:r>
          </w:p>
        </w:tc>
      </w:tr>
      <w:tr>
        <w:trPr>
          <w:trHeight w:val="387" w:hRule="atLeast"/>
        </w:trPr>
        <w:tc>
          <w:tcPr>
            <w:tcW w:w="356"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b/>
                <w:color w:val="000000"/>
                <w:sz w:val="21"/>
                <w:szCs w:val="21"/>
                <w:lang w:eastAsia="zh-CN"/>
              </w:rPr>
            </w:pPr>
            <w:r>
              <w:rPr>
                <w:rFonts w:ascii="Times New Roman" w:hAnsi="Times New Roman" w:eastAsia="宋体" w:cs="Times New Roman"/>
                <w:b/>
                <w:color w:val="000000"/>
                <w:sz w:val="21"/>
                <w:szCs w:val="21"/>
                <w:lang w:eastAsia="zh-CN"/>
              </w:rPr>
              <w:t>Week 5</w:t>
            </w:r>
          </w:p>
        </w:tc>
        <w:tc>
          <w:tcPr>
            <w:tcW w:w="557"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203.98 ± 11.15</w:t>
            </w:r>
          </w:p>
        </w:tc>
        <w:tc>
          <w:tcPr>
            <w:tcW w:w="574"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195.64 ± 4.87</w:t>
            </w:r>
          </w:p>
        </w:tc>
        <w:tc>
          <w:tcPr>
            <w:tcW w:w="519"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203.13 ± 17.49</w:t>
            </w:r>
          </w:p>
        </w:tc>
        <w:tc>
          <w:tcPr>
            <w:tcW w:w="569"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193.82 ± 9.96</w:t>
            </w:r>
          </w:p>
        </w:tc>
        <w:tc>
          <w:tcPr>
            <w:tcW w:w="580"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302.90 ± 14.46</w:t>
            </w:r>
          </w:p>
        </w:tc>
        <w:tc>
          <w:tcPr>
            <w:tcW w:w="600"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300.38 ± 12.30</w:t>
            </w:r>
          </w:p>
        </w:tc>
        <w:tc>
          <w:tcPr>
            <w:tcW w:w="578"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290.85 ± 14.34</w:t>
            </w:r>
          </w:p>
        </w:tc>
        <w:tc>
          <w:tcPr>
            <w:tcW w:w="662"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267.30 ± 11.84***</w:t>
            </w:r>
          </w:p>
        </w:tc>
      </w:tr>
      <w:tr>
        <w:trPr>
          <w:trHeight w:val="387" w:hRule="atLeast"/>
        </w:trPr>
        <w:tc>
          <w:tcPr>
            <w:tcW w:w="356"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b/>
                <w:color w:val="000000"/>
                <w:sz w:val="21"/>
                <w:szCs w:val="21"/>
                <w:lang w:eastAsia="zh-CN"/>
              </w:rPr>
            </w:pPr>
            <w:r>
              <w:rPr>
                <w:rFonts w:ascii="Times New Roman" w:hAnsi="Times New Roman" w:eastAsia="宋体" w:cs="Times New Roman"/>
                <w:b/>
                <w:color w:val="000000"/>
                <w:sz w:val="21"/>
                <w:szCs w:val="21"/>
                <w:lang w:eastAsia="zh-CN"/>
              </w:rPr>
              <w:t>Week 6</w:t>
            </w:r>
          </w:p>
        </w:tc>
        <w:tc>
          <w:tcPr>
            <w:tcW w:w="557"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225.04 ± 11.78</w:t>
            </w:r>
          </w:p>
        </w:tc>
        <w:tc>
          <w:tcPr>
            <w:tcW w:w="574"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243.27 ± 43.72</w:t>
            </w:r>
          </w:p>
        </w:tc>
        <w:tc>
          <w:tcPr>
            <w:tcW w:w="519"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222.06 ± 4.93</w:t>
            </w:r>
          </w:p>
        </w:tc>
        <w:tc>
          <w:tcPr>
            <w:tcW w:w="569"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215.06 ± 11.98</w:t>
            </w:r>
          </w:p>
        </w:tc>
        <w:tc>
          <w:tcPr>
            <w:tcW w:w="580"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356.75 ± 16.34</w:t>
            </w:r>
          </w:p>
        </w:tc>
        <w:tc>
          <w:tcPr>
            <w:tcW w:w="600"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323.41 ± 54.21</w:t>
            </w:r>
          </w:p>
        </w:tc>
        <w:tc>
          <w:tcPr>
            <w:tcW w:w="578"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343.75 ± 17.86</w:t>
            </w:r>
          </w:p>
        </w:tc>
        <w:tc>
          <w:tcPr>
            <w:tcW w:w="662"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316.40 ± 10.62**</w:t>
            </w:r>
          </w:p>
        </w:tc>
      </w:tr>
      <w:tr>
        <w:trPr>
          <w:trHeight w:val="387" w:hRule="atLeast"/>
        </w:trPr>
        <w:tc>
          <w:tcPr>
            <w:tcW w:w="356"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b/>
                <w:color w:val="000000"/>
                <w:sz w:val="21"/>
                <w:szCs w:val="21"/>
                <w:lang w:eastAsia="zh-CN"/>
              </w:rPr>
            </w:pPr>
            <w:r>
              <w:rPr>
                <w:rFonts w:ascii="Times New Roman" w:hAnsi="Times New Roman" w:eastAsia="宋体" w:cs="Times New Roman"/>
                <w:b/>
                <w:color w:val="000000"/>
                <w:sz w:val="21"/>
                <w:szCs w:val="21"/>
                <w:lang w:eastAsia="zh-CN"/>
              </w:rPr>
              <w:t>Week 7</w:t>
            </w:r>
          </w:p>
        </w:tc>
        <w:tc>
          <w:tcPr>
            <w:tcW w:w="557"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238.76 ± 10.48</w:t>
            </w:r>
          </w:p>
        </w:tc>
        <w:tc>
          <w:tcPr>
            <w:tcW w:w="574"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259.51 ± 54.01</w:t>
            </w:r>
          </w:p>
        </w:tc>
        <w:tc>
          <w:tcPr>
            <w:tcW w:w="519"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233.08 ± 9.33</w:t>
            </w:r>
          </w:p>
        </w:tc>
        <w:tc>
          <w:tcPr>
            <w:tcW w:w="569"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226.86 ± 12.78</w:t>
            </w:r>
          </w:p>
        </w:tc>
        <w:tc>
          <w:tcPr>
            <w:tcW w:w="580"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387.20 ± 18.10</w:t>
            </w:r>
          </w:p>
        </w:tc>
        <w:tc>
          <w:tcPr>
            <w:tcW w:w="600"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353.05 ± 64.21</w:t>
            </w:r>
          </w:p>
        </w:tc>
        <w:tc>
          <w:tcPr>
            <w:tcW w:w="578"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372.41 ± 21.69</w:t>
            </w:r>
          </w:p>
        </w:tc>
        <w:tc>
          <w:tcPr>
            <w:tcW w:w="662"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352.75 ± 14.41**</w:t>
            </w:r>
          </w:p>
        </w:tc>
      </w:tr>
      <w:tr>
        <w:trPr>
          <w:trHeight w:val="387" w:hRule="atLeast"/>
        </w:trPr>
        <w:tc>
          <w:tcPr>
            <w:tcW w:w="356"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b/>
                <w:color w:val="000000"/>
                <w:sz w:val="21"/>
                <w:szCs w:val="21"/>
                <w:lang w:eastAsia="zh-CN"/>
              </w:rPr>
            </w:pPr>
            <w:r>
              <w:rPr>
                <w:rFonts w:ascii="Times New Roman" w:hAnsi="Times New Roman" w:eastAsia="宋体" w:cs="Times New Roman"/>
                <w:b/>
                <w:color w:val="000000"/>
                <w:sz w:val="21"/>
                <w:szCs w:val="21"/>
                <w:lang w:eastAsia="zh-CN"/>
              </w:rPr>
              <w:t>Week 8</w:t>
            </w:r>
          </w:p>
        </w:tc>
        <w:tc>
          <w:tcPr>
            <w:tcW w:w="557"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251.65 ± 11.02</w:t>
            </w:r>
          </w:p>
        </w:tc>
        <w:tc>
          <w:tcPr>
            <w:tcW w:w="574"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275.16 ± 60.10</w:t>
            </w:r>
          </w:p>
        </w:tc>
        <w:tc>
          <w:tcPr>
            <w:tcW w:w="519"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246.84 ± 6.07</w:t>
            </w:r>
          </w:p>
        </w:tc>
        <w:tc>
          <w:tcPr>
            <w:tcW w:w="569"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238.96 ± 13.59</w:t>
            </w:r>
          </w:p>
        </w:tc>
        <w:tc>
          <w:tcPr>
            <w:tcW w:w="580"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416.19 ± 20.83</w:t>
            </w:r>
          </w:p>
        </w:tc>
        <w:tc>
          <w:tcPr>
            <w:tcW w:w="600"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378.26 ± 71.40</w:t>
            </w:r>
          </w:p>
        </w:tc>
        <w:tc>
          <w:tcPr>
            <w:tcW w:w="578"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402.62 ± 23.76</w:t>
            </w:r>
          </w:p>
        </w:tc>
        <w:tc>
          <w:tcPr>
            <w:tcW w:w="662"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376.38 ± 26.15**</w:t>
            </w:r>
          </w:p>
        </w:tc>
      </w:tr>
      <w:tr>
        <w:trPr>
          <w:trHeight w:val="387" w:hRule="atLeast"/>
        </w:trPr>
        <w:tc>
          <w:tcPr>
            <w:tcW w:w="356"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b/>
                <w:color w:val="000000"/>
                <w:sz w:val="21"/>
                <w:szCs w:val="21"/>
                <w:lang w:eastAsia="zh-CN"/>
              </w:rPr>
            </w:pPr>
            <w:r>
              <w:rPr>
                <w:rFonts w:ascii="Times New Roman" w:hAnsi="Times New Roman" w:eastAsia="宋体" w:cs="Times New Roman"/>
                <w:b/>
                <w:color w:val="000000"/>
                <w:sz w:val="21"/>
                <w:szCs w:val="21"/>
                <w:lang w:eastAsia="zh-CN"/>
              </w:rPr>
              <w:t>Week 9</w:t>
            </w:r>
          </w:p>
        </w:tc>
        <w:tc>
          <w:tcPr>
            <w:tcW w:w="557"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261.06 ± 12.52</w:t>
            </w:r>
          </w:p>
        </w:tc>
        <w:tc>
          <w:tcPr>
            <w:tcW w:w="574"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286.22 ± 64.92</w:t>
            </w:r>
          </w:p>
        </w:tc>
        <w:tc>
          <w:tcPr>
            <w:tcW w:w="519"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259.75 ± 5.46</w:t>
            </w:r>
          </w:p>
        </w:tc>
        <w:tc>
          <w:tcPr>
            <w:tcW w:w="569"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250.22 ± 15.26</w:t>
            </w:r>
          </w:p>
        </w:tc>
        <w:tc>
          <w:tcPr>
            <w:tcW w:w="580"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443.03 ± 24.21</w:t>
            </w:r>
          </w:p>
        </w:tc>
        <w:tc>
          <w:tcPr>
            <w:tcW w:w="600"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399.02 ± 76.58</w:t>
            </w:r>
          </w:p>
        </w:tc>
        <w:tc>
          <w:tcPr>
            <w:tcW w:w="578"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423.67 ± 26.42</w:t>
            </w:r>
          </w:p>
        </w:tc>
        <w:tc>
          <w:tcPr>
            <w:tcW w:w="662"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404.44 ± 31.09**</w:t>
            </w:r>
          </w:p>
        </w:tc>
      </w:tr>
      <w:tr>
        <w:trPr>
          <w:trHeight w:val="387" w:hRule="atLeast"/>
        </w:trPr>
        <w:tc>
          <w:tcPr>
            <w:tcW w:w="356"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b/>
                <w:color w:val="000000"/>
                <w:sz w:val="21"/>
                <w:szCs w:val="21"/>
                <w:lang w:eastAsia="zh-CN"/>
              </w:rPr>
            </w:pPr>
            <w:r>
              <w:rPr>
                <w:rFonts w:ascii="Times New Roman" w:hAnsi="Times New Roman" w:eastAsia="宋体" w:cs="Times New Roman"/>
                <w:b/>
                <w:color w:val="000000"/>
                <w:sz w:val="21"/>
                <w:szCs w:val="21"/>
                <w:lang w:eastAsia="zh-CN"/>
              </w:rPr>
              <w:t>Week 10</w:t>
            </w:r>
          </w:p>
        </w:tc>
        <w:tc>
          <w:tcPr>
            <w:tcW w:w="557"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271.42 ± 13.46</w:t>
            </w:r>
          </w:p>
        </w:tc>
        <w:tc>
          <w:tcPr>
            <w:tcW w:w="574"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299.81 ± 69.79</w:t>
            </w:r>
          </w:p>
        </w:tc>
        <w:tc>
          <w:tcPr>
            <w:tcW w:w="519"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268.62 ± 6.27</w:t>
            </w:r>
          </w:p>
        </w:tc>
        <w:tc>
          <w:tcPr>
            <w:tcW w:w="569"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261.57 ± 14.56</w:t>
            </w:r>
          </w:p>
        </w:tc>
        <w:tc>
          <w:tcPr>
            <w:tcW w:w="580"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468.75 ± 25.02</w:t>
            </w:r>
          </w:p>
        </w:tc>
        <w:tc>
          <w:tcPr>
            <w:tcW w:w="600"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420.46 ± 82.61</w:t>
            </w:r>
          </w:p>
        </w:tc>
        <w:tc>
          <w:tcPr>
            <w:tcW w:w="578"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448.35 ± 29.27</w:t>
            </w:r>
          </w:p>
        </w:tc>
        <w:tc>
          <w:tcPr>
            <w:tcW w:w="662"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426.83 ± 26.33**</w:t>
            </w:r>
          </w:p>
        </w:tc>
      </w:tr>
      <w:tr>
        <w:trPr>
          <w:trHeight w:val="387" w:hRule="atLeast"/>
        </w:trPr>
        <w:tc>
          <w:tcPr>
            <w:tcW w:w="356"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b/>
                <w:color w:val="000000"/>
                <w:sz w:val="21"/>
                <w:szCs w:val="21"/>
                <w:lang w:eastAsia="zh-CN"/>
              </w:rPr>
            </w:pPr>
            <w:r>
              <w:rPr>
                <w:rFonts w:ascii="Times New Roman" w:hAnsi="Times New Roman" w:eastAsia="宋体" w:cs="Times New Roman"/>
                <w:b/>
                <w:color w:val="000000"/>
                <w:sz w:val="21"/>
                <w:szCs w:val="21"/>
                <w:lang w:eastAsia="zh-CN"/>
              </w:rPr>
              <w:t>Week 11</w:t>
            </w:r>
          </w:p>
        </w:tc>
        <w:tc>
          <w:tcPr>
            <w:tcW w:w="557"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277.45 ± 13.22</w:t>
            </w:r>
          </w:p>
        </w:tc>
        <w:tc>
          <w:tcPr>
            <w:tcW w:w="574"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310.23 ± 73.24</w:t>
            </w:r>
          </w:p>
        </w:tc>
        <w:tc>
          <w:tcPr>
            <w:tcW w:w="519"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272.18 ± 7.36</w:t>
            </w:r>
          </w:p>
        </w:tc>
        <w:tc>
          <w:tcPr>
            <w:tcW w:w="569"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267.59 ± 14.50</w:t>
            </w:r>
          </w:p>
        </w:tc>
        <w:tc>
          <w:tcPr>
            <w:tcW w:w="580"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492.31 ± 27.31</w:t>
            </w:r>
          </w:p>
        </w:tc>
        <w:tc>
          <w:tcPr>
            <w:tcW w:w="600"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436.73 ± 88.60</w:t>
            </w:r>
          </w:p>
        </w:tc>
        <w:tc>
          <w:tcPr>
            <w:tcW w:w="578"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471.00 ± 29.85</w:t>
            </w:r>
          </w:p>
        </w:tc>
        <w:tc>
          <w:tcPr>
            <w:tcW w:w="662"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448.11 ± 25.99**</w:t>
            </w:r>
          </w:p>
        </w:tc>
      </w:tr>
      <w:tr>
        <w:trPr>
          <w:trHeight w:val="401" w:hRule="atLeast"/>
        </w:trPr>
        <w:tc>
          <w:tcPr>
            <w:tcW w:w="356"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b/>
                <w:color w:val="000000"/>
                <w:sz w:val="21"/>
                <w:szCs w:val="21"/>
                <w:lang w:eastAsia="zh-CN"/>
              </w:rPr>
            </w:pPr>
            <w:r>
              <w:rPr>
                <w:rFonts w:ascii="Times New Roman" w:hAnsi="Times New Roman" w:eastAsia="宋体" w:cs="Times New Roman"/>
                <w:b/>
                <w:color w:val="000000"/>
                <w:sz w:val="21"/>
                <w:szCs w:val="21"/>
                <w:lang w:eastAsia="zh-CN"/>
              </w:rPr>
              <w:t>Week 12</w:t>
            </w:r>
          </w:p>
        </w:tc>
        <w:tc>
          <w:tcPr>
            <w:tcW w:w="557"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283.94 ± 14.17</w:t>
            </w:r>
          </w:p>
        </w:tc>
        <w:tc>
          <w:tcPr>
            <w:tcW w:w="574"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317.43 ± 76.35</w:t>
            </w:r>
          </w:p>
        </w:tc>
        <w:tc>
          <w:tcPr>
            <w:tcW w:w="519"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279.66 ± 8.42</w:t>
            </w:r>
          </w:p>
        </w:tc>
        <w:tc>
          <w:tcPr>
            <w:tcW w:w="569"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272.68 ± 15.30</w:t>
            </w:r>
          </w:p>
        </w:tc>
        <w:tc>
          <w:tcPr>
            <w:tcW w:w="580"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505.12 ± 30.76</w:t>
            </w:r>
          </w:p>
        </w:tc>
        <w:tc>
          <w:tcPr>
            <w:tcW w:w="600"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451.96 ± 92.95</w:t>
            </w:r>
          </w:p>
        </w:tc>
        <w:tc>
          <w:tcPr>
            <w:tcW w:w="578"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486.58 ± 33.42</w:t>
            </w:r>
          </w:p>
        </w:tc>
        <w:tc>
          <w:tcPr>
            <w:tcW w:w="662" w:type="pct"/>
            <w:tcBorders>
              <w:top w:val="nil"/>
              <w:left w:val="nil"/>
              <w:bottom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461.33 ± 23.49**</w:t>
            </w:r>
          </w:p>
        </w:tc>
      </w:tr>
      <w:tr>
        <w:trPr>
          <w:trHeight w:val="387" w:hRule="atLeast"/>
        </w:trPr>
        <w:tc>
          <w:tcPr>
            <w:tcW w:w="356" w:type="pct"/>
            <w:tcBorders>
              <w:top w:val="nil"/>
              <w:left w:val="nil"/>
              <w:right w:val="nil"/>
            </w:tcBorders>
            <w:shd w:val="clear" w:color="auto" w:fill="auto"/>
            <w:noWrap/>
            <w:vAlign w:val="center"/>
          </w:tcPr>
          <w:p>
            <w:pPr>
              <w:spacing w:line="240" w:lineRule="auto"/>
              <w:jc w:val="center"/>
              <w:rPr>
                <w:rFonts w:ascii="Times New Roman" w:hAnsi="Times New Roman" w:eastAsia="宋体" w:cs="Times New Roman"/>
                <w:b/>
                <w:color w:val="000000"/>
                <w:sz w:val="21"/>
                <w:szCs w:val="21"/>
                <w:lang w:eastAsia="zh-CN"/>
              </w:rPr>
            </w:pPr>
            <w:r>
              <w:rPr>
                <w:rFonts w:ascii="Times New Roman" w:hAnsi="Times New Roman" w:eastAsia="宋体" w:cs="Times New Roman"/>
                <w:b/>
                <w:color w:val="000000"/>
                <w:sz w:val="21"/>
                <w:szCs w:val="21"/>
                <w:lang w:eastAsia="zh-CN"/>
              </w:rPr>
              <w:t>Week 13</w:t>
            </w:r>
          </w:p>
        </w:tc>
        <w:tc>
          <w:tcPr>
            <w:tcW w:w="557" w:type="pct"/>
            <w:tcBorders>
              <w:top w:val="nil"/>
              <w:left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289.95 ± 15.50</w:t>
            </w:r>
          </w:p>
        </w:tc>
        <w:tc>
          <w:tcPr>
            <w:tcW w:w="574" w:type="pct"/>
            <w:tcBorders>
              <w:top w:val="nil"/>
              <w:left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325.66 ± 79.99</w:t>
            </w:r>
          </w:p>
        </w:tc>
        <w:tc>
          <w:tcPr>
            <w:tcW w:w="519" w:type="pct"/>
            <w:tcBorders>
              <w:top w:val="nil"/>
              <w:left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288.60 ± 8.04</w:t>
            </w:r>
          </w:p>
        </w:tc>
        <w:tc>
          <w:tcPr>
            <w:tcW w:w="569" w:type="pct"/>
            <w:tcBorders>
              <w:top w:val="nil"/>
              <w:left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281.13 ± 16.25</w:t>
            </w:r>
          </w:p>
        </w:tc>
        <w:tc>
          <w:tcPr>
            <w:tcW w:w="580" w:type="pct"/>
            <w:tcBorders>
              <w:top w:val="nil"/>
              <w:left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519.46 ± 31.48</w:t>
            </w:r>
          </w:p>
        </w:tc>
        <w:tc>
          <w:tcPr>
            <w:tcW w:w="600" w:type="pct"/>
            <w:tcBorders>
              <w:top w:val="nil"/>
              <w:left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469.72 ± 96.59</w:t>
            </w:r>
          </w:p>
        </w:tc>
        <w:tc>
          <w:tcPr>
            <w:tcW w:w="578" w:type="pct"/>
            <w:tcBorders>
              <w:top w:val="nil"/>
              <w:left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506.72 ± 34.75</w:t>
            </w:r>
          </w:p>
        </w:tc>
        <w:tc>
          <w:tcPr>
            <w:tcW w:w="662" w:type="pct"/>
            <w:tcBorders>
              <w:top w:val="nil"/>
              <w:left w:val="nil"/>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479.19 ± 23.08**</w:t>
            </w:r>
          </w:p>
        </w:tc>
      </w:tr>
      <w:tr>
        <w:trPr>
          <w:trHeight w:val="397" w:hRule="atLeast"/>
        </w:trPr>
        <w:tc>
          <w:tcPr>
            <w:tcW w:w="356" w:type="pct"/>
            <w:tcBorders>
              <w:top w:val="nil"/>
              <w:left w:val="nil"/>
              <w:bottom w:val="single" w:color="auto" w:sz="4" w:space="0"/>
              <w:right w:val="nil"/>
            </w:tcBorders>
            <w:shd w:val="clear" w:color="auto" w:fill="auto"/>
            <w:noWrap/>
            <w:vAlign w:val="center"/>
          </w:tcPr>
          <w:p>
            <w:pPr>
              <w:spacing w:line="240" w:lineRule="auto"/>
              <w:jc w:val="center"/>
              <w:rPr>
                <w:rFonts w:ascii="Times New Roman" w:hAnsi="Times New Roman" w:eastAsia="宋体" w:cs="Times New Roman"/>
                <w:b/>
                <w:color w:val="000000"/>
                <w:sz w:val="21"/>
                <w:szCs w:val="21"/>
                <w:lang w:eastAsia="zh-CN"/>
              </w:rPr>
            </w:pPr>
            <w:r>
              <w:rPr>
                <w:rFonts w:ascii="Times New Roman" w:hAnsi="Times New Roman" w:eastAsia="宋体" w:cs="Times New Roman"/>
                <w:b/>
                <w:color w:val="000000"/>
                <w:sz w:val="21"/>
                <w:szCs w:val="21"/>
                <w:lang w:eastAsia="zh-CN"/>
              </w:rPr>
              <w:t>Week 14</w:t>
            </w:r>
          </w:p>
        </w:tc>
        <w:tc>
          <w:tcPr>
            <w:tcW w:w="557" w:type="pct"/>
            <w:tcBorders>
              <w:top w:val="nil"/>
              <w:left w:val="nil"/>
              <w:bottom w:val="single" w:color="auto" w:sz="4" w:space="0"/>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291.11 ± 15.73</w:t>
            </w:r>
          </w:p>
        </w:tc>
        <w:tc>
          <w:tcPr>
            <w:tcW w:w="574" w:type="pct"/>
            <w:tcBorders>
              <w:top w:val="nil"/>
              <w:left w:val="nil"/>
              <w:bottom w:val="single" w:color="auto" w:sz="4" w:space="0"/>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329.32 ± 83.43</w:t>
            </w:r>
          </w:p>
        </w:tc>
        <w:tc>
          <w:tcPr>
            <w:tcW w:w="519" w:type="pct"/>
            <w:tcBorders>
              <w:top w:val="nil"/>
              <w:left w:val="nil"/>
              <w:bottom w:val="single" w:color="auto" w:sz="4" w:space="0"/>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289.14 ± 9.61</w:t>
            </w:r>
          </w:p>
        </w:tc>
        <w:tc>
          <w:tcPr>
            <w:tcW w:w="569" w:type="pct"/>
            <w:tcBorders>
              <w:top w:val="nil"/>
              <w:left w:val="nil"/>
              <w:bottom w:val="single" w:color="auto" w:sz="4" w:space="0"/>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283.91 ± 17.92</w:t>
            </w:r>
          </w:p>
        </w:tc>
        <w:tc>
          <w:tcPr>
            <w:tcW w:w="580" w:type="pct"/>
            <w:tcBorders>
              <w:top w:val="nil"/>
              <w:left w:val="nil"/>
              <w:bottom w:val="single" w:color="auto" w:sz="4" w:space="0"/>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530.41 ± 29.97</w:t>
            </w:r>
          </w:p>
        </w:tc>
        <w:tc>
          <w:tcPr>
            <w:tcW w:w="600" w:type="pct"/>
            <w:tcBorders>
              <w:top w:val="nil"/>
              <w:left w:val="nil"/>
              <w:bottom w:val="single" w:color="auto" w:sz="4" w:space="0"/>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478.43 ± 100.29</w:t>
            </w:r>
          </w:p>
        </w:tc>
        <w:tc>
          <w:tcPr>
            <w:tcW w:w="578" w:type="pct"/>
            <w:tcBorders>
              <w:top w:val="nil"/>
              <w:left w:val="nil"/>
              <w:bottom w:val="single" w:color="auto" w:sz="4" w:space="0"/>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509.66 ± 35.90</w:t>
            </w:r>
          </w:p>
        </w:tc>
        <w:tc>
          <w:tcPr>
            <w:tcW w:w="662" w:type="pct"/>
            <w:tcBorders>
              <w:top w:val="nil"/>
              <w:left w:val="nil"/>
              <w:bottom w:val="single" w:color="auto" w:sz="4" w:space="0"/>
              <w:right w:val="nil"/>
            </w:tcBorders>
            <w:shd w:val="clear" w:color="auto" w:fill="auto"/>
            <w:noWrap/>
            <w:vAlign w:val="center"/>
          </w:tcPr>
          <w:p>
            <w:pPr>
              <w:spacing w:line="240" w:lineRule="auto"/>
              <w:jc w:val="center"/>
              <w:rPr>
                <w:rFonts w:ascii="Times New Roman" w:hAnsi="Times New Roman" w:eastAsia="宋体" w:cs="Times New Roman"/>
                <w:color w:val="000000"/>
                <w:sz w:val="21"/>
                <w:szCs w:val="21"/>
                <w:lang w:eastAsia="zh-CN"/>
              </w:rPr>
            </w:pPr>
            <w:r>
              <w:rPr>
                <w:rFonts w:ascii="Times New Roman" w:hAnsi="Times New Roman" w:eastAsia="宋体" w:cs="Times New Roman"/>
                <w:color w:val="000000"/>
                <w:sz w:val="21"/>
                <w:szCs w:val="21"/>
                <w:lang w:eastAsia="zh-CN"/>
              </w:rPr>
              <w:t>486.24 ± 23.32**</w:t>
            </w:r>
          </w:p>
        </w:tc>
      </w:tr>
    </w:tbl>
    <w:p>
      <w:pPr>
        <w:pStyle w:val="3"/>
        <w:spacing w:before="0" w:after="0" w:line="360" w:lineRule="auto"/>
        <w:jc w:val="both"/>
        <w:rPr>
          <w:rFonts w:cs="Times New Roman"/>
          <w:b w:val="0"/>
        </w:rPr>
      </w:pPr>
      <w:bookmarkStart w:id="22" w:name="_Toc1632934925"/>
      <w:r>
        <w:rPr>
          <w:rStyle w:val="39"/>
          <w:rFonts w:cs="Times New Roman" w:eastAsiaTheme="minorEastAsia"/>
          <w:b/>
          <w:bCs w:val="0"/>
          <w:i/>
          <w:iCs/>
          <w:szCs w:val="24"/>
        </w:rPr>
        <w:t>Table S3.</w:t>
      </w:r>
      <w:r>
        <w:rPr>
          <w:rFonts w:cs="Times New Roman"/>
          <w:bCs w:val="0"/>
          <w:i/>
          <w:iCs/>
        </w:rPr>
        <w:t xml:space="preserve"> </w:t>
      </w:r>
      <w:r>
        <w:rPr>
          <w:rFonts w:cs="Times New Roman"/>
          <w:bCs w:val="0"/>
          <w:i/>
          <w:iCs/>
          <w:lang w:eastAsia="zh-CN"/>
        </w:rPr>
        <w:t>Biochemical changes in the blood of rats exposed to different doses of maleic acid polymer scale inhibitor for 90 days</w:t>
      </w:r>
      <w:bookmarkEnd w:id="22"/>
    </w:p>
    <w:p>
      <w:pPr>
        <w:pStyle w:val="3"/>
        <w:spacing w:before="0" w:after="0" w:line="240" w:lineRule="auto"/>
        <w:jc w:val="both"/>
        <w:rPr>
          <w:rStyle w:val="39"/>
          <w:rFonts w:eastAsia="MS Mincho" w:cs="Times New Roman"/>
          <w:b/>
          <w:bCs w:val="0"/>
          <w:szCs w:val="24"/>
        </w:rPr>
      </w:pPr>
      <w:bookmarkStart w:id="23" w:name="_Toc2043759462"/>
      <w:r>
        <w:rPr>
          <w:rFonts w:cs="Times New Roman"/>
          <w:b w:val="0"/>
          <w:lang w:eastAsia="zh-CN"/>
        </w:rPr>
        <w:t xml:space="preserve">All values are expressed as the mean ± SD per group (n = 20, 10 male and 10 female). The Shapiro–Wilk test was used to assess normality, and Bartlett’s test was used to assess homogeneity of variance. Dunnett’s test was used in the case of homoscedasticity and a normal distribution, and the Wilcoxon rank–sum test was used in the case of heteroscedasticity or a skewed distribution for statistical analysis comparing with the control group; * </w:t>
      </w:r>
      <w:r>
        <w:rPr>
          <w:rFonts w:cs="Times New Roman"/>
          <w:b w:val="0"/>
          <w:i/>
          <w:iCs/>
          <w:lang w:eastAsia="zh-CN"/>
        </w:rPr>
        <w:t>p</w:t>
      </w:r>
      <w:r>
        <w:rPr>
          <w:rFonts w:cs="Times New Roman"/>
          <w:b w:val="0"/>
          <w:lang w:eastAsia="zh-CN"/>
        </w:rPr>
        <w:t xml:space="preserve"> &lt; 0.05, ** </w:t>
      </w:r>
      <w:r>
        <w:rPr>
          <w:rFonts w:cs="Times New Roman"/>
          <w:b w:val="0"/>
          <w:i/>
          <w:iCs/>
          <w:lang w:eastAsia="zh-CN"/>
        </w:rPr>
        <w:t>p</w:t>
      </w:r>
      <w:r>
        <w:rPr>
          <w:rFonts w:cs="Times New Roman"/>
          <w:b w:val="0"/>
          <w:lang w:eastAsia="zh-CN"/>
        </w:rPr>
        <w:t xml:space="preserve"> &lt; 0.01, *** </w:t>
      </w:r>
      <w:r>
        <w:rPr>
          <w:rFonts w:cs="Times New Roman"/>
          <w:b w:val="0"/>
          <w:i/>
          <w:iCs/>
          <w:lang w:eastAsia="zh-CN"/>
        </w:rPr>
        <w:t>p</w:t>
      </w:r>
      <w:r>
        <w:rPr>
          <w:rFonts w:cs="Times New Roman"/>
          <w:b w:val="0"/>
          <w:lang w:eastAsia="zh-CN"/>
        </w:rPr>
        <w:t xml:space="preserve"> &lt; 0.001.</w:t>
      </w:r>
      <w:bookmarkEnd w:id="23"/>
    </w:p>
    <w:tbl>
      <w:tblPr>
        <w:tblStyle w:val="12"/>
        <w:tblW w:w="14242" w:type="dxa"/>
        <w:tblInd w:w="0" w:type="dxa"/>
        <w:tblLayout w:type="fixed"/>
        <w:tblCellMar>
          <w:top w:w="0" w:type="dxa"/>
          <w:left w:w="108" w:type="dxa"/>
          <w:bottom w:w="0" w:type="dxa"/>
          <w:right w:w="108" w:type="dxa"/>
        </w:tblCellMar>
      </w:tblPr>
      <w:tblGrid>
        <w:gridCol w:w="1807"/>
        <w:gridCol w:w="1554"/>
        <w:gridCol w:w="1554"/>
        <w:gridCol w:w="1554"/>
        <w:gridCol w:w="1554"/>
        <w:gridCol w:w="1"/>
        <w:gridCol w:w="1553"/>
        <w:gridCol w:w="1554"/>
        <w:gridCol w:w="1554"/>
        <w:gridCol w:w="1557"/>
      </w:tblGrid>
      <w:tr>
        <w:trPr>
          <w:trHeight w:val="20" w:hRule="atLeast"/>
        </w:trPr>
        <w:tc>
          <w:tcPr>
            <w:tcW w:w="1807" w:type="dxa"/>
            <w:vMerge w:val="restart"/>
            <w:tcBorders>
              <w:top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b/>
                <w:bCs/>
                <w:sz w:val="21"/>
                <w:lang w:eastAsia="zh-CN"/>
              </w:rPr>
            </w:pPr>
            <w:r>
              <w:rPr>
                <w:rFonts w:ascii="Times New Roman" w:hAnsi="Times New Roman" w:cs="Times New Roman"/>
                <w:b/>
                <w:bCs/>
                <w:sz w:val="21"/>
                <w:lang w:eastAsia="zh-CN"/>
              </w:rPr>
              <w:t>Indicator</w:t>
            </w:r>
          </w:p>
        </w:tc>
        <w:tc>
          <w:tcPr>
            <w:tcW w:w="6217" w:type="dxa"/>
            <w:gridSpan w:val="5"/>
            <w:tcBorders>
              <w:top w:val="single" w:color="auto" w:sz="4" w:space="0"/>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ascii="Times New Roman" w:hAnsi="Times New Roman" w:cs="Times New Roman"/>
                <w:sz w:val="21"/>
                <w:lang w:eastAsia="zh-CN"/>
              </w:rPr>
            </w:pPr>
            <w:r>
              <w:rPr>
                <w:rFonts w:ascii="Times New Roman" w:hAnsi="Times New Roman" w:cs="Times New Roman"/>
                <w:sz w:val="21"/>
                <w:lang w:eastAsia="zh-CN"/>
              </w:rPr>
              <w:t>Female</w:t>
            </w:r>
          </w:p>
        </w:tc>
        <w:tc>
          <w:tcPr>
            <w:tcW w:w="6218" w:type="dxa"/>
            <w:gridSpan w:val="4"/>
            <w:tcBorders>
              <w:top w:val="single" w:color="auto" w:sz="4" w:space="0"/>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ascii="Times New Roman" w:hAnsi="Times New Roman" w:cs="Times New Roman"/>
                <w:sz w:val="21"/>
                <w:lang w:eastAsia="zh-CN"/>
              </w:rPr>
            </w:pPr>
            <w:r>
              <w:rPr>
                <w:rFonts w:ascii="Times New Roman" w:hAnsi="Times New Roman" w:cs="Times New Roman"/>
                <w:sz w:val="21"/>
                <w:lang w:eastAsia="zh-CN"/>
              </w:rPr>
              <w:t>Male</w:t>
            </w:r>
          </w:p>
        </w:tc>
      </w:tr>
      <w:tr>
        <w:trPr>
          <w:trHeight w:val="20" w:hRule="atLeast"/>
        </w:trPr>
        <w:tc>
          <w:tcPr>
            <w:tcW w:w="1807" w:type="dxa"/>
            <w:vMerge w:val="continue"/>
            <w:tcBorders>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szCs w:val="20"/>
                <w:lang w:eastAsia="zh-CN"/>
              </w:rPr>
            </w:pPr>
          </w:p>
        </w:tc>
        <w:tc>
          <w:tcPr>
            <w:tcW w:w="1554" w:type="dxa"/>
            <w:tcBorders>
              <w:left w:val="nil"/>
              <w:bottom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ascii="Times New Roman" w:hAnsi="Times New Roman" w:cs="Times New Roman"/>
                <w:sz w:val="21"/>
                <w:lang w:eastAsia="zh-CN"/>
              </w:rPr>
            </w:pPr>
            <w:r>
              <w:rPr>
                <w:rFonts w:ascii="Times New Roman" w:hAnsi="Times New Roman" w:cs="Times New Roman"/>
                <w:sz w:val="21"/>
                <w:lang w:eastAsia="zh-CN"/>
              </w:rPr>
              <w:t>Control</w:t>
            </w:r>
          </w:p>
        </w:tc>
        <w:tc>
          <w:tcPr>
            <w:tcW w:w="1554" w:type="dxa"/>
            <w:tcBorders>
              <w:bottom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ascii="Times New Roman" w:hAnsi="Times New Roman" w:cs="Times New Roman"/>
                <w:sz w:val="21"/>
                <w:lang w:eastAsia="zh-CN"/>
              </w:rPr>
            </w:pPr>
            <w:r>
              <w:rPr>
                <w:rFonts w:ascii="Times New Roman" w:hAnsi="Times New Roman" w:cs="Times New Roman"/>
                <w:sz w:val="21"/>
                <w:lang w:eastAsia="zh-CN"/>
              </w:rPr>
              <w:t>1/20 LD</w:t>
            </w:r>
            <w:r>
              <w:rPr>
                <w:rFonts w:ascii="Times New Roman" w:hAnsi="Times New Roman" w:cs="Times New Roman"/>
                <w:sz w:val="21"/>
                <w:vertAlign w:val="subscript"/>
                <w:lang w:eastAsia="zh-CN"/>
              </w:rPr>
              <w:t>50</w:t>
            </w:r>
          </w:p>
        </w:tc>
        <w:tc>
          <w:tcPr>
            <w:tcW w:w="1554" w:type="dxa"/>
            <w:tcBorders>
              <w:bottom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ascii="Times New Roman" w:hAnsi="Times New Roman" w:cs="Times New Roman"/>
                <w:sz w:val="21"/>
                <w:lang w:eastAsia="zh-CN"/>
              </w:rPr>
            </w:pPr>
            <w:r>
              <w:rPr>
                <w:rFonts w:ascii="Times New Roman" w:hAnsi="Times New Roman" w:cs="Times New Roman"/>
                <w:sz w:val="21"/>
                <w:lang w:eastAsia="zh-CN"/>
              </w:rPr>
              <w:t>1/10 LD</w:t>
            </w:r>
            <w:r>
              <w:rPr>
                <w:rFonts w:ascii="Times New Roman" w:hAnsi="Times New Roman" w:cs="Times New Roman"/>
                <w:sz w:val="21"/>
                <w:vertAlign w:val="subscript"/>
                <w:lang w:eastAsia="zh-CN"/>
              </w:rPr>
              <w:t>50</w:t>
            </w:r>
          </w:p>
        </w:tc>
        <w:tc>
          <w:tcPr>
            <w:tcW w:w="1554" w:type="dxa"/>
            <w:tcBorders>
              <w:bottom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ascii="Times New Roman" w:hAnsi="Times New Roman" w:cs="Times New Roman"/>
                <w:sz w:val="21"/>
                <w:lang w:eastAsia="zh-CN"/>
              </w:rPr>
            </w:pPr>
            <w:r>
              <w:rPr>
                <w:rFonts w:ascii="Times New Roman" w:hAnsi="Times New Roman" w:cs="Times New Roman"/>
                <w:sz w:val="21"/>
                <w:lang w:eastAsia="zh-CN"/>
              </w:rPr>
              <w:t>1/5 LD</w:t>
            </w:r>
            <w:r>
              <w:rPr>
                <w:rFonts w:ascii="Times New Roman" w:hAnsi="Times New Roman" w:cs="Times New Roman"/>
                <w:sz w:val="21"/>
                <w:vertAlign w:val="subscript"/>
                <w:lang w:eastAsia="zh-CN"/>
              </w:rPr>
              <w:t>50</w:t>
            </w:r>
          </w:p>
        </w:tc>
        <w:tc>
          <w:tcPr>
            <w:tcW w:w="1554" w:type="dxa"/>
            <w:gridSpan w:val="2"/>
            <w:tcBorders>
              <w:left w:val="nil"/>
              <w:bottom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ascii="Times New Roman" w:hAnsi="Times New Roman" w:cs="Times New Roman"/>
                <w:sz w:val="21"/>
                <w:lang w:eastAsia="zh-CN"/>
              </w:rPr>
            </w:pPr>
            <w:r>
              <w:rPr>
                <w:rFonts w:ascii="Times New Roman" w:hAnsi="Times New Roman" w:cs="Times New Roman"/>
                <w:sz w:val="21"/>
                <w:lang w:eastAsia="zh-CN"/>
              </w:rPr>
              <w:t>Control</w:t>
            </w:r>
          </w:p>
        </w:tc>
        <w:tc>
          <w:tcPr>
            <w:tcW w:w="1554" w:type="dxa"/>
            <w:tcBorders>
              <w:bottom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ascii="Times New Roman" w:hAnsi="Times New Roman" w:cs="Times New Roman"/>
                <w:sz w:val="21"/>
                <w:lang w:eastAsia="zh-CN"/>
              </w:rPr>
            </w:pPr>
            <w:r>
              <w:rPr>
                <w:rFonts w:ascii="Times New Roman" w:hAnsi="Times New Roman" w:cs="Times New Roman"/>
                <w:sz w:val="21"/>
                <w:lang w:eastAsia="zh-CN"/>
              </w:rPr>
              <w:t>1/20 LD</w:t>
            </w:r>
            <w:r>
              <w:rPr>
                <w:rFonts w:ascii="Times New Roman" w:hAnsi="Times New Roman" w:cs="Times New Roman"/>
                <w:sz w:val="21"/>
                <w:vertAlign w:val="subscript"/>
                <w:lang w:eastAsia="zh-CN"/>
              </w:rPr>
              <w:t>50</w:t>
            </w:r>
          </w:p>
        </w:tc>
        <w:tc>
          <w:tcPr>
            <w:tcW w:w="1554" w:type="dxa"/>
            <w:tcBorders>
              <w:bottom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ascii="Times New Roman" w:hAnsi="Times New Roman" w:cs="Times New Roman"/>
                <w:sz w:val="21"/>
                <w:lang w:eastAsia="zh-CN"/>
              </w:rPr>
            </w:pPr>
            <w:r>
              <w:rPr>
                <w:rFonts w:ascii="Times New Roman" w:hAnsi="Times New Roman" w:cs="Times New Roman"/>
                <w:sz w:val="21"/>
                <w:lang w:eastAsia="zh-CN"/>
              </w:rPr>
              <w:t>1/10 LD</w:t>
            </w:r>
            <w:r>
              <w:rPr>
                <w:rFonts w:ascii="Times New Roman" w:hAnsi="Times New Roman" w:cs="Times New Roman"/>
                <w:sz w:val="21"/>
                <w:vertAlign w:val="subscript"/>
                <w:lang w:eastAsia="zh-CN"/>
              </w:rPr>
              <w:t>50</w:t>
            </w:r>
          </w:p>
        </w:tc>
        <w:tc>
          <w:tcPr>
            <w:tcW w:w="1557" w:type="dxa"/>
            <w:tcBorders>
              <w:bottom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ascii="Times New Roman" w:hAnsi="Times New Roman" w:cs="Times New Roman"/>
                <w:sz w:val="21"/>
                <w:lang w:eastAsia="zh-CN"/>
              </w:rPr>
            </w:pPr>
            <w:r>
              <w:rPr>
                <w:rFonts w:ascii="Times New Roman" w:hAnsi="Times New Roman" w:cs="Times New Roman"/>
                <w:sz w:val="21"/>
                <w:lang w:eastAsia="zh-CN"/>
              </w:rPr>
              <w:t>1/5 LD</w:t>
            </w:r>
            <w:r>
              <w:rPr>
                <w:rFonts w:ascii="Times New Roman" w:hAnsi="Times New Roman" w:cs="Times New Roman"/>
                <w:sz w:val="21"/>
                <w:vertAlign w:val="subscript"/>
                <w:lang w:eastAsia="zh-CN"/>
              </w:rPr>
              <w:t>50</w:t>
            </w:r>
          </w:p>
        </w:tc>
      </w:tr>
      <w:tr>
        <w:trPr>
          <w:trHeight w:val="334" w:hRule="atLeast"/>
        </w:trPr>
        <w:tc>
          <w:tcPr>
            <w:tcW w:w="1807" w:type="dxa"/>
            <w:tcBorders>
              <w:top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b/>
                <w:bCs/>
                <w:sz w:val="21"/>
                <w:lang w:eastAsia="zh-CN"/>
              </w:rPr>
            </w:pPr>
            <w:r>
              <w:rPr>
                <w:rFonts w:ascii="Times New Roman" w:hAnsi="Times New Roman" w:cs="Times New Roman"/>
                <w:b/>
                <w:bCs/>
                <w:sz w:val="21"/>
                <w:lang w:eastAsia="zh-CN"/>
              </w:rPr>
              <w:t>ALT (U/L)</w:t>
            </w:r>
          </w:p>
        </w:tc>
        <w:tc>
          <w:tcPr>
            <w:tcW w:w="1554" w:type="dxa"/>
            <w:tcBorders>
              <w:top w:val="single" w:color="auto" w:sz="4" w:space="0"/>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35.8 ± 4.9</w:t>
            </w:r>
          </w:p>
        </w:tc>
        <w:tc>
          <w:tcPr>
            <w:tcW w:w="1554" w:type="dxa"/>
            <w:tcBorders>
              <w:top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35.6 ± 5.7</w:t>
            </w:r>
          </w:p>
        </w:tc>
        <w:tc>
          <w:tcPr>
            <w:tcW w:w="1554" w:type="dxa"/>
            <w:tcBorders>
              <w:top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34.6 ± 6.9</w:t>
            </w:r>
          </w:p>
        </w:tc>
        <w:tc>
          <w:tcPr>
            <w:tcW w:w="1554" w:type="dxa"/>
            <w:tcBorders>
              <w:top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31.7 ± 7.7</w:t>
            </w:r>
          </w:p>
        </w:tc>
        <w:tc>
          <w:tcPr>
            <w:tcW w:w="1554" w:type="dxa"/>
            <w:gridSpan w:val="2"/>
            <w:tcBorders>
              <w:top w:val="single" w:color="auto" w:sz="4" w:space="0"/>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48.1 ± 7.0</w:t>
            </w:r>
          </w:p>
        </w:tc>
        <w:tc>
          <w:tcPr>
            <w:tcW w:w="1554" w:type="dxa"/>
            <w:tcBorders>
              <w:top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47.0 ± 5.7</w:t>
            </w:r>
          </w:p>
        </w:tc>
        <w:tc>
          <w:tcPr>
            <w:tcW w:w="1554" w:type="dxa"/>
            <w:tcBorders>
              <w:top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47.1 ± 6.2</w:t>
            </w:r>
          </w:p>
        </w:tc>
        <w:tc>
          <w:tcPr>
            <w:tcW w:w="1557" w:type="dxa"/>
            <w:tcBorders>
              <w:top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44.5 ± 8.3</w:t>
            </w:r>
          </w:p>
        </w:tc>
      </w:tr>
      <w:tr>
        <w:trPr>
          <w:trHeight w:val="334" w:hRule="atLeast"/>
        </w:trPr>
        <w:tc>
          <w:tcPr>
            <w:tcW w:w="180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b/>
                <w:bCs/>
                <w:sz w:val="21"/>
                <w:lang w:eastAsia="zh-CN"/>
              </w:rPr>
            </w:pPr>
            <w:r>
              <w:rPr>
                <w:rFonts w:ascii="Times New Roman" w:hAnsi="Times New Roman" w:cs="Times New Roman"/>
                <w:b/>
                <w:bCs/>
                <w:sz w:val="21"/>
                <w:lang w:eastAsia="zh-CN"/>
              </w:rPr>
              <w:t>AST (U/L)</w:t>
            </w:r>
          </w:p>
        </w:tc>
        <w:tc>
          <w:tcPr>
            <w:tcW w:w="1554" w:type="dxa"/>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111.6 ± 9.5</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84.5 ± 14.7**</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76.2 ± 8.8***</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72.0 ± 17.7**</w:t>
            </w:r>
          </w:p>
        </w:tc>
        <w:tc>
          <w:tcPr>
            <w:tcW w:w="1554" w:type="dxa"/>
            <w:gridSpan w:val="2"/>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127.8 ± 14.0</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117.2 ± 8.8</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116.3 ± 22.3</w:t>
            </w:r>
          </w:p>
        </w:tc>
        <w:tc>
          <w:tcPr>
            <w:tcW w:w="155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82.4 ± 13.0***</w:t>
            </w:r>
          </w:p>
        </w:tc>
      </w:tr>
      <w:tr>
        <w:trPr>
          <w:trHeight w:val="334" w:hRule="atLeast"/>
        </w:trPr>
        <w:tc>
          <w:tcPr>
            <w:tcW w:w="180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bCs/>
                <w:sz w:val="21"/>
                <w:lang w:eastAsia="zh-CN"/>
              </w:rPr>
            </w:pPr>
            <w:r>
              <w:rPr>
                <w:rFonts w:ascii="Times New Roman" w:hAnsi="Times New Roman" w:cs="Times New Roman"/>
                <w:b/>
                <w:bCs/>
                <w:sz w:val="21"/>
                <w:lang w:eastAsia="zh-CN"/>
              </w:rPr>
              <w:t>TP (g/L)</w:t>
            </w:r>
          </w:p>
        </w:tc>
        <w:tc>
          <w:tcPr>
            <w:tcW w:w="1554" w:type="dxa"/>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63.27 ± 1.71</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63.04 ± 2.15</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63.26 ± 2.72</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64.17 ± 1.71</w:t>
            </w:r>
          </w:p>
        </w:tc>
        <w:tc>
          <w:tcPr>
            <w:tcW w:w="1554" w:type="dxa"/>
            <w:gridSpan w:val="2"/>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60.71 ± 1.35</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60.88 ± 1.73</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61.99 ± 2.36</w:t>
            </w:r>
          </w:p>
        </w:tc>
        <w:tc>
          <w:tcPr>
            <w:tcW w:w="155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61.37 ± 2.35</w:t>
            </w:r>
          </w:p>
        </w:tc>
      </w:tr>
      <w:tr>
        <w:trPr>
          <w:trHeight w:val="334" w:hRule="atLeast"/>
        </w:trPr>
        <w:tc>
          <w:tcPr>
            <w:tcW w:w="180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b/>
                <w:bCs/>
                <w:sz w:val="21"/>
                <w:lang w:eastAsia="zh-CN"/>
              </w:rPr>
            </w:pPr>
            <w:r>
              <w:rPr>
                <w:rFonts w:ascii="Times New Roman" w:hAnsi="Times New Roman" w:cs="Times New Roman"/>
                <w:b/>
                <w:bCs/>
                <w:sz w:val="21"/>
                <w:lang w:eastAsia="zh-CN"/>
              </w:rPr>
              <w:t>ALB (g/L)</w:t>
            </w:r>
          </w:p>
        </w:tc>
        <w:tc>
          <w:tcPr>
            <w:tcW w:w="1554" w:type="dxa"/>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39.62 ± 0.87</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39.66 ± 0.94</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39.58 ± 1.12</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39.81 ± 0.92</w:t>
            </w:r>
          </w:p>
        </w:tc>
        <w:tc>
          <w:tcPr>
            <w:tcW w:w="1554" w:type="dxa"/>
            <w:gridSpan w:val="2"/>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36.91 ± 0.68</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36.92 ± 0.83</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37.64 ± 0.72</w:t>
            </w:r>
          </w:p>
        </w:tc>
        <w:tc>
          <w:tcPr>
            <w:tcW w:w="155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36.96 ± 0.81</w:t>
            </w:r>
          </w:p>
        </w:tc>
      </w:tr>
      <w:tr>
        <w:trPr>
          <w:trHeight w:val="334" w:hRule="atLeast"/>
        </w:trPr>
        <w:tc>
          <w:tcPr>
            <w:tcW w:w="180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b/>
                <w:bCs/>
                <w:sz w:val="21"/>
                <w:lang w:eastAsia="zh-CN"/>
              </w:rPr>
            </w:pPr>
            <w:r>
              <w:rPr>
                <w:rFonts w:ascii="Times New Roman" w:hAnsi="Times New Roman" w:cs="Times New Roman"/>
                <w:b/>
                <w:bCs/>
                <w:sz w:val="21"/>
                <w:lang w:eastAsia="zh-CN"/>
              </w:rPr>
              <w:t>GLB (g/L)</w:t>
            </w:r>
          </w:p>
        </w:tc>
        <w:tc>
          <w:tcPr>
            <w:tcW w:w="1554" w:type="dxa"/>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23.65 ± 1.13</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23.38 ± 1.39</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23.68 ± 1.78</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24.36 ± 1.31</w:t>
            </w:r>
          </w:p>
        </w:tc>
        <w:tc>
          <w:tcPr>
            <w:tcW w:w="1554" w:type="dxa"/>
            <w:gridSpan w:val="2"/>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23.80 ± 1.21</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23.96 ± 0.98</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24.35 ± 1.76</w:t>
            </w:r>
          </w:p>
        </w:tc>
        <w:tc>
          <w:tcPr>
            <w:tcW w:w="155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24.41 ± 1.59</w:t>
            </w:r>
          </w:p>
        </w:tc>
      </w:tr>
      <w:tr>
        <w:trPr>
          <w:trHeight w:val="334" w:hRule="atLeast"/>
        </w:trPr>
        <w:tc>
          <w:tcPr>
            <w:tcW w:w="180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b/>
                <w:bCs/>
                <w:sz w:val="21"/>
                <w:lang w:eastAsia="zh-CN"/>
              </w:rPr>
            </w:pPr>
            <w:r>
              <w:rPr>
                <w:rFonts w:ascii="Times New Roman" w:hAnsi="Times New Roman" w:cs="Times New Roman"/>
                <w:b/>
                <w:bCs/>
                <w:sz w:val="21"/>
                <w:lang w:eastAsia="zh-CN"/>
              </w:rPr>
              <w:t>A/G</w:t>
            </w:r>
          </w:p>
        </w:tc>
        <w:tc>
          <w:tcPr>
            <w:tcW w:w="1554" w:type="dxa"/>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1.68 ± 0.07</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1.70 ± 0.08</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1.68 ± 0.10</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1.64 ± 0.09</w:t>
            </w:r>
          </w:p>
        </w:tc>
        <w:tc>
          <w:tcPr>
            <w:tcW w:w="1554" w:type="dxa"/>
            <w:gridSpan w:val="2"/>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1.55 ± 0.09</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1.54 ± 0.04</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1.55 ± 0.09</w:t>
            </w:r>
          </w:p>
        </w:tc>
        <w:tc>
          <w:tcPr>
            <w:tcW w:w="155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1.52 ± 0.07</w:t>
            </w:r>
          </w:p>
        </w:tc>
      </w:tr>
      <w:tr>
        <w:trPr>
          <w:trHeight w:val="334" w:hRule="atLeast"/>
        </w:trPr>
        <w:tc>
          <w:tcPr>
            <w:tcW w:w="180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b/>
                <w:bCs/>
                <w:sz w:val="21"/>
                <w:lang w:eastAsia="zh-CN"/>
              </w:rPr>
            </w:pPr>
            <w:r>
              <w:rPr>
                <w:rFonts w:ascii="Times New Roman" w:hAnsi="Times New Roman" w:cs="Times New Roman"/>
                <w:b/>
                <w:bCs/>
                <w:sz w:val="21"/>
                <w:lang w:eastAsia="zh-CN"/>
              </w:rPr>
              <w:t>TBIL (μmol/L)</w:t>
            </w:r>
          </w:p>
        </w:tc>
        <w:tc>
          <w:tcPr>
            <w:tcW w:w="1554" w:type="dxa"/>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0.66 ± 0.20</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0.70 ± 0.24</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0.60 ± 0.24</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0.37 ± 0.12*</w:t>
            </w:r>
          </w:p>
        </w:tc>
        <w:tc>
          <w:tcPr>
            <w:tcW w:w="1554" w:type="dxa"/>
            <w:gridSpan w:val="2"/>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0.55 ± 0.15</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0.49 ± 0.19</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0.34 ± 0.11**</w:t>
            </w:r>
          </w:p>
        </w:tc>
        <w:tc>
          <w:tcPr>
            <w:tcW w:w="155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0.33 ± 0.11**</w:t>
            </w:r>
          </w:p>
        </w:tc>
      </w:tr>
      <w:tr>
        <w:trPr>
          <w:trHeight w:val="334" w:hRule="atLeast"/>
        </w:trPr>
        <w:tc>
          <w:tcPr>
            <w:tcW w:w="180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b/>
                <w:bCs/>
                <w:sz w:val="21"/>
                <w:lang w:eastAsia="zh-CN"/>
              </w:rPr>
            </w:pPr>
            <w:r>
              <w:rPr>
                <w:rFonts w:ascii="Times New Roman" w:hAnsi="Times New Roman" w:cs="Times New Roman"/>
                <w:b/>
                <w:bCs/>
                <w:sz w:val="21"/>
                <w:lang w:eastAsia="zh-CN"/>
              </w:rPr>
              <w:t>DBIL (μmol/L)</w:t>
            </w:r>
          </w:p>
        </w:tc>
        <w:tc>
          <w:tcPr>
            <w:tcW w:w="1554" w:type="dxa"/>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0.13 ± 0.11</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0.16 ± 0.08</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0.20 ± 0.12</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0.17 ± 0.10</w:t>
            </w:r>
          </w:p>
        </w:tc>
        <w:tc>
          <w:tcPr>
            <w:tcW w:w="1554" w:type="dxa"/>
            <w:gridSpan w:val="2"/>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0.25 ± 0.14</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0.21 ± 0.094</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0.16 ± 0.08</w:t>
            </w:r>
          </w:p>
        </w:tc>
        <w:tc>
          <w:tcPr>
            <w:tcW w:w="155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0.22 ± 0.12</w:t>
            </w:r>
          </w:p>
        </w:tc>
      </w:tr>
      <w:tr>
        <w:trPr>
          <w:trHeight w:val="334" w:hRule="atLeast"/>
        </w:trPr>
        <w:tc>
          <w:tcPr>
            <w:tcW w:w="180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bCs/>
                <w:sz w:val="21"/>
                <w:lang w:eastAsia="zh-CN"/>
              </w:rPr>
            </w:pPr>
            <w:r>
              <w:rPr>
                <w:rFonts w:ascii="Times New Roman" w:hAnsi="Times New Roman" w:cs="Times New Roman"/>
                <w:b/>
                <w:bCs/>
                <w:sz w:val="21"/>
                <w:lang w:eastAsia="zh-CN"/>
              </w:rPr>
              <w:t>IBIL (μmol/L)</w:t>
            </w:r>
          </w:p>
        </w:tc>
        <w:tc>
          <w:tcPr>
            <w:tcW w:w="1554" w:type="dxa"/>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0.53 ± 0.25</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0.54 ± 0.26</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0.40 ± 0.29</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0.20 ± 0.10</w:t>
            </w:r>
          </w:p>
        </w:tc>
        <w:tc>
          <w:tcPr>
            <w:tcW w:w="1554" w:type="dxa"/>
            <w:gridSpan w:val="2"/>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0.30 ± 0.17</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0.28 ± 0.18</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0.18 ± 0.09</w:t>
            </w:r>
          </w:p>
        </w:tc>
        <w:tc>
          <w:tcPr>
            <w:tcW w:w="155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0.11 ± 0.05</w:t>
            </w:r>
          </w:p>
        </w:tc>
      </w:tr>
      <w:tr>
        <w:trPr>
          <w:trHeight w:val="334" w:hRule="atLeast"/>
        </w:trPr>
        <w:tc>
          <w:tcPr>
            <w:tcW w:w="180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b/>
                <w:bCs/>
                <w:sz w:val="21"/>
                <w:lang w:eastAsia="zh-CN"/>
              </w:rPr>
            </w:pPr>
            <w:r>
              <w:rPr>
                <w:rFonts w:ascii="Times New Roman" w:hAnsi="Times New Roman" w:cs="Times New Roman"/>
                <w:b/>
                <w:bCs/>
                <w:sz w:val="21"/>
                <w:lang w:eastAsia="zh-CN"/>
              </w:rPr>
              <w:t>ALP (U/L)</w:t>
            </w:r>
          </w:p>
        </w:tc>
        <w:tc>
          <w:tcPr>
            <w:tcW w:w="1554" w:type="dxa"/>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68.1 ± 8.6</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67.1 ± 13.5</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65.6 ± 8.3</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70.7 ± 9.5</w:t>
            </w:r>
          </w:p>
        </w:tc>
        <w:tc>
          <w:tcPr>
            <w:tcW w:w="1554" w:type="dxa"/>
            <w:gridSpan w:val="2"/>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110.0 ± 15.9</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104.6 ± 12.6</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114.4 ± 16.3</w:t>
            </w:r>
          </w:p>
        </w:tc>
        <w:tc>
          <w:tcPr>
            <w:tcW w:w="155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108.9 ± 14.6</w:t>
            </w:r>
          </w:p>
        </w:tc>
      </w:tr>
      <w:tr>
        <w:trPr>
          <w:trHeight w:val="334" w:hRule="atLeast"/>
        </w:trPr>
        <w:tc>
          <w:tcPr>
            <w:tcW w:w="180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b/>
                <w:bCs/>
                <w:sz w:val="21"/>
                <w:lang w:eastAsia="zh-CN"/>
              </w:rPr>
            </w:pPr>
            <w:r>
              <w:rPr>
                <w:rFonts w:ascii="Times New Roman" w:hAnsi="Times New Roman" w:cs="Times New Roman"/>
                <w:b/>
                <w:bCs/>
                <w:sz w:val="21"/>
                <w:lang w:eastAsia="zh-CN"/>
              </w:rPr>
              <w:t>GLU (mmol/L)</w:t>
            </w:r>
          </w:p>
        </w:tc>
        <w:tc>
          <w:tcPr>
            <w:tcW w:w="1554" w:type="dxa"/>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6.85 ± 0.93</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6.83 ± 0.99</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7.01 ± 1.21</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7.58 ± 1.06</w:t>
            </w:r>
          </w:p>
        </w:tc>
        <w:tc>
          <w:tcPr>
            <w:tcW w:w="1554" w:type="dxa"/>
            <w:gridSpan w:val="2"/>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8.90 ± 1.47</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8.90 ± 1.31</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10.01 ± 2.56</w:t>
            </w:r>
          </w:p>
        </w:tc>
        <w:tc>
          <w:tcPr>
            <w:tcW w:w="155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10.39 ± 1.89</w:t>
            </w:r>
          </w:p>
        </w:tc>
      </w:tr>
      <w:tr>
        <w:trPr>
          <w:trHeight w:val="334" w:hRule="atLeast"/>
        </w:trPr>
        <w:tc>
          <w:tcPr>
            <w:tcW w:w="180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b/>
                <w:bCs/>
                <w:sz w:val="21"/>
                <w:lang w:eastAsia="zh-CN"/>
              </w:rPr>
            </w:pPr>
            <w:r>
              <w:rPr>
                <w:rFonts w:ascii="Times New Roman" w:hAnsi="Times New Roman" w:cs="Times New Roman"/>
                <w:b/>
                <w:bCs/>
                <w:sz w:val="21"/>
                <w:lang w:eastAsia="zh-CN"/>
              </w:rPr>
              <w:t>UREA (mmol/L)</w:t>
            </w:r>
          </w:p>
        </w:tc>
        <w:tc>
          <w:tcPr>
            <w:tcW w:w="1554" w:type="dxa"/>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6.36 ± 0.41</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6.50 ± 0.47</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7.79 ± 0.95**</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7.88 ± 0.78***</w:t>
            </w:r>
          </w:p>
        </w:tc>
        <w:tc>
          <w:tcPr>
            <w:tcW w:w="1554" w:type="dxa"/>
            <w:gridSpan w:val="2"/>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5.99 ± 0.72</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6.14 ± 0.66</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6.98 ± 0.43**</w:t>
            </w:r>
          </w:p>
        </w:tc>
        <w:tc>
          <w:tcPr>
            <w:tcW w:w="155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7.37 ± 0.47***</w:t>
            </w:r>
          </w:p>
        </w:tc>
      </w:tr>
      <w:tr>
        <w:trPr>
          <w:trHeight w:val="334" w:hRule="atLeast"/>
        </w:trPr>
        <w:tc>
          <w:tcPr>
            <w:tcW w:w="180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b/>
                <w:bCs/>
                <w:sz w:val="21"/>
                <w:lang w:eastAsia="zh-CN"/>
              </w:rPr>
            </w:pPr>
            <w:r>
              <w:rPr>
                <w:rFonts w:ascii="Times New Roman" w:hAnsi="Times New Roman" w:cs="Times New Roman"/>
                <w:b/>
                <w:bCs/>
                <w:sz w:val="21"/>
                <w:lang w:eastAsia="zh-CN"/>
              </w:rPr>
              <w:t>CREA (μmol/L)</w:t>
            </w:r>
          </w:p>
        </w:tc>
        <w:tc>
          <w:tcPr>
            <w:tcW w:w="1554" w:type="dxa"/>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35.4 ± 1.6</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36.5 ± 2.2</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37.6 ± 1.9</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35.5 ± 4.2</w:t>
            </w:r>
          </w:p>
        </w:tc>
        <w:tc>
          <w:tcPr>
            <w:tcW w:w="1554" w:type="dxa"/>
            <w:gridSpan w:val="2"/>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35.9 ± 2.1</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35.2 ± 1.9</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36.5 ± 2.5</w:t>
            </w:r>
          </w:p>
        </w:tc>
        <w:tc>
          <w:tcPr>
            <w:tcW w:w="155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31.9 ± 1.9***</w:t>
            </w:r>
          </w:p>
        </w:tc>
      </w:tr>
      <w:tr>
        <w:trPr>
          <w:trHeight w:val="334" w:hRule="atLeast"/>
        </w:trPr>
        <w:tc>
          <w:tcPr>
            <w:tcW w:w="180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b/>
                <w:bCs/>
                <w:sz w:val="21"/>
                <w:lang w:eastAsia="zh-CN"/>
              </w:rPr>
            </w:pPr>
            <w:r>
              <w:rPr>
                <w:rFonts w:ascii="Times New Roman" w:hAnsi="Times New Roman" w:cs="Times New Roman"/>
                <w:b/>
                <w:bCs/>
                <w:sz w:val="21"/>
                <w:lang w:eastAsia="zh-CN"/>
              </w:rPr>
              <w:t>CHOL (mmol/L)</w:t>
            </w:r>
          </w:p>
        </w:tc>
        <w:tc>
          <w:tcPr>
            <w:tcW w:w="1554" w:type="dxa"/>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2.05 ± 0.21</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1.93 ± 0.17</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1.98 ± 0.30</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1.88 ± 0.23</w:t>
            </w:r>
          </w:p>
        </w:tc>
        <w:tc>
          <w:tcPr>
            <w:tcW w:w="1554" w:type="dxa"/>
            <w:gridSpan w:val="2"/>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2.15 ± 0.20</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2.11 ± 0.22</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2.10 ± 0.26</w:t>
            </w:r>
          </w:p>
        </w:tc>
        <w:tc>
          <w:tcPr>
            <w:tcW w:w="155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1.96 ± 0.16</w:t>
            </w:r>
          </w:p>
        </w:tc>
      </w:tr>
      <w:tr>
        <w:trPr>
          <w:trHeight w:val="334" w:hRule="atLeast"/>
        </w:trPr>
        <w:tc>
          <w:tcPr>
            <w:tcW w:w="180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b/>
                <w:bCs/>
                <w:sz w:val="21"/>
                <w:lang w:eastAsia="zh-CN"/>
              </w:rPr>
            </w:pPr>
            <w:r>
              <w:rPr>
                <w:rFonts w:ascii="Times New Roman" w:hAnsi="Times New Roman" w:cs="Times New Roman"/>
                <w:b/>
                <w:bCs/>
                <w:sz w:val="21"/>
                <w:lang w:eastAsia="zh-CN"/>
              </w:rPr>
              <w:t>K (mmol/L)</w:t>
            </w:r>
          </w:p>
        </w:tc>
        <w:tc>
          <w:tcPr>
            <w:tcW w:w="1554" w:type="dxa"/>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3.67 ± 0.45</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3.36 ± 0.30</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3.33 ± 0.35</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3.50 ± 0.50</w:t>
            </w:r>
          </w:p>
        </w:tc>
        <w:tc>
          <w:tcPr>
            <w:tcW w:w="1554" w:type="dxa"/>
            <w:gridSpan w:val="2"/>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4.02 ± 0.23</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4.17 ± 0.29</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4.52 ± 0.80</w:t>
            </w:r>
          </w:p>
        </w:tc>
        <w:tc>
          <w:tcPr>
            <w:tcW w:w="155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3.76 ± 0.55</w:t>
            </w:r>
          </w:p>
        </w:tc>
      </w:tr>
      <w:tr>
        <w:trPr>
          <w:trHeight w:val="334" w:hRule="atLeast"/>
        </w:trPr>
        <w:tc>
          <w:tcPr>
            <w:tcW w:w="180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b/>
                <w:bCs/>
                <w:sz w:val="21"/>
                <w:lang w:eastAsia="zh-CN"/>
              </w:rPr>
            </w:pPr>
            <w:r>
              <w:rPr>
                <w:rFonts w:ascii="Times New Roman" w:hAnsi="Times New Roman" w:cs="Times New Roman"/>
                <w:b/>
                <w:bCs/>
                <w:sz w:val="21"/>
                <w:lang w:eastAsia="zh-CN"/>
              </w:rPr>
              <w:t>Na (mmol/L)</w:t>
            </w:r>
          </w:p>
        </w:tc>
        <w:tc>
          <w:tcPr>
            <w:tcW w:w="1554" w:type="dxa"/>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133.22 ± 1.61</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130.22 ± 1.47***</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128.73 ± 1.50***</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127.69 ± 1.45***</w:t>
            </w:r>
          </w:p>
        </w:tc>
        <w:tc>
          <w:tcPr>
            <w:tcW w:w="1554" w:type="dxa"/>
            <w:gridSpan w:val="2"/>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131.96 ± 0.77</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131.56 ± 0.99</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131.18 ± 1.14</w:t>
            </w:r>
          </w:p>
        </w:tc>
        <w:tc>
          <w:tcPr>
            <w:tcW w:w="155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130.53 ± 1.20*</w:t>
            </w:r>
          </w:p>
        </w:tc>
      </w:tr>
      <w:tr>
        <w:trPr>
          <w:trHeight w:val="334" w:hRule="atLeast"/>
        </w:trPr>
        <w:tc>
          <w:tcPr>
            <w:tcW w:w="180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b/>
                <w:bCs/>
                <w:sz w:val="21"/>
                <w:lang w:eastAsia="zh-CN"/>
              </w:rPr>
            </w:pPr>
            <w:r>
              <w:rPr>
                <w:rFonts w:ascii="Times New Roman" w:hAnsi="Times New Roman" w:cs="Times New Roman"/>
                <w:b/>
                <w:bCs/>
                <w:sz w:val="21"/>
                <w:lang w:eastAsia="zh-CN"/>
              </w:rPr>
              <w:t>Cl (mmol/L)</w:t>
            </w:r>
          </w:p>
        </w:tc>
        <w:tc>
          <w:tcPr>
            <w:tcW w:w="1554" w:type="dxa"/>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102.78 ± 1.05</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103.06 ± 1.45</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101.43 ± 1.71</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100.68 ± 1.47*</w:t>
            </w:r>
          </w:p>
        </w:tc>
        <w:tc>
          <w:tcPr>
            <w:tcW w:w="1554" w:type="dxa"/>
            <w:gridSpan w:val="2"/>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99.74 ± 1.13</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99.78 ± 1.12</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99.34 ± 1.16</w:t>
            </w:r>
          </w:p>
        </w:tc>
        <w:tc>
          <w:tcPr>
            <w:tcW w:w="155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99.63 ± 1.43</w:t>
            </w:r>
          </w:p>
        </w:tc>
      </w:tr>
      <w:tr>
        <w:trPr>
          <w:trHeight w:val="334" w:hRule="atLeast"/>
        </w:trPr>
        <w:tc>
          <w:tcPr>
            <w:tcW w:w="180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b/>
                <w:bCs/>
                <w:sz w:val="21"/>
                <w:lang w:eastAsia="zh-CN"/>
              </w:rPr>
            </w:pPr>
            <w:r>
              <w:rPr>
                <w:rFonts w:ascii="Times New Roman" w:hAnsi="Times New Roman" w:cs="Times New Roman"/>
                <w:b/>
                <w:bCs/>
                <w:sz w:val="21"/>
                <w:lang w:eastAsia="zh-CN"/>
              </w:rPr>
              <w:t>Ca (mmol/L)</w:t>
            </w:r>
          </w:p>
        </w:tc>
        <w:tc>
          <w:tcPr>
            <w:tcW w:w="1554" w:type="dxa"/>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2.42 ± 0.04</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2.44 ± 0.07</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2.47 ± 0.06</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2.51 ± 0.06**</w:t>
            </w:r>
          </w:p>
        </w:tc>
        <w:tc>
          <w:tcPr>
            <w:tcW w:w="1554" w:type="dxa"/>
            <w:gridSpan w:val="2"/>
            <w:tcBorders>
              <w:lef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2.34 ± 0.04</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2.41 ± 0.05**</w:t>
            </w:r>
          </w:p>
        </w:tc>
        <w:tc>
          <w:tcPr>
            <w:tcW w:w="155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2.46 ± 0.07***</w:t>
            </w:r>
          </w:p>
        </w:tc>
        <w:tc>
          <w:tcPr>
            <w:tcW w:w="1557"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2.48 ± 0.07***</w:t>
            </w:r>
          </w:p>
        </w:tc>
      </w:tr>
      <w:tr>
        <w:trPr>
          <w:trHeight w:val="334" w:hRule="atLeast"/>
        </w:trPr>
        <w:tc>
          <w:tcPr>
            <w:tcW w:w="1807" w:type="dxa"/>
            <w:tcBorders>
              <w:bottom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b/>
                <w:bCs/>
                <w:sz w:val="21"/>
                <w:lang w:eastAsia="zh-CN"/>
              </w:rPr>
            </w:pPr>
            <w:r>
              <w:rPr>
                <w:rFonts w:ascii="Times New Roman" w:hAnsi="Times New Roman" w:cs="Times New Roman"/>
                <w:b/>
                <w:bCs/>
                <w:sz w:val="21"/>
                <w:lang w:eastAsia="zh-CN"/>
              </w:rPr>
              <w:t>P (mmol/L)</w:t>
            </w:r>
          </w:p>
        </w:tc>
        <w:tc>
          <w:tcPr>
            <w:tcW w:w="1554" w:type="dxa"/>
            <w:tcBorders>
              <w:left w:val="nil"/>
              <w:bottom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1.74 ± 0.17</w:t>
            </w:r>
          </w:p>
        </w:tc>
        <w:tc>
          <w:tcPr>
            <w:tcW w:w="1554" w:type="dxa"/>
            <w:tcBorders>
              <w:bottom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1.33 ± 0.17***</w:t>
            </w:r>
          </w:p>
        </w:tc>
        <w:tc>
          <w:tcPr>
            <w:tcW w:w="1554" w:type="dxa"/>
            <w:tcBorders>
              <w:bottom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1.75 ± 0.15</w:t>
            </w:r>
          </w:p>
        </w:tc>
        <w:tc>
          <w:tcPr>
            <w:tcW w:w="1554" w:type="dxa"/>
            <w:tcBorders>
              <w:bottom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1.96 ± 0.18*</w:t>
            </w:r>
          </w:p>
        </w:tc>
        <w:tc>
          <w:tcPr>
            <w:tcW w:w="1554" w:type="dxa"/>
            <w:gridSpan w:val="2"/>
            <w:tcBorders>
              <w:left w:val="nil"/>
              <w:bottom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2.11 ± 0.09</w:t>
            </w:r>
          </w:p>
        </w:tc>
        <w:tc>
          <w:tcPr>
            <w:tcW w:w="1554" w:type="dxa"/>
            <w:tcBorders>
              <w:bottom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2.06 ± 0.09</w:t>
            </w:r>
          </w:p>
        </w:tc>
        <w:tc>
          <w:tcPr>
            <w:tcW w:w="1554" w:type="dxa"/>
            <w:tcBorders>
              <w:bottom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2.37 ± 0.20**</w:t>
            </w:r>
          </w:p>
        </w:tc>
        <w:tc>
          <w:tcPr>
            <w:tcW w:w="1557" w:type="dxa"/>
            <w:tcBorders>
              <w:bottom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Times New Roman" w:hAnsi="Times New Roman" w:cs="Times New Roman"/>
                <w:sz w:val="21"/>
                <w:lang w:eastAsia="zh-CN"/>
              </w:rPr>
            </w:pPr>
            <w:r>
              <w:rPr>
                <w:rFonts w:ascii="Times New Roman" w:hAnsi="Times New Roman" w:cs="Times New Roman"/>
                <w:sz w:val="21"/>
                <w:lang w:eastAsia="zh-CN"/>
              </w:rPr>
              <w:t>2.32 ± 0.09**</w:t>
            </w:r>
          </w:p>
        </w:tc>
      </w:tr>
    </w:tbl>
    <w:p>
      <w:pPr>
        <w:pStyle w:val="3"/>
        <w:spacing w:before="0" w:after="0" w:line="360" w:lineRule="auto"/>
        <w:jc w:val="both"/>
        <w:rPr>
          <w:rFonts w:cs="Times New Roman"/>
          <w:b w:val="0"/>
          <w:lang w:eastAsia="zh-CN"/>
        </w:rPr>
      </w:pPr>
      <w:bookmarkStart w:id="24" w:name="_Toc464344069"/>
      <w:r>
        <w:rPr>
          <w:rStyle w:val="39"/>
          <w:rFonts w:cs="Times New Roman" w:eastAsiaTheme="minorEastAsia"/>
          <w:b/>
          <w:bCs w:val="0"/>
          <w:i/>
          <w:iCs/>
          <w:szCs w:val="24"/>
        </w:rPr>
        <w:t>Table S4.</w:t>
      </w:r>
      <w:r>
        <w:rPr>
          <w:rFonts w:cs="Times New Roman"/>
          <w:bCs w:val="0"/>
          <w:i/>
          <w:iCs/>
        </w:rPr>
        <w:t xml:space="preserve"> </w:t>
      </w:r>
      <w:r>
        <w:rPr>
          <w:rFonts w:cs="Times New Roman"/>
          <w:bCs w:val="0"/>
          <w:i/>
          <w:iCs/>
          <w:lang w:eastAsia="zh-CN"/>
        </w:rPr>
        <w:t>Hematologic changes in the blood of rats exposed to different doses of maleic acid polymer scale inhibitor for 90 days</w:t>
      </w:r>
      <w:bookmarkEnd w:id="24"/>
    </w:p>
    <w:p>
      <w:pPr>
        <w:pStyle w:val="3"/>
        <w:spacing w:before="0" w:after="0" w:line="240" w:lineRule="auto"/>
        <w:jc w:val="both"/>
        <w:rPr>
          <w:rStyle w:val="39"/>
          <w:rFonts w:eastAsia="MS Mincho" w:cs="Times New Roman"/>
          <w:b/>
          <w:bCs w:val="0"/>
          <w:szCs w:val="24"/>
        </w:rPr>
      </w:pPr>
      <w:bookmarkStart w:id="25" w:name="_Toc275194485"/>
      <w:r>
        <w:rPr>
          <w:rFonts w:cs="Times New Roman"/>
          <w:b w:val="0"/>
          <w:lang w:eastAsia="zh-CN"/>
        </w:rPr>
        <w:t xml:space="preserve">All values are expressed as the mean ± SD per group (n = 20, 10 male and 10 female). The Shapiro–Wilk test was used to assess normality, and Bartlett’s test was used to assess homogeneity of variance. Dunnett’s test was used in the case of homoscedasticity and a normal distribution, and the Wilcoxon rank–sum test was used in the case of heteroscedasticity or a skewed distribution for statistical analysis comparing with the control group; * </w:t>
      </w:r>
      <w:r>
        <w:rPr>
          <w:rFonts w:cs="Times New Roman"/>
          <w:b w:val="0"/>
          <w:i/>
          <w:iCs/>
          <w:lang w:eastAsia="zh-CN"/>
        </w:rPr>
        <w:t>p</w:t>
      </w:r>
      <w:r>
        <w:rPr>
          <w:rFonts w:cs="Times New Roman"/>
          <w:b w:val="0"/>
          <w:lang w:eastAsia="zh-CN"/>
        </w:rPr>
        <w:t xml:space="preserve"> &lt; 0.05, ** </w:t>
      </w:r>
      <w:r>
        <w:rPr>
          <w:rFonts w:cs="Times New Roman"/>
          <w:b w:val="0"/>
          <w:i/>
          <w:iCs/>
          <w:lang w:eastAsia="zh-CN"/>
        </w:rPr>
        <w:t>p</w:t>
      </w:r>
      <w:r>
        <w:rPr>
          <w:rFonts w:cs="Times New Roman"/>
          <w:b w:val="0"/>
          <w:lang w:eastAsia="zh-CN"/>
        </w:rPr>
        <w:t xml:space="preserve"> &lt; 0.01, *** </w:t>
      </w:r>
      <w:r>
        <w:rPr>
          <w:rFonts w:cs="Times New Roman"/>
          <w:b w:val="0"/>
          <w:i/>
          <w:iCs/>
          <w:lang w:eastAsia="zh-CN"/>
        </w:rPr>
        <w:t>p</w:t>
      </w:r>
      <w:r>
        <w:rPr>
          <w:rFonts w:cs="Times New Roman"/>
          <w:b w:val="0"/>
          <w:lang w:eastAsia="zh-CN"/>
        </w:rPr>
        <w:t xml:space="preserve"> &lt; 0.001.</w:t>
      </w:r>
      <w:bookmarkEnd w:id="25"/>
    </w:p>
    <w:tbl>
      <w:tblPr>
        <w:tblStyle w:val="12"/>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21"/>
        <w:gridCol w:w="1544"/>
        <w:gridCol w:w="1544"/>
        <w:gridCol w:w="1544"/>
        <w:gridCol w:w="1544"/>
        <w:gridCol w:w="1544"/>
        <w:gridCol w:w="1544"/>
        <w:gridCol w:w="1544"/>
        <w:gridCol w:w="1545"/>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23" w:hRule="atLeast"/>
        </w:trPr>
        <w:tc>
          <w:tcPr>
            <w:tcW w:w="642" w:type="pct"/>
            <w:vMerge w:val="restart"/>
            <w:shd w:val="clear" w:color="auto" w:fill="auto"/>
            <w:noWrap/>
            <w:vAlign w:val="center"/>
          </w:tcPr>
          <w:p>
            <w:pPr>
              <w:jc w:val="left"/>
              <w:rPr>
                <w:rFonts w:ascii="Times New Roman" w:hAnsi="Times New Roman" w:eastAsia="Times New Roman" w:cs="Times New Roman"/>
                <w:sz w:val="21"/>
                <w:szCs w:val="21"/>
                <w:lang w:eastAsia="zh-CN"/>
              </w:rPr>
            </w:pPr>
            <w:r>
              <w:rPr>
                <w:rFonts w:ascii="Times New Roman" w:hAnsi="Times New Roman" w:cs="Times New Roman"/>
                <w:b/>
                <w:bCs/>
                <w:sz w:val="21"/>
                <w:lang w:eastAsia="zh-CN"/>
              </w:rPr>
              <w:t>Indicator</w:t>
            </w:r>
          </w:p>
        </w:tc>
        <w:tc>
          <w:tcPr>
            <w:tcW w:w="2178" w:type="pct"/>
            <w:gridSpan w:val="4"/>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Female</w:t>
            </w:r>
          </w:p>
        </w:tc>
        <w:tc>
          <w:tcPr>
            <w:tcW w:w="2178" w:type="pct"/>
            <w:gridSpan w:val="4"/>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Male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23" w:hRule="atLeast"/>
        </w:trPr>
        <w:tc>
          <w:tcPr>
            <w:tcW w:w="642" w:type="pct"/>
            <w:vMerge w:val="continue"/>
            <w:tcBorders>
              <w:bottom w:val="single" w:color="auto" w:sz="4" w:space="0"/>
            </w:tcBorders>
            <w:vAlign w:val="center"/>
          </w:tcPr>
          <w:p>
            <w:pPr>
              <w:jc w:val="left"/>
              <w:rPr>
                <w:rFonts w:ascii="Times New Roman" w:hAnsi="Times New Roman" w:eastAsia="Times New Roman" w:cs="Times New Roman"/>
                <w:sz w:val="21"/>
                <w:szCs w:val="21"/>
                <w:lang w:eastAsia="zh-CN"/>
              </w:rPr>
            </w:pPr>
          </w:p>
        </w:tc>
        <w:tc>
          <w:tcPr>
            <w:tcW w:w="544" w:type="pct"/>
            <w:tcBorders>
              <w:bottom w:val="single" w:color="auto" w:sz="4" w:space="0"/>
            </w:tcBorders>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Control</w:t>
            </w:r>
          </w:p>
        </w:tc>
        <w:tc>
          <w:tcPr>
            <w:tcW w:w="544" w:type="pct"/>
            <w:tcBorders>
              <w:bottom w:val="single" w:color="auto" w:sz="4" w:space="0"/>
            </w:tcBorders>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1/20 LD</w:t>
            </w:r>
            <w:r>
              <w:rPr>
                <w:rFonts w:ascii="Times New Roman" w:hAnsi="Times New Roman" w:cs="Times New Roman"/>
                <w:sz w:val="21"/>
                <w:vertAlign w:val="subscript"/>
                <w:lang w:eastAsia="zh-CN"/>
              </w:rPr>
              <w:t>50</w:t>
            </w:r>
          </w:p>
        </w:tc>
        <w:tc>
          <w:tcPr>
            <w:tcW w:w="544" w:type="pct"/>
            <w:tcBorders>
              <w:bottom w:val="single" w:color="auto" w:sz="4" w:space="0"/>
            </w:tcBorders>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1/10 LD</w:t>
            </w:r>
            <w:r>
              <w:rPr>
                <w:rFonts w:ascii="Times New Roman" w:hAnsi="Times New Roman" w:cs="Times New Roman"/>
                <w:sz w:val="21"/>
                <w:vertAlign w:val="subscript"/>
                <w:lang w:eastAsia="zh-CN"/>
              </w:rPr>
              <w:t>50</w:t>
            </w:r>
          </w:p>
        </w:tc>
        <w:tc>
          <w:tcPr>
            <w:tcW w:w="544" w:type="pct"/>
            <w:tcBorders>
              <w:bottom w:val="single" w:color="auto" w:sz="4" w:space="0"/>
            </w:tcBorders>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1/5 LD</w:t>
            </w:r>
            <w:r>
              <w:rPr>
                <w:rFonts w:ascii="Times New Roman" w:hAnsi="Times New Roman" w:cs="Times New Roman"/>
                <w:sz w:val="21"/>
                <w:vertAlign w:val="subscript"/>
                <w:lang w:eastAsia="zh-CN"/>
              </w:rPr>
              <w:t>50</w:t>
            </w:r>
          </w:p>
        </w:tc>
        <w:tc>
          <w:tcPr>
            <w:tcW w:w="544" w:type="pct"/>
            <w:tcBorders>
              <w:bottom w:val="single" w:color="auto" w:sz="4" w:space="0"/>
            </w:tcBorders>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Control</w:t>
            </w:r>
          </w:p>
        </w:tc>
        <w:tc>
          <w:tcPr>
            <w:tcW w:w="544" w:type="pct"/>
            <w:tcBorders>
              <w:bottom w:val="single" w:color="auto" w:sz="4" w:space="0"/>
            </w:tcBorders>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1/20 LD</w:t>
            </w:r>
            <w:r>
              <w:rPr>
                <w:rFonts w:ascii="Times New Roman" w:hAnsi="Times New Roman" w:cs="Times New Roman"/>
                <w:sz w:val="21"/>
                <w:vertAlign w:val="subscript"/>
                <w:lang w:eastAsia="zh-CN"/>
              </w:rPr>
              <w:t>50</w:t>
            </w:r>
          </w:p>
        </w:tc>
        <w:tc>
          <w:tcPr>
            <w:tcW w:w="544" w:type="pct"/>
            <w:tcBorders>
              <w:bottom w:val="single" w:color="auto" w:sz="4" w:space="0"/>
            </w:tcBorders>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1/10 LD</w:t>
            </w:r>
            <w:r>
              <w:rPr>
                <w:rFonts w:ascii="Times New Roman" w:hAnsi="Times New Roman" w:cs="Times New Roman"/>
                <w:sz w:val="21"/>
                <w:vertAlign w:val="subscript"/>
                <w:lang w:eastAsia="zh-CN"/>
              </w:rPr>
              <w:t>50</w:t>
            </w:r>
          </w:p>
        </w:tc>
        <w:tc>
          <w:tcPr>
            <w:tcW w:w="545" w:type="pct"/>
            <w:tcBorders>
              <w:bottom w:val="single" w:color="auto" w:sz="4" w:space="0"/>
            </w:tcBorders>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1/5 LD</w:t>
            </w:r>
            <w:r>
              <w:rPr>
                <w:rFonts w:ascii="Times New Roman" w:hAnsi="Times New Roman" w:cs="Times New Roman"/>
                <w:sz w:val="21"/>
                <w:vertAlign w:val="subscript"/>
                <w:lang w:eastAsia="zh-CN"/>
              </w:rPr>
              <w:t>50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57" w:hRule="atLeast"/>
        </w:trPr>
        <w:tc>
          <w:tcPr>
            <w:tcW w:w="642" w:type="pct"/>
            <w:tcBorders>
              <w:top w:val="single" w:color="auto" w:sz="4" w:space="0"/>
              <w:bottom w:val="nil"/>
            </w:tcBorders>
            <w:shd w:val="clear" w:color="auto" w:fill="auto"/>
            <w:noWrap/>
            <w:vAlign w:val="center"/>
          </w:tcPr>
          <w:p>
            <w:pPr>
              <w:jc w:val="left"/>
              <w:rPr>
                <w:rFonts w:ascii="Times New Roman" w:hAnsi="Times New Roman" w:eastAsia="宋体" w:cs="Times New Roman"/>
                <w:b/>
                <w:bCs/>
                <w:color w:val="000000"/>
                <w:sz w:val="21"/>
                <w:szCs w:val="21"/>
                <w:lang w:eastAsia="zh-CN"/>
              </w:rPr>
            </w:pPr>
            <w:r>
              <w:rPr>
                <w:rFonts w:ascii="Times New Roman" w:hAnsi="Times New Roman" w:eastAsia="宋体" w:cs="Times New Roman"/>
                <w:b/>
                <w:bCs/>
                <w:color w:val="000000"/>
                <w:sz w:val="21"/>
                <w:szCs w:val="21"/>
                <w:lang w:eastAsia="zh-CN"/>
              </w:rPr>
              <w:t>WBC (×10</w:t>
            </w:r>
            <w:r>
              <w:rPr>
                <w:rFonts w:ascii="Times New Roman" w:hAnsi="Times New Roman" w:eastAsia="宋体" w:cs="Times New Roman"/>
                <w:b/>
                <w:bCs/>
                <w:color w:val="000000"/>
                <w:sz w:val="21"/>
                <w:szCs w:val="21"/>
                <w:vertAlign w:val="superscript"/>
                <w:lang w:eastAsia="zh-CN"/>
              </w:rPr>
              <w:t>9</w:t>
            </w:r>
            <w:r>
              <w:rPr>
                <w:rFonts w:ascii="Times New Roman" w:hAnsi="Times New Roman" w:eastAsia="宋体" w:cs="Times New Roman"/>
                <w:b/>
                <w:bCs/>
                <w:color w:val="000000"/>
                <w:sz w:val="21"/>
                <w:szCs w:val="21"/>
                <w:lang w:eastAsia="zh-CN"/>
              </w:rPr>
              <w:t>/L)</w:t>
            </w:r>
          </w:p>
        </w:tc>
        <w:tc>
          <w:tcPr>
            <w:tcW w:w="544" w:type="pct"/>
            <w:tcBorders>
              <w:top w:val="single" w:color="auto" w:sz="4" w:space="0"/>
              <w:bottom w:val="nil"/>
            </w:tcBorders>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4.74 ± 0.77</w:t>
            </w:r>
          </w:p>
        </w:tc>
        <w:tc>
          <w:tcPr>
            <w:tcW w:w="544" w:type="pct"/>
            <w:tcBorders>
              <w:top w:val="single" w:color="auto" w:sz="4" w:space="0"/>
              <w:bottom w:val="nil"/>
            </w:tcBorders>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3.99 ± 0.88</w:t>
            </w:r>
          </w:p>
        </w:tc>
        <w:tc>
          <w:tcPr>
            <w:tcW w:w="544" w:type="pct"/>
            <w:tcBorders>
              <w:top w:val="single" w:color="auto" w:sz="4" w:space="0"/>
              <w:bottom w:val="nil"/>
            </w:tcBorders>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4.46 ± 0.68</w:t>
            </w:r>
          </w:p>
        </w:tc>
        <w:tc>
          <w:tcPr>
            <w:tcW w:w="544" w:type="pct"/>
            <w:tcBorders>
              <w:top w:val="single" w:color="auto" w:sz="4" w:space="0"/>
              <w:bottom w:val="nil"/>
            </w:tcBorders>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5.13 ± 0.81</w:t>
            </w:r>
          </w:p>
        </w:tc>
        <w:tc>
          <w:tcPr>
            <w:tcW w:w="544" w:type="pct"/>
            <w:tcBorders>
              <w:top w:val="single" w:color="auto" w:sz="4" w:space="0"/>
              <w:bottom w:val="nil"/>
            </w:tcBorders>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7.58 ± 1.64</w:t>
            </w:r>
          </w:p>
        </w:tc>
        <w:tc>
          <w:tcPr>
            <w:tcW w:w="544" w:type="pct"/>
            <w:tcBorders>
              <w:top w:val="single" w:color="auto" w:sz="4" w:space="0"/>
              <w:bottom w:val="nil"/>
            </w:tcBorders>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6.76 ± 0.94</w:t>
            </w:r>
          </w:p>
        </w:tc>
        <w:tc>
          <w:tcPr>
            <w:tcW w:w="544" w:type="pct"/>
            <w:tcBorders>
              <w:top w:val="single" w:color="auto" w:sz="4" w:space="0"/>
              <w:bottom w:val="nil"/>
            </w:tcBorders>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7.89 ± 1.97</w:t>
            </w:r>
          </w:p>
        </w:tc>
        <w:tc>
          <w:tcPr>
            <w:tcW w:w="545" w:type="pct"/>
            <w:tcBorders>
              <w:top w:val="single" w:color="auto" w:sz="4" w:space="0"/>
              <w:bottom w:val="nil"/>
            </w:tcBorders>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12.51 ± 5.67**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57" w:hRule="atLeast"/>
        </w:trPr>
        <w:tc>
          <w:tcPr>
            <w:tcW w:w="642" w:type="pct"/>
            <w:tcBorders>
              <w:top w:val="nil"/>
            </w:tcBorders>
            <w:shd w:val="clear" w:color="auto" w:fill="auto"/>
            <w:noWrap/>
            <w:vAlign w:val="center"/>
          </w:tcPr>
          <w:p>
            <w:pPr>
              <w:jc w:val="left"/>
              <w:rPr>
                <w:rFonts w:ascii="Times New Roman" w:hAnsi="Times New Roman" w:eastAsia="宋体" w:cs="Times New Roman"/>
                <w:b/>
                <w:bCs/>
                <w:color w:val="000000"/>
                <w:sz w:val="21"/>
                <w:szCs w:val="21"/>
                <w:lang w:eastAsia="zh-CN"/>
              </w:rPr>
            </w:pPr>
            <w:r>
              <w:rPr>
                <w:rFonts w:ascii="Times New Roman" w:hAnsi="Times New Roman" w:eastAsia="宋体" w:cs="Times New Roman"/>
                <w:b/>
                <w:bCs/>
                <w:color w:val="000000"/>
                <w:sz w:val="21"/>
                <w:szCs w:val="21"/>
                <w:lang w:eastAsia="zh-CN"/>
              </w:rPr>
              <w:t>Lymph# (×10</w:t>
            </w:r>
            <w:r>
              <w:rPr>
                <w:rFonts w:ascii="Times New Roman" w:hAnsi="Times New Roman" w:eastAsia="宋体" w:cs="Times New Roman"/>
                <w:b/>
                <w:bCs/>
                <w:color w:val="000000"/>
                <w:sz w:val="21"/>
                <w:szCs w:val="21"/>
                <w:vertAlign w:val="superscript"/>
                <w:lang w:eastAsia="zh-CN"/>
              </w:rPr>
              <w:t>9</w:t>
            </w:r>
            <w:r>
              <w:rPr>
                <w:rFonts w:ascii="Times New Roman" w:hAnsi="Times New Roman" w:eastAsia="宋体" w:cs="Times New Roman"/>
                <w:b/>
                <w:bCs/>
                <w:color w:val="000000"/>
                <w:sz w:val="21"/>
                <w:szCs w:val="21"/>
                <w:lang w:eastAsia="zh-CN"/>
              </w:rPr>
              <w:t>/L)</w:t>
            </w:r>
          </w:p>
        </w:tc>
        <w:tc>
          <w:tcPr>
            <w:tcW w:w="544" w:type="pct"/>
            <w:tcBorders>
              <w:top w:val="nil"/>
            </w:tcBorders>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4.61 ± 0.74</w:t>
            </w:r>
          </w:p>
        </w:tc>
        <w:tc>
          <w:tcPr>
            <w:tcW w:w="544" w:type="pct"/>
            <w:tcBorders>
              <w:top w:val="nil"/>
            </w:tcBorders>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3.85 ± 0.85</w:t>
            </w:r>
          </w:p>
        </w:tc>
        <w:tc>
          <w:tcPr>
            <w:tcW w:w="544" w:type="pct"/>
            <w:tcBorders>
              <w:top w:val="nil"/>
            </w:tcBorders>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4.33 ± 0.66</w:t>
            </w:r>
          </w:p>
        </w:tc>
        <w:tc>
          <w:tcPr>
            <w:tcW w:w="544" w:type="pct"/>
            <w:tcBorders>
              <w:top w:val="nil"/>
            </w:tcBorders>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5.02 ± 0.79</w:t>
            </w:r>
          </w:p>
        </w:tc>
        <w:tc>
          <w:tcPr>
            <w:tcW w:w="544" w:type="pct"/>
            <w:tcBorders>
              <w:top w:val="nil"/>
            </w:tcBorders>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7.17 ± 1.42</w:t>
            </w:r>
          </w:p>
        </w:tc>
        <w:tc>
          <w:tcPr>
            <w:tcW w:w="544" w:type="pct"/>
            <w:tcBorders>
              <w:top w:val="nil"/>
            </w:tcBorders>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6.44 ± 0.86</w:t>
            </w:r>
          </w:p>
        </w:tc>
        <w:tc>
          <w:tcPr>
            <w:tcW w:w="544" w:type="pct"/>
            <w:tcBorders>
              <w:top w:val="nil"/>
            </w:tcBorders>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7.39 ± 1.69</w:t>
            </w:r>
          </w:p>
        </w:tc>
        <w:tc>
          <w:tcPr>
            <w:tcW w:w="545" w:type="pct"/>
            <w:tcBorders>
              <w:top w:val="nil"/>
            </w:tcBorders>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10.25 ± 2.00**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57" w:hRule="atLeast"/>
        </w:trPr>
        <w:tc>
          <w:tcPr>
            <w:tcW w:w="642" w:type="pct"/>
            <w:shd w:val="clear" w:color="auto" w:fill="auto"/>
            <w:noWrap/>
            <w:vAlign w:val="center"/>
          </w:tcPr>
          <w:p>
            <w:pPr>
              <w:jc w:val="left"/>
              <w:rPr>
                <w:rFonts w:ascii="Times New Roman" w:hAnsi="Times New Roman" w:eastAsia="宋体" w:cs="Times New Roman"/>
                <w:b/>
                <w:bCs/>
                <w:color w:val="000000"/>
                <w:sz w:val="21"/>
                <w:szCs w:val="21"/>
                <w:lang w:eastAsia="zh-CN"/>
              </w:rPr>
            </w:pPr>
            <w:r>
              <w:rPr>
                <w:rFonts w:ascii="Times New Roman" w:hAnsi="Times New Roman" w:eastAsia="宋体" w:cs="Times New Roman"/>
                <w:b/>
                <w:bCs/>
                <w:color w:val="000000"/>
                <w:sz w:val="21"/>
                <w:szCs w:val="21"/>
                <w:lang w:eastAsia="zh-CN"/>
              </w:rPr>
              <w:t>Mid# (×10</w:t>
            </w:r>
            <w:r>
              <w:rPr>
                <w:rFonts w:ascii="Times New Roman" w:hAnsi="Times New Roman" w:eastAsia="宋体" w:cs="Times New Roman"/>
                <w:b/>
                <w:bCs/>
                <w:color w:val="000000"/>
                <w:sz w:val="21"/>
                <w:szCs w:val="21"/>
                <w:vertAlign w:val="superscript"/>
                <w:lang w:eastAsia="zh-CN"/>
              </w:rPr>
              <w:t>9</w:t>
            </w:r>
            <w:r>
              <w:rPr>
                <w:rFonts w:ascii="Times New Roman" w:hAnsi="Times New Roman" w:eastAsia="宋体" w:cs="Times New Roman"/>
                <w:b/>
                <w:bCs/>
                <w:color w:val="000000"/>
                <w:sz w:val="21"/>
                <w:szCs w:val="21"/>
                <w:lang w:eastAsia="zh-CN"/>
              </w:rPr>
              <w:t>/L)</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0.06 ± 0.05</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0.09 ± 0.03</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0.10 ± 0.00*</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0.08 ± 0.04</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0.28 ± 0.15</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0.21 ± 0.07</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0.28 ± 0.16</w:t>
            </w:r>
          </w:p>
        </w:tc>
        <w:tc>
          <w:tcPr>
            <w:tcW w:w="545"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0.42 ± 0.10*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57" w:hRule="atLeast"/>
        </w:trPr>
        <w:tc>
          <w:tcPr>
            <w:tcW w:w="642" w:type="pct"/>
            <w:shd w:val="clear" w:color="auto" w:fill="auto"/>
            <w:noWrap/>
            <w:vAlign w:val="center"/>
          </w:tcPr>
          <w:p>
            <w:pPr>
              <w:jc w:val="left"/>
              <w:rPr>
                <w:rFonts w:ascii="Times New Roman" w:hAnsi="Times New Roman" w:eastAsia="宋体" w:cs="Times New Roman"/>
                <w:b/>
                <w:bCs/>
                <w:color w:val="000000"/>
                <w:sz w:val="21"/>
                <w:szCs w:val="21"/>
                <w:lang w:eastAsia="zh-CN"/>
              </w:rPr>
            </w:pPr>
            <w:r>
              <w:rPr>
                <w:rFonts w:ascii="Times New Roman" w:hAnsi="Times New Roman" w:eastAsia="宋体" w:cs="Times New Roman"/>
                <w:b/>
                <w:bCs/>
                <w:color w:val="000000"/>
                <w:sz w:val="21"/>
                <w:szCs w:val="21"/>
                <w:lang w:eastAsia="zh-CN"/>
              </w:rPr>
              <w:t>Gran# (×10</w:t>
            </w:r>
            <w:r>
              <w:rPr>
                <w:rFonts w:ascii="Times New Roman" w:hAnsi="Times New Roman" w:eastAsia="宋体" w:cs="Times New Roman"/>
                <w:b/>
                <w:bCs/>
                <w:color w:val="000000"/>
                <w:sz w:val="21"/>
                <w:szCs w:val="21"/>
                <w:vertAlign w:val="superscript"/>
                <w:lang w:eastAsia="zh-CN"/>
              </w:rPr>
              <w:t>9</w:t>
            </w:r>
            <w:r>
              <w:rPr>
                <w:rFonts w:ascii="Times New Roman" w:hAnsi="Times New Roman" w:eastAsia="宋体" w:cs="Times New Roman"/>
                <w:b/>
                <w:bCs/>
                <w:color w:val="000000"/>
                <w:sz w:val="21"/>
                <w:szCs w:val="21"/>
                <w:lang w:eastAsia="zh-CN"/>
              </w:rPr>
              <w:t>/L)</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0.05 ± 0.05</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0.06 ± 0.05</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0.04 ± 0.05</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0.03 ± 0.05</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0.14 ± 0.09</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0.10 ± 0.06</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0.14 ± 0.13</w:t>
            </w:r>
          </w:p>
        </w:tc>
        <w:tc>
          <w:tcPr>
            <w:tcW w:w="545"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0.39 ± 0.14**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57" w:hRule="atLeast"/>
        </w:trPr>
        <w:tc>
          <w:tcPr>
            <w:tcW w:w="642" w:type="pct"/>
            <w:shd w:val="clear" w:color="auto" w:fill="auto"/>
            <w:noWrap/>
            <w:vAlign w:val="center"/>
          </w:tcPr>
          <w:p>
            <w:pPr>
              <w:jc w:val="left"/>
              <w:rPr>
                <w:rFonts w:ascii="Times New Roman" w:hAnsi="Times New Roman" w:eastAsia="宋体" w:cs="Times New Roman"/>
                <w:b/>
                <w:bCs/>
                <w:color w:val="000000"/>
                <w:sz w:val="21"/>
                <w:szCs w:val="21"/>
                <w:lang w:eastAsia="zh-CN"/>
              </w:rPr>
            </w:pPr>
            <w:r>
              <w:rPr>
                <w:rFonts w:ascii="Times New Roman" w:hAnsi="Times New Roman" w:eastAsia="宋体" w:cs="Times New Roman"/>
                <w:b/>
                <w:bCs/>
                <w:color w:val="000000"/>
                <w:sz w:val="21"/>
                <w:szCs w:val="21"/>
                <w:lang w:eastAsia="zh-CN"/>
              </w:rPr>
              <w:t>Lymph (%)</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97.44 ± 0.76</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96.61 ± 0.50*</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96.97 ± 0.62</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97.69 ± 0.61</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94.82 ± 2.07</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95.42 ± 1.14</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94.33 ± 2.59</w:t>
            </w:r>
          </w:p>
        </w:tc>
        <w:tc>
          <w:tcPr>
            <w:tcW w:w="545"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92.54 ± 1.20*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57" w:hRule="atLeast"/>
        </w:trPr>
        <w:tc>
          <w:tcPr>
            <w:tcW w:w="642" w:type="pct"/>
            <w:shd w:val="clear" w:color="auto" w:fill="auto"/>
            <w:noWrap/>
            <w:vAlign w:val="center"/>
          </w:tcPr>
          <w:p>
            <w:pPr>
              <w:jc w:val="left"/>
              <w:rPr>
                <w:rFonts w:ascii="Times New Roman" w:hAnsi="Times New Roman" w:eastAsia="宋体" w:cs="Times New Roman"/>
                <w:b/>
                <w:bCs/>
                <w:color w:val="000000"/>
                <w:sz w:val="21"/>
                <w:szCs w:val="21"/>
                <w:lang w:eastAsia="zh-CN"/>
              </w:rPr>
            </w:pPr>
            <w:r>
              <w:rPr>
                <w:rFonts w:ascii="Times New Roman" w:hAnsi="Times New Roman" w:eastAsia="宋体" w:cs="Times New Roman"/>
                <w:b/>
                <w:bCs/>
                <w:color w:val="000000"/>
                <w:sz w:val="21"/>
                <w:szCs w:val="21"/>
                <w:lang w:eastAsia="zh-CN"/>
              </w:rPr>
              <w:t>Mid (%)</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1.58 ± 0.52</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2.08 ± 0.33*</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1.89 ± 0.35</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1.48 ± 0.34</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3.58 ± 1.23</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3.05 ± 0.57</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3.51 ± 1.04</w:t>
            </w:r>
          </w:p>
        </w:tc>
        <w:tc>
          <w:tcPr>
            <w:tcW w:w="545"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4.08 ± 0.75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57" w:hRule="atLeast"/>
        </w:trPr>
        <w:tc>
          <w:tcPr>
            <w:tcW w:w="642" w:type="pct"/>
            <w:shd w:val="clear" w:color="auto" w:fill="auto"/>
            <w:noWrap/>
            <w:vAlign w:val="center"/>
          </w:tcPr>
          <w:p>
            <w:pPr>
              <w:jc w:val="left"/>
              <w:rPr>
                <w:rFonts w:ascii="Times New Roman" w:hAnsi="Times New Roman" w:eastAsia="宋体" w:cs="Times New Roman"/>
                <w:b/>
                <w:bCs/>
                <w:color w:val="000000"/>
                <w:sz w:val="21"/>
                <w:szCs w:val="21"/>
                <w:lang w:eastAsia="zh-CN"/>
              </w:rPr>
            </w:pPr>
            <w:r>
              <w:rPr>
                <w:rFonts w:ascii="Times New Roman" w:hAnsi="Times New Roman" w:eastAsia="宋体" w:cs="Times New Roman"/>
                <w:b/>
                <w:bCs/>
                <w:color w:val="000000"/>
                <w:sz w:val="21"/>
                <w:szCs w:val="21"/>
                <w:lang w:eastAsia="zh-CN"/>
              </w:rPr>
              <w:t>Gran (%)</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0.96 ± 0.31</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1.28 ± 0.17*</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1.13 ± 0.28</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0.80 ± 0.31</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1.58 ± 0.87</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1.49 ± 0.61</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2.13 ± 1.56</w:t>
            </w:r>
          </w:p>
        </w:tc>
        <w:tc>
          <w:tcPr>
            <w:tcW w:w="545"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3.53 ± 0.83**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57" w:hRule="atLeast"/>
        </w:trPr>
        <w:tc>
          <w:tcPr>
            <w:tcW w:w="642" w:type="pct"/>
            <w:shd w:val="clear" w:color="auto" w:fill="auto"/>
            <w:noWrap/>
            <w:vAlign w:val="center"/>
          </w:tcPr>
          <w:p>
            <w:pPr>
              <w:jc w:val="left"/>
              <w:rPr>
                <w:rFonts w:ascii="Times New Roman" w:hAnsi="Times New Roman" w:eastAsia="宋体" w:cs="Times New Roman"/>
                <w:b/>
                <w:bCs/>
                <w:color w:val="000000"/>
                <w:sz w:val="21"/>
                <w:szCs w:val="21"/>
                <w:lang w:eastAsia="zh-CN"/>
              </w:rPr>
            </w:pPr>
            <w:r>
              <w:rPr>
                <w:rFonts w:ascii="Times New Roman" w:hAnsi="Times New Roman" w:eastAsia="宋体" w:cs="Times New Roman"/>
                <w:b/>
                <w:bCs/>
                <w:color w:val="000000"/>
                <w:sz w:val="21"/>
                <w:szCs w:val="21"/>
                <w:lang w:eastAsia="zh-CN"/>
              </w:rPr>
              <w:t>RBC (×10</w:t>
            </w:r>
            <w:r>
              <w:rPr>
                <w:rFonts w:ascii="Times New Roman" w:hAnsi="Times New Roman" w:eastAsia="宋体" w:cs="Times New Roman"/>
                <w:b/>
                <w:bCs/>
                <w:color w:val="000000"/>
                <w:sz w:val="21"/>
                <w:szCs w:val="21"/>
                <w:vertAlign w:val="superscript"/>
                <w:lang w:eastAsia="zh-CN"/>
              </w:rPr>
              <w:t>12</w:t>
            </w:r>
            <w:r>
              <w:rPr>
                <w:rFonts w:ascii="Times New Roman" w:hAnsi="Times New Roman" w:eastAsia="宋体" w:cs="Times New Roman"/>
                <w:b/>
                <w:bCs/>
                <w:color w:val="000000"/>
                <w:sz w:val="21"/>
                <w:szCs w:val="21"/>
                <w:lang w:eastAsia="zh-CN"/>
              </w:rPr>
              <w:t>/L)</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6.89 ± 0.13</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6.93 ± 0.11</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6.93 ± 0.13</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6.90 ± 0.17</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6.98 ± 0.16</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7.04 ± 0.17</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7.24 ± 0.26*</w:t>
            </w:r>
          </w:p>
        </w:tc>
        <w:tc>
          <w:tcPr>
            <w:tcW w:w="545"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7.12 ± 0.21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57" w:hRule="atLeast"/>
        </w:trPr>
        <w:tc>
          <w:tcPr>
            <w:tcW w:w="642" w:type="pct"/>
            <w:shd w:val="clear" w:color="auto" w:fill="auto"/>
            <w:noWrap/>
            <w:vAlign w:val="center"/>
          </w:tcPr>
          <w:p>
            <w:pPr>
              <w:jc w:val="left"/>
              <w:rPr>
                <w:rFonts w:ascii="Times New Roman" w:hAnsi="Times New Roman" w:eastAsia="宋体" w:cs="Times New Roman"/>
                <w:b/>
                <w:bCs/>
                <w:color w:val="000000"/>
                <w:sz w:val="21"/>
                <w:szCs w:val="21"/>
                <w:lang w:eastAsia="zh-CN"/>
              </w:rPr>
            </w:pPr>
            <w:r>
              <w:rPr>
                <w:rFonts w:ascii="Times New Roman" w:hAnsi="Times New Roman" w:eastAsia="宋体" w:cs="Times New Roman"/>
                <w:b/>
                <w:bCs/>
                <w:color w:val="000000"/>
                <w:sz w:val="21"/>
                <w:szCs w:val="21"/>
                <w:lang w:eastAsia="zh-CN"/>
              </w:rPr>
              <w:t>HGB (g/L)</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152.0 ± 6.0</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152.6 ± 2.9</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153.11 ± 3.75</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153.90 ± 3.99</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152.2 ± 2.5</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155.0 ± 3.1</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155.5 ± 6.1</w:t>
            </w:r>
          </w:p>
        </w:tc>
        <w:tc>
          <w:tcPr>
            <w:tcW w:w="545"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153.7 ± 4.4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57" w:hRule="atLeast"/>
        </w:trPr>
        <w:tc>
          <w:tcPr>
            <w:tcW w:w="642" w:type="pct"/>
            <w:shd w:val="clear" w:color="auto" w:fill="auto"/>
            <w:noWrap/>
            <w:vAlign w:val="center"/>
          </w:tcPr>
          <w:p>
            <w:pPr>
              <w:jc w:val="left"/>
              <w:rPr>
                <w:rFonts w:ascii="Times New Roman" w:hAnsi="Times New Roman" w:eastAsia="宋体" w:cs="Times New Roman"/>
                <w:b/>
                <w:bCs/>
                <w:color w:val="000000"/>
                <w:sz w:val="21"/>
                <w:szCs w:val="21"/>
                <w:lang w:eastAsia="zh-CN"/>
              </w:rPr>
            </w:pPr>
            <w:r>
              <w:rPr>
                <w:rFonts w:ascii="Times New Roman" w:hAnsi="Times New Roman" w:eastAsia="宋体" w:cs="Times New Roman"/>
                <w:b/>
                <w:bCs/>
                <w:color w:val="000000"/>
                <w:sz w:val="21"/>
                <w:szCs w:val="21"/>
                <w:lang w:eastAsia="zh-CN"/>
              </w:rPr>
              <w:t>HCT (L/L)</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39.39 ± 0.97</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39.39 ± 0.53</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39.79 ± 0.78</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39.70 ± 57.56</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37.64 ± 0.90</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38.08 ± 1.01</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39.36 ± 1.65*</w:t>
            </w:r>
          </w:p>
        </w:tc>
        <w:tc>
          <w:tcPr>
            <w:tcW w:w="545"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39.29 ± 1.05*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57" w:hRule="atLeast"/>
        </w:trPr>
        <w:tc>
          <w:tcPr>
            <w:tcW w:w="642" w:type="pct"/>
            <w:shd w:val="clear" w:color="auto" w:fill="auto"/>
            <w:noWrap/>
            <w:vAlign w:val="center"/>
          </w:tcPr>
          <w:p>
            <w:pPr>
              <w:jc w:val="left"/>
              <w:rPr>
                <w:rFonts w:ascii="Times New Roman" w:hAnsi="Times New Roman" w:eastAsia="宋体" w:cs="Times New Roman"/>
                <w:b/>
                <w:bCs/>
                <w:color w:val="000000"/>
                <w:sz w:val="21"/>
                <w:szCs w:val="21"/>
                <w:lang w:eastAsia="zh-CN"/>
              </w:rPr>
            </w:pPr>
            <w:r>
              <w:rPr>
                <w:rFonts w:ascii="Times New Roman" w:hAnsi="Times New Roman" w:eastAsia="宋体" w:cs="Times New Roman"/>
                <w:b/>
                <w:bCs/>
                <w:color w:val="000000"/>
                <w:sz w:val="21"/>
                <w:szCs w:val="21"/>
                <w:lang w:eastAsia="zh-CN"/>
              </w:rPr>
              <w:t>MCV (Fl)</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57.17 ± 0.53</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56.88 ± 0.82</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57.44 ± 0.54</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57.56 ± 0.66</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53.89 ± 0.62</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54.13 ± 0.53</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54.34 ± 0.72</w:t>
            </w:r>
          </w:p>
        </w:tc>
        <w:tc>
          <w:tcPr>
            <w:tcW w:w="545" w:type="pct"/>
            <w:shd w:val="clear" w:color="auto" w:fill="auto"/>
            <w:noWrap/>
            <w:vAlign w:val="center"/>
          </w:tcPr>
          <w:p>
            <w:pPr>
              <w:spacing w:line="240" w:lineRule="auto"/>
              <w:jc w:val="both"/>
              <w:rPr>
                <w:rFonts w:ascii="Times New Roman" w:hAnsi="Times New Roman" w:cs="Times New Roman"/>
                <w:sz w:val="21"/>
                <w:lang w:eastAsia="zh-CN"/>
              </w:rPr>
            </w:pPr>
            <w:r>
              <w:rPr>
                <w:rFonts w:ascii="Times New Roman" w:hAnsi="Times New Roman" w:cs="Times New Roman"/>
                <w:sz w:val="21"/>
                <w:lang w:eastAsia="zh-CN"/>
              </w:rPr>
              <w:t>55.21± 0.77***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57" w:hRule="atLeast"/>
        </w:trPr>
        <w:tc>
          <w:tcPr>
            <w:tcW w:w="642" w:type="pct"/>
            <w:shd w:val="clear" w:color="auto" w:fill="auto"/>
            <w:noWrap/>
            <w:vAlign w:val="center"/>
          </w:tcPr>
          <w:p>
            <w:pPr>
              <w:jc w:val="left"/>
              <w:rPr>
                <w:rFonts w:ascii="Times New Roman" w:hAnsi="Times New Roman" w:eastAsia="宋体" w:cs="Times New Roman"/>
                <w:b/>
                <w:bCs/>
                <w:color w:val="000000"/>
                <w:sz w:val="21"/>
                <w:szCs w:val="21"/>
                <w:lang w:eastAsia="zh-CN"/>
              </w:rPr>
            </w:pPr>
            <w:r>
              <w:rPr>
                <w:rFonts w:ascii="Times New Roman" w:hAnsi="Times New Roman" w:eastAsia="宋体" w:cs="Times New Roman"/>
                <w:b/>
                <w:bCs/>
                <w:color w:val="000000"/>
                <w:sz w:val="21"/>
                <w:szCs w:val="21"/>
                <w:lang w:eastAsia="zh-CN"/>
              </w:rPr>
              <w:t>MCH (pg)</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22.04 ± 0.68</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22.04 ± 0.46</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22.09 ± 0.34</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22.32 ± 0.29</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21.81 ± 0.46</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22.10 ± 0.37</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21.47 ± 0.67</w:t>
            </w:r>
          </w:p>
        </w:tc>
        <w:tc>
          <w:tcPr>
            <w:tcW w:w="545"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21.60 ± 0.53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57" w:hRule="atLeast"/>
        </w:trPr>
        <w:tc>
          <w:tcPr>
            <w:tcW w:w="642" w:type="pct"/>
            <w:shd w:val="clear" w:color="auto" w:fill="auto"/>
            <w:noWrap/>
            <w:vAlign w:val="center"/>
          </w:tcPr>
          <w:p>
            <w:pPr>
              <w:jc w:val="left"/>
              <w:rPr>
                <w:rFonts w:ascii="Times New Roman" w:hAnsi="Times New Roman" w:eastAsia="宋体" w:cs="Times New Roman"/>
                <w:b/>
                <w:bCs/>
                <w:color w:val="000000"/>
                <w:sz w:val="21"/>
                <w:szCs w:val="21"/>
                <w:lang w:eastAsia="zh-CN"/>
              </w:rPr>
            </w:pPr>
            <w:r>
              <w:rPr>
                <w:rFonts w:ascii="Times New Roman" w:hAnsi="Times New Roman" w:eastAsia="宋体" w:cs="Times New Roman"/>
                <w:b/>
                <w:bCs/>
                <w:color w:val="000000"/>
                <w:sz w:val="21"/>
                <w:szCs w:val="21"/>
                <w:lang w:eastAsia="zh-CN"/>
              </w:rPr>
              <w:t>MCHC (g/L)</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385.9 ± 9.3</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387.4 ± 5.4</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384.67 ± 5.27</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387.80 ± 4.19</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404.50 ± 9.09</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408.5 ± 7.1</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395.5 ± 11.7</w:t>
            </w:r>
          </w:p>
        </w:tc>
        <w:tc>
          <w:tcPr>
            <w:tcW w:w="545"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391.3 ± 7.1**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57" w:hRule="atLeast"/>
        </w:trPr>
        <w:tc>
          <w:tcPr>
            <w:tcW w:w="642" w:type="pct"/>
            <w:shd w:val="clear" w:color="auto" w:fill="auto"/>
            <w:noWrap/>
            <w:vAlign w:val="center"/>
          </w:tcPr>
          <w:p>
            <w:pPr>
              <w:jc w:val="left"/>
              <w:rPr>
                <w:rFonts w:ascii="Times New Roman" w:hAnsi="Times New Roman" w:eastAsia="宋体" w:cs="Times New Roman"/>
                <w:b/>
                <w:bCs/>
                <w:color w:val="000000"/>
                <w:sz w:val="21"/>
                <w:szCs w:val="21"/>
                <w:lang w:eastAsia="zh-CN"/>
              </w:rPr>
            </w:pPr>
            <w:r>
              <w:rPr>
                <w:rFonts w:ascii="Times New Roman" w:hAnsi="Times New Roman" w:eastAsia="宋体" w:cs="Times New Roman"/>
                <w:b/>
                <w:bCs/>
                <w:color w:val="000000"/>
                <w:sz w:val="21"/>
                <w:szCs w:val="21"/>
                <w:lang w:eastAsia="zh-CN"/>
              </w:rPr>
              <w:t>RDW-CV (%)</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21.77 ± 0.15</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21.86 ± 0.26</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21.78 ± 0.12</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21.88 ± 0.17</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19.34 ± 0.33</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19.45 ± 0.20</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19.41 ± 0.22</w:t>
            </w:r>
          </w:p>
        </w:tc>
        <w:tc>
          <w:tcPr>
            <w:tcW w:w="545"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19.20 ± 0.16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57" w:hRule="atLeast"/>
        </w:trPr>
        <w:tc>
          <w:tcPr>
            <w:tcW w:w="642" w:type="pct"/>
            <w:shd w:val="clear" w:color="auto" w:fill="auto"/>
            <w:noWrap/>
            <w:vAlign w:val="center"/>
          </w:tcPr>
          <w:p>
            <w:pPr>
              <w:jc w:val="left"/>
              <w:rPr>
                <w:rFonts w:ascii="Times New Roman" w:hAnsi="Times New Roman" w:eastAsia="宋体" w:cs="Times New Roman"/>
                <w:b/>
                <w:bCs/>
                <w:color w:val="000000"/>
                <w:sz w:val="21"/>
                <w:szCs w:val="21"/>
                <w:lang w:eastAsia="zh-CN"/>
              </w:rPr>
            </w:pPr>
            <w:r>
              <w:rPr>
                <w:rFonts w:ascii="Times New Roman" w:hAnsi="Times New Roman" w:eastAsia="宋体" w:cs="Times New Roman"/>
                <w:b/>
                <w:bCs/>
                <w:color w:val="000000"/>
                <w:sz w:val="21"/>
                <w:szCs w:val="21"/>
                <w:lang w:eastAsia="zh-CN"/>
              </w:rPr>
              <w:t>PLT (%)</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1539.9 ± 99.2</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1612.6 ± 198.1</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1496.4 ± 142.4</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1456.6 ± 169.3</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2096.5 ± 197.8</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2024.5 ± 146.4</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2037.7 ± 233.9</w:t>
            </w:r>
          </w:p>
        </w:tc>
        <w:tc>
          <w:tcPr>
            <w:tcW w:w="545" w:type="pct"/>
            <w:shd w:val="clear" w:color="auto" w:fill="auto"/>
            <w:noWrap/>
            <w:vAlign w:val="center"/>
          </w:tcPr>
          <w:p>
            <w:pPr>
              <w:spacing w:line="240" w:lineRule="auto"/>
              <w:jc w:val="both"/>
              <w:rPr>
                <w:rFonts w:ascii="Times New Roman" w:hAnsi="Times New Roman" w:cs="Times New Roman"/>
                <w:sz w:val="21"/>
                <w:lang w:eastAsia="zh-CN"/>
              </w:rPr>
            </w:pPr>
            <w:r>
              <w:rPr>
                <w:rFonts w:ascii="Times New Roman" w:hAnsi="Times New Roman" w:cs="Times New Roman"/>
                <w:sz w:val="21"/>
                <w:lang w:eastAsia="zh-CN"/>
              </w:rPr>
              <w:t>1805.9± 228.5*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57" w:hRule="atLeast"/>
        </w:trPr>
        <w:tc>
          <w:tcPr>
            <w:tcW w:w="642" w:type="pct"/>
            <w:shd w:val="clear" w:color="auto" w:fill="auto"/>
            <w:noWrap/>
            <w:vAlign w:val="center"/>
          </w:tcPr>
          <w:p>
            <w:pPr>
              <w:jc w:val="left"/>
              <w:rPr>
                <w:rFonts w:ascii="Times New Roman" w:hAnsi="Times New Roman" w:eastAsia="宋体" w:cs="Times New Roman"/>
                <w:b/>
                <w:bCs/>
                <w:color w:val="000000"/>
                <w:sz w:val="21"/>
                <w:szCs w:val="21"/>
                <w:lang w:eastAsia="zh-CN"/>
              </w:rPr>
            </w:pPr>
            <w:r>
              <w:rPr>
                <w:rFonts w:ascii="Times New Roman" w:hAnsi="Times New Roman" w:eastAsia="宋体" w:cs="Times New Roman"/>
                <w:b/>
                <w:bCs/>
                <w:color w:val="000000"/>
                <w:sz w:val="21"/>
                <w:szCs w:val="21"/>
                <w:lang w:eastAsia="zh-CN"/>
              </w:rPr>
              <w:t>PCT (%)</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1.17 ± 0.07</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1.22 ± 0.15</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1.13 ± 0.11</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1.10 ± 0.13</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1.54 ± 0.13</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1.48 ± 0.10</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1.50 ± 0.16</w:t>
            </w:r>
          </w:p>
        </w:tc>
        <w:tc>
          <w:tcPr>
            <w:tcW w:w="545"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1.34 ± 0.16*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57" w:hRule="atLeast"/>
        </w:trPr>
        <w:tc>
          <w:tcPr>
            <w:tcW w:w="642" w:type="pct"/>
            <w:shd w:val="clear" w:color="auto" w:fill="auto"/>
            <w:noWrap/>
            <w:vAlign w:val="center"/>
          </w:tcPr>
          <w:p>
            <w:pPr>
              <w:jc w:val="left"/>
              <w:rPr>
                <w:rFonts w:ascii="Times New Roman" w:hAnsi="Times New Roman" w:eastAsia="宋体" w:cs="Times New Roman"/>
                <w:b/>
                <w:bCs/>
                <w:color w:val="000000"/>
                <w:sz w:val="21"/>
                <w:szCs w:val="21"/>
                <w:lang w:eastAsia="zh-CN"/>
              </w:rPr>
            </w:pPr>
            <w:r>
              <w:rPr>
                <w:rFonts w:ascii="Times New Roman" w:hAnsi="Times New Roman" w:eastAsia="宋体" w:cs="Times New Roman"/>
                <w:b/>
                <w:bCs/>
                <w:color w:val="000000"/>
                <w:sz w:val="21"/>
                <w:szCs w:val="21"/>
                <w:lang w:eastAsia="zh-CN"/>
              </w:rPr>
              <w:t>MPV (×10</w:t>
            </w:r>
            <w:r>
              <w:rPr>
                <w:rFonts w:ascii="Times New Roman" w:hAnsi="Times New Roman" w:eastAsia="宋体" w:cs="Times New Roman"/>
                <w:b/>
                <w:bCs/>
                <w:color w:val="000000"/>
                <w:sz w:val="21"/>
                <w:szCs w:val="21"/>
                <w:vertAlign w:val="superscript"/>
                <w:lang w:eastAsia="zh-CN"/>
              </w:rPr>
              <w:t>9</w:t>
            </w:r>
            <w:r>
              <w:rPr>
                <w:rFonts w:ascii="Times New Roman" w:hAnsi="Times New Roman" w:eastAsia="宋体" w:cs="Times New Roman"/>
                <w:b/>
                <w:bCs/>
                <w:color w:val="000000"/>
                <w:sz w:val="21"/>
                <w:szCs w:val="21"/>
                <w:lang w:eastAsia="zh-CN"/>
              </w:rPr>
              <w:t>/L)</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7.56 ± 0.05</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7.54 ± 0.05</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7.53 ± 0.05</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7.52 ± 0.04</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7.31 ± 0.07</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7.28 ± 0.07</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7.33 ± 0.06</w:t>
            </w:r>
          </w:p>
        </w:tc>
        <w:tc>
          <w:tcPr>
            <w:tcW w:w="545"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7.40 ± 0.09*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57" w:hRule="atLeast"/>
        </w:trPr>
        <w:tc>
          <w:tcPr>
            <w:tcW w:w="642" w:type="pct"/>
            <w:shd w:val="clear" w:color="auto" w:fill="auto"/>
            <w:noWrap/>
            <w:vAlign w:val="center"/>
          </w:tcPr>
          <w:p>
            <w:pPr>
              <w:jc w:val="left"/>
              <w:rPr>
                <w:rFonts w:ascii="Times New Roman" w:hAnsi="Times New Roman" w:eastAsia="宋体" w:cs="Times New Roman"/>
                <w:b/>
                <w:bCs/>
                <w:color w:val="000000"/>
                <w:sz w:val="21"/>
                <w:szCs w:val="21"/>
                <w:lang w:eastAsia="zh-CN"/>
              </w:rPr>
            </w:pPr>
            <w:r>
              <w:rPr>
                <w:rFonts w:ascii="Times New Roman" w:hAnsi="Times New Roman" w:eastAsia="宋体" w:cs="Times New Roman"/>
                <w:b/>
                <w:bCs/>
                <w:color w:val="000000"/>
                <w:sz w:val="21"/>
                <w:szCs w:val="21"/>
                <w:lang w:eastAsia="zh-CN"/>
              </w:rPr>
              <w:t>PDW (%)</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12.01 ± 0.79</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11.64 ± 1.12</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11.93 ± 0.60</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11.23 ± 0.74</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11.65 ± 0.93</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11.34 ± 0.78</w:t>
            </w:r>
          </w:p>
        </w:tc>
        <w:tc>
          <w:tcPr>
            <w:tcW w:w="544"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11.28 ± 1.00</w:t>
            </w:r>
          </w:p>
        </w:tc>
        <w:tc>
          <w:tcPr>
            <w:tcW w:w="545" w:type="pct"/>
            <w:shd w:val="clear" w:color="auto" w:fill="auto"/>
            <w:noWrap/>
            <w:vAlign w:val="center"/>
          </w:tcPr>
          <w:p>
            <w:pPr>
              <w:spacing w:line="240" w:lineRule="auto"/>
              <w:jc w:val="center"/>
              <w:rPr>
                <w:rFonts w:ascii="Times New Roman" w:hAnsi="Times New Roman" w:cs="Times New Roman"/>
                <w:sz w:val="21"/>
                <w:lang w:eastAsia="zh-CN"/>
              </w:rPr>
            </w:pPr>
            <w:r>
              <w:rPr>
                <w:rFonts w:ascii="Times New Roman" w:hAnsi="Times New Roman" w:cs="Times New Roman"/>
                <w:sz w:val="21"/>
                <w:lang w:eastAsia="zh-CN"/>
              </w:rPr>
              <w:t>11.94 ± 0.96</w:t>
            </w:r>
          </w:p>
        </w:tc>
      </w:tr>
    </w:tbl>
    <w:p>
      <w:pPr>
        <w:spacing w:line="276" w:lineRule="auto"/>
        <w:rPr>
          <w:rFonts w:ascii="Times New Roman" w:hAnsi="Times New Roman" w:cs="Times New Roman"/>
          <w:lang w:eastAsia="zh-Hans"/>
        </w:rPr>
        <w:sectPr>
          <w:pgSz w:w="16838" w:h="11906" w:orient="landscape"/>
          <w:pgMar w:top="1440" w:right="1440" w:bottom="1440" w:left="1440" w:header="851" w:footer="992" w:gutter="0"/>
          <w:lnNumType w:countBy="1" w:restart="continuous"/>
          <w:cols w:space="0" w:num="1"/>
          <w:docGrid w:type="linesAndChars" w:linePitch="334" w:charSpace="0"/>
        </w:sectPr>
      </w:pPr>
    </w:p>
    <w:p>
      <w:pPr>
        <w:pStyle w:val="3"/>
        <w:spacing w:before="0" w:after="0" w:line="240" w:lineRule="auto"/>
        <w:jc w:val="both"/>
        <w:rPr>
          <w:rFonts w:cs="Times New Roman"/>
          <w:b w:val="0"/>
          <w:color w:val="000000" w:themeColor="text1"/>
          <w14:textFill>
            <w14:solidFill>
              <w14:schemeClr w14:val="tx1"/>
            </w14:solidFill>
          </w14:textFill>
        </w:rPr>
      </w:pPr>
      <w:bookmarkStart w:id="26" w:name="_Toc1661417404"/>
      <w:bookmarkStart w:id="27" w:name="_Toc78938044"/>
      <w:r>
        <w:rPr>
          <w:rStyle w:val="39"/>
          <w:rFonts w:cs="Times New Roman" w:eastAsiaTheme="minorEastAsia"/>
          <w:b/>
          <w:bCs w:val="0"/>
          <w:i/>
          <w:iCs/>
        </w:rPr>
        <w:t>Figure</w:t>
      </w:r>
      <w:r>
        <w:rPr>
          <w:rStyle w:val="39"/>
          <w:rFonts w:cs="Times New Roman" w:eastAsiaTheme="minorEastAsia"/>
          <w:b/>
          <w:bCs w:val="0"/>
          <w:i/>
          <w:iCs/>
          <w:lang w:eastAsia="zh-CN"/>
        </w:rPr>
        <w:t xml:space="preserve"> </w:t>
      </w:r>
      <w:r>
        <w:rPr>
          <w:rStyle w:val="39"/>
          <w:rFonts w:cs="Times New Roman" w:eastAsiaTheme="minorEastAsia"/>
          <w:b/>
          <w:bCs w:val="0"/>
          <w:i/>
          <w:iCs/>
        </w:rPr>
        <w:t>S1.</w:t>
      </w:r>
      <w:r>
        <w:rPr>
          <w:rFonts w:cs="Times New Roman"/>
          <w:bCs w:val="0"/>
          <w:i/>
          <w:iCs/>
        </w:rPr>
        <w:t xml:space="preserve"> </w:t>
      </w:r>
      <w:r>
        <w:rPr>
          <w:rFonts w:cs="Times New Roman"/>
          <w:b w:val="0"/>
        </w:rPr>
        <w:t>T</w:t>
      </w:r>
      <w:bookmarkStart w:id="28" w:name="_Toc26829"/>
      <w:bookmarkStart w:id="29" w:name="_Toc100760392"/>
      <w:r>
        <w:rPr>
          <w:rFonts w:cs="Times New Roman"/>
          <w:b w:val="0"/>
        </w:rPr>
        <w:t>ypical pathology of important organs in the histopathological analysis of rats exposed to high-dose maleic acid polymer scale inhibitor (1/5 LD</w:t>
      </w:r>
      <w:r>
        <w:rPr>
          <w:rFonts w:cs="Times New Roman"/>
          <w:b w:val="0"/>
          <w:vertAlign w:val="subscript"/>
        </w:rPr>
        <w:t>50</w:t>
      </w:r>
      <w:r>
        <w:rPr>
          <w:rFonts w:cs="Times New Roman"/>
          <w:b w:val="0"/>
          <w:lang w:eastAsia="zh-CN"/>
        </w:rPr>
        <w:t>)</w:t>
      </w:r>
      <w:r>
        <w:rPr>
          <w:rFonts w:cs="Times New Roman"/>
          <w:b w:val="0"/>
        </w:rPr>
        <w:t xml:space="preserve"> for 90 days (n = 5). </w:t>
      </w:r>
      <w:r>
        <w:rPr>
          <w:rFonts w:cs="Times New Roman"/>
          <w:b w:val="0"/>
          <w:lang w:eastAsia="zh-CN"/>
        </w:rPr>
        <w:t xml:space="preserve">Mononuclear cell infiltration and hepatocyte hypertrophy in the liver, mesangial hyperplasia in the kidney, and hemosiderin deposition in the spleen </w:t>
      </w:r>
      <w:r>
        <w:rPr>
          <w:rFonts w:cs="Times New Roman"/>
          <w:b w:val="0"/>
          <w:color w:val="000000" w:themeColor="text1"/>
          <w14:textFill>
            <w14:solidFill>
              <w14:schemeClr w14:val="tx1"/>
            </w14:solidFill>
          </w14:textFill>
        </w:rPr>
        <w:t>are shown by the arrows. After HE staining, liver and spleen tissues were observed at 400× and kidney tissue was observed at 200× under an optical</w:t>
      </w:r>
      <w:r>
        <w:rPr>
          <w:rFonts w:hint="default" w:cs="Times New Roman"/>
          <w:b w:val="0"/>
          <w:color w:val="000000" w:themeColor="text1"/>
          <w14:textFill>
            <w14:solidFill>
              <w14:schemeClr w14:val="tx1"/>
            </w14:solidFill>
          </w14:textFill>
        </w:rPr>
        <w:t xml:space="preserve"> </w:t>
      </w:r>
      <w:r>
        <w:rPr>
          <w:rFonts w:cs="Times New Roman"/>
          <w:b w:val="0"/>
          <w:color w:val="000000" w:themeColor="text1"/>
          <w14:textFill>
            <w14:solidFill>
              <w14:schemeClr w14:val="tx1"/>
            </w14:solidFill>
          </w14:textFill>
        </w:rPr>
        <w:t>microscope</w:t>
      </w:r>
      <w:bookmarkEnd w:id="26"/>
      <w:bookmarkEnd w:id="28"/>
      <w:bookmarkEnd w:id="29"/>
    </w:p>
    <w:bookmarkEnd w:id="27"/>
    <w:p>
      <w:pPr>
        <w:pStyle w:val="3"/>
        <w:spacing w:before="0" w:after="0" w:line="240" w:lineRule="auto"/>
        <w:jc w:val="left"/>
        <w:rPr>
          <w:rStyle w:val="39"/>
          <w:rFonts w:ascii="Arial" w:hAnsi="Arial" w:eastAsia="MS Mincho" w:cs="Arial"/>
          <w:b/>
          <w:bCs/>
        </w:rPr>
      </w:pPr>
      <w:bookmarkStart w:id="30" w:name="_Toc1859930734"/>
      <w:r>
        <w:rPr>
          <w:lang w:eastAsia="zh-CN"/>
        </w:rPr>
        <w:drawing>
          <wp:inline distT="0" distB="0" distL="114300" distR="114300">
            <wp:extent cx="5753100" cy="6807835"/>
            <wp:effectExtent l="0" t="0" r="12700" b="24765"/>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pic:cNvPicPr>
                      <a:picLocks noChangeAspect="1"/>
                    </pic:cNvPicPr>
                  </pic:nvPicPr>
                  <pic:blipFill>
                    <a:blip r:embed="rId8"/>
                    <a:stretch>
                      <a:fillRect/>
                    </a:stretch>
                  </pic:blipFill>
                  <pic:spPr>
                    <a:xfrm>
                      <a:off x="0" y="0"/>
                      <a:ext cx="5753100" cy="6807835"/>
                    </a:xfrm>
                    <a:prstGeom prst="rect">
                      <a:avLst/>
                    </a:prstGeom>
                    <a:noFill/>
                    <a:ln>
                      <a:noFill/>
                    </a:ln>
                  </pic:spPr>
                </pic:pic>
              </a:graphicData>
            </a:graphic>
          </wp:inline>
        </w:drawing>
      </w:r>
      <w:bookmarkEnd w:id="30"/>
    </w:p>
    <w:sectPr>
      <w:pgSz w:w="11906" w:h="16838"/>
      <w:pgMar w:top="1440" w:right="1440" w:bottom="1440" w:left="1440" w:header="851" w:footer="992" w:gutter="0"/>
      <w:lnNumType w:countBy="1" w:restart="continuous"/>
      <w:cols w:space="0" w:num="1"/>
      <w:docGrid w:type="lines" w:linePitch="33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Cambria">
    <w:altName w:val="苹方-简"/>
    <w:panose1 w:val="02040503050406030204"/>
    <w:charset w:val="00"/>
    <w:family w:val="roman"/>
    <w:pitch w:val="default"/>
    <w:sig w:usb0="00000000" w:usb1="00000000" w:usb2="02000000" w:usb3="00000000" w:csb0="0000019F" w:csb1="00000000"/>
  </w:font>
  <w:font w:name="苹方-简">
    <w:panose1 w:val="020B0400000000000000"/>
    <w:charset w:val="86"/>
    <w:family w:val="auto"/>
    <w:pitch w:val="default"/>
    <w:sig w:usb0="00000000" w:usb1="00000000" w:usb2="00000000" w:usb3="00000000" w:csb0="00160000" w:csb1="00000000"/>
  </w:font>
  <w:font w:name="Times New">
    <w:altName w:val="Times"/>
    <w:panose1 w:val="00000000000000000000"/>
    <w:charset w:val="00"/>
    <w:family w:val="roman"/>
    <w:pitch w:val="default"/>
    <w:sig w:usb0="00000000" w:usb1="00000000" w:usb2="00000000" w:usb3="00000000" w:csb0="00000001" w:csb1="00000000"/>
  </w:font>
  <w:font w:name="Times">
    <w:panose1 w:val="00000500000000020000"/>
    <w:charset w:val="00"/>
    <w:family w:val="auto"/>
    <w:pitch w:val="default"/>
    <w:sig w:usb0="00000000" w:usb1="00000000" w:usb2="00000000" w:usb3="00000000" w:csb0="0000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00000000" w:usb1="00000000" w:usb2="00000000" w:usb3="00000000" w:csb0="00160000" w:csb1="00000000"/>
  </w:font>
  <w:font w:name="微软雅黑">
    <w:altName w:val="汉仪旗黑"/>
    <w:panose1 w:val="020B0503020204020204"/>
    <w:charset w:val="86"/>
    <w:family w:val="swiss"/>
    <w:pitch w:val="default"/>
    <w:sig w:usb0="00000000" w:usb1="00000000" w:usb2="00000016" w:usb3="00000000" w:csb0="0004001F" w:csb1="00000000"/>
  </w:font>
  <w:font w:name="汉仪旗黑">
    <w:panose1 w:val="00020600040101010101"/>
    <w:charset w:val="86"/>
    <w:family w:val="auto"/>
    <w:pitch w:val="default"/>
    <w:sig w:usb0="00000000" w:usb1="00000000" w:usb2="00000000" w:usb3="00000000" w:csb0="00060000" w:csb1="00000000"/>
  </w:font>
  <w:font w:name="MS Mincho">
    <w:altName w:val="Hiragino Sans"/>
    <w:panose1 w:val="02020609040205080304"/>
    <w:charset w:val="80"/>
    <w:family w:val="modern"/>
    <w:pitch w:val="default"/>
    <w:sig w:usb0="00000000" w:usb1="00000000" w:usb2="08000012" w:usb3="00000000" w:csb0="0002009F" w:csb1="00000000"/>
  </w:font>
  <w:font w:name="Hiragino Sans">
    <w:panose1 w:val="020B0300000000000000"/>
    <w:charset w:val="86"/>
    <w:family w:val="auto"/>
    <w:pitch w:val="default"/>
    <w:sig w:usb0="00000000" w:usb1="00000000" w:usb2="00000000" w:usb3="00000000" w:csb0="00160000" w:csb1="00000000"/>
  </w:font>
  <w:font w:name="冬青黑体简体中文">
    <w:panose1 w:val="020B0300000000000000"/>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6"/>
      </w:rPr>
    </w:pPr>
    <w:r>
      <w:rPr>
        <w:rStyle w:val="16"/>
      </w:rPr>
      <w:fldChar w:fldCharType="begin"/>
    </w:r>
    <w:r>
      <w:rPr>
        <w:rStyle w:val="16"/>
      </w:rPr>
      <w:instrText xml:space="preserve">PAGE  </w:instrText>
    </w:r>
    <w:r>
      <w:rPr>
        <w:rStyle w:val="16"/>
      </w:rPr>
      <w:fldChar w:fldCharType="separate"/>
    </w:r>
    <w:r>
      <w:rPr>
        <w:rStyle w:val="16"/>
      </w:rPr>
      <w:t>4</w:t>
    </w:r>
    <w:r>
      <w:rPr>
        <w:rStyle w:val="16"/>
      </w:rPr>
      <w:fldChar w:fldCharType="end"/>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6"/>
      </w:rPr>
    </w:pPr>
    <w:r>
      <w:rPr>
        <w:rStyle w:val="16"/>
      </w:rPr>
      <w:t>S</w:t>
    </w:r>
    <w:r>
      <w:rPr>
        <w:rStyle w:val="16"/>
      </w:rPr>
      <w:fldChar w:fldCharType="begin"/>
    </w:r>
    <w:r>
      <w:rPr>
        <w:rStyle w:val="16"/>
      </w:rPr>
      <w:instrText xml:space="preserve">PAGE  </w:instrText>
    </w:r>
    <w:r>
      <w:rPr>
        <w:rStyle w:val="16"/>
      </w:rPr>
      <w:fldChar w:fldCharType="separate"/>
    </w:r>
    <w:r>
      <w:rPr>
        <w:rStyle w:val="16"/>
      </w:rPr>
      <w:t>4</w:t>
    </w:r>
    <w:r>
      <w:rPr>
        <w:rStyle w:val="16"/>
      </w:rPr>
      <w:fldChar w:fldCharType="end"/>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425252"/>
    <w:multiLevelType w:val="singleLevel"/>
    <w:tmpl w:val="62425252"/>
    <w:lvl w:ilvl="0" w:tentative="0">
      <w:start w:val="1"/>
      <w:numFmt w:val="decimal"/>
      <w:suff w:val="space"/>
      <w:lvlText w:val="%1."/>
      <w:lvlJc w:val="left"/>
      <w:pPr>
        <w:ind w:left="-482"/>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HorizontalSpacing w:val="120"/>
  <w:drawingGridVerticalSpacing w:val="167"/>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NDY0sLQwNDY1NDU1NDBT0lEKTi0uzszPAykwrgUAB9wkfywAAAA="/>
    <w:docVar w:name="commondata" w:val="eyJoZGlkIjoiOTEzOWY2YzdmNjhiM2JkNDQyYTg2YTFhZjg4ODY5NTgifQ=="/>
    <w:docVar w:name="EN.Layout" w:val="&lt;ENLayout&gt;&lt;Style&gt;Environ Science Tech&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 w:name="KY_MEDREF_DOCUID" w:val="{49011110-5AA0-4A48-BD3D-DD94267065E3}"/>
    <w:docVar w:name="KY_MEDREF_VERSION" w:val="3"/>
  </w:docVars>
  <w:rsids>
    <w:rsidRoot w:val="00592D3C"/>
    <w:rsid w:val="000030B6"/>
    <w:rsid w:val="000032CD"/>
    <w:rsid w:val="00007487"/>
    <w:rsid w:val="000153AE"/>
    <w:rsid w:val="0001631B"/>
    <w:rsid w:val="00022C13"/>
    <w:rsid w:val="000239B2"/>
    <w:rsid w:val="000245AB"/>
    <w:rsid w:val="0002773E"/>
    <w:rsid w:val="000315DE"/>
    <w:rsid w:val="000412BA"/>
    <w:rsid w:val="0004186F"/>
    <w:rsid w:val="00042383"/>
    <w:rsid w:val="0004287C"/>
    <w:rsid w:val="00046EDE"/>
    <w:rsid w:val="000506F4"/>
    <w:rsid w:val="000529B6"/>
    <w:rsid w:val="00053C31"/>
    <w:rsid w:val="00062D47"/>
    <w:rsid w:val="000654A8"/>
    <w:rsid w:val="00066B25"/>
    <w:rsid w:val="00066F4C"/>
    <w:rsid w:val="000679B7"/>
    <w:rsid w:val="00071BF9"/>
    <w:rsid w:val="00072689"/>
    <w:rsid w:val="000729A4"/>
    <w:rsid w:val="000764FD"/>
    <w:rsid w:val="000819EE"/>
    <w:rsid w:val="000828AA"/>
    <w:rsid w:val="000831E6"/>
    <w:rsid w:val="00084D6A"/>
    <w:rsid w:val="0009033E"/>
    <w:rsid w:val="00090B48"/>
    <w:rsid w:val="000926B7"/>
    <w:rsid w:val="00094611"/>
    <w:rsid w:val="00095A98"/>
    <w:rsid w:val="00097FF3"/>
    <w:rsid w:val="000B0529"/>
    <w:rsid w:val="000B3371"/>
    <w:rsid w:val="000B4DBB"/>
    <w:rsid w:val="000B55E1"/>
    <w:rsid w:val="000C2D64"/>
    <w:rsid w:val="000C33BE"/>
    <w:rsid w:val="000C3975"/>
    <w:rsid w:val="000C6835"/>
    <w:rsid w:val="000D1B40"/>
    <w:rsid w:val="000D2283"/>
    <w:rsid w:val="000D266E"/>
    <w:rsid w:val="000D490F"/>
    <w:rsid w:val="000E1EA5"/>
    <w:rsid w:val="000E2380"/>
    <w:rsid w:val="000E294D"/>
    <w:rsid w:val="000E2E19"/>
    <w:rsid w:val="000E5030"/>
    <w:rsid w:val="000E6B43"/>
    <w:rsid w:val="000E73E1"/>
    <w:rsid w:val="000F32A6"/>
    <w:rsid w:val="000F64EA"/>
    <w:rsid w:val="001004ED"/>
    <w:rsid w:val="00100CEF"/>
    <w:rsid w:val="00101240"/>
    <w:rsid w:val="00106A78"/>
    <w:rsid w:val="0010794F"/>
    <w:rsid w:val="00107DA6"/>
    <w:rsid w:val="001107FA"/>
    <w:rsid w:val="00115F05"/>
    <w:rsid w:val="001165EB"/>
    <w:rsid w:val="0012103B"/>
    <w:rsid w:val="00126469"/>
    <w:rsid w:val="00132A7F"/>
    <w:rsid w:val="00135B1A"/>
    <w:rsid w:val="0014182F"/>
    <w:rsid w:val="00142665"/>
    <w:rsid w:val="001435EC"/>
    <w:rsid w:val="001437F5"/>
    <w:rsid w:val="00143A77"/>
    <w:rsid w:val="00145B01"/>
    <w:rsid w:val="00145E7B"/>
    <w:rsid w:val="00146BEF"/>
    <w:rsid w:val="00151946"/>
    <w:rsid w:val="001569F0"/>
    <w:rsid w:val="001613C3"/>
    <w:rsid w:val="00162520"/>
    <w:rsid w:val="00162CBF"/>
    <w:rsid w:val="00166A41"/>
    <w:rsid w:val="00174A8C"/>
    <w:rsid w:val="00175883"/>
    <w:rsid w:val="00176608"/>
    <w:rsid w:val="00176DB0"/>
    <w:rsid w:val="00177500"/>
    <w:rsid w:val="001816B4"/>
    <w:rsid w:val="0018300F"/>
    <w:rsid w:val="001833DB"/>
    <w:rsid w:val="001844A5"/>
    <w:rsid w:val="00187BDA"/>
    <w:rsid w:val="00191592"/>
    <w:rsid w:val="00192F29"/>
    <w:rsid w:val="00193160"/>
    <w:rsid w:val="001941C7"/>
    <w:rsid w:val="001941E9"/>
    <w:rsid w:val="001958AF"/>
    <w:rsid w:val="001A1664"/>
    <w:rsid w:val="001A3C9E"/>
    <w:rsid w:val="001A71F3"/>
    <w:rsid w:val="001A7288"/>
    <w:rsid w:val="001A763E"/>
    <w:rsid w:val="001B04CF"/>
    <w:rsid w:val="001B4544"/>
    <w:rsid w:val="001B665E"/>
    <w:rsid w:val="001B75F9"/>
    <w:rsid w:val="001C0675"/>
    <w:rsid w:val="001C383A"/>
    <w:rsid w:val="001C4F24"/>
    <w:rsid w:val="001C5F69"/>
    <w:rsid w:val="001D18FF"/>
    <w:rsid w:val="001D314D"/>
    <w:rsid w:val="001D3D26"/>
    <w:rsid w:val="001E02CD"/>
    <w:rsid w:val="001E1A4B"/>
    <w:rsid w:val="001E53F0"/>
    <w:rsid w:val="001E7624"/>
    <w:rsid w:val="001E7C5A"/>
    <w:rsid w:val="001F01DC"/>
    <w:rsid w:val="001F03CD"/>
    <w:rsid w:val="001F1B14"/>
    <w:rsid w:val="001F2827"/>
    <w:rsid w:val="001F415F"/>
    <w:rsid w:val="001F4FB0"/>
    <w:rsid w:val="001F641E"/>
    <w:rsid w:val="002055C5"/>
    <w:rsid w:val="002061D2"/>
    <w:rsid w:val="0020633E"/>
    <w:rsid w:val="00206AE2"/>
    <w:rsid w:val="00211266"/>
    <w:rsid w:val="00211C61"/>
    <w:rsid w:val="00215A48"/>
    <w:rsid w:val="00215CE9"/>
    <w:rsid w:val="00216269"/>
    <w:rsid w:val="00216425"/>
    <w:rsid w:val="002170FF"/>
    <w:rsid w:val="00220496"/>
    <w:rsid w:val="00222BB1"/>
    <w:rsid w:val="00222F5C"/>
    <w:rsid w:val="00226AF9"/>
    <w:rsid w:val="00233825"/>
    <w:rsid w:val="0023423E"/>
    <w:rsid w:val="00235404"/>
    <w:rsid w:val="00236E41"/>
    <w:rsid w:val="002371AD"/>
    <w:rsid w:val="0024211B"/>
    <w:rsid w:val="00242920"/>
    <w:rsid w:val="002452FB"/>
    <w:rsid w:val="0024719F"/>
    <w:rsid w:val="002509EB"/>
    <w:rsid w:val="00250E87"/>
    <w:rsid w:val="00252560"/>
    <w:rsid w:val="00260BC2"/>
    <w:rsid w:val="00262B84"/>
    <w:rsid w:val="00263165"/>
    <w:rsid w:val="00266D60"/>
    <w:rsid w:val="002670DD"/>
    <w:rsid w:val="00272001"/>
    <w:rsid w:val="00272173"/>
    <w:rsid w:val="0027227B"/>
    <w:rsid w:val="002744BC"/>
    <w:rsid w:val="002767A9"/>
    <w:rsid w:val="00280324"/>
    <w:rsid w:val="00285EBA"/>
    <w:rsid w:val="0028793E"/>
    <w:rsid w:val="00292FCD"/>
    <w:rsid w:val="002952F1"/>
    <w:rsid w:val="00295DC2"/>
    <w:rsid w:val="002964A7"/>
    <w:rsid w:val="00297131"/>
    <w:rsid w:val="002A0CC9"/>
    <w:rsid w:val="002A4429"/>
    <w:rsid w:val="002A4954"/>
    <w:rsid w:val="002C0B8A"/>
    <w:rsid w:val="002C6E30"/>
    <w:rsid w:val="002C760C"/>
    <w:rsid w:val="002C7C10"/>
    <w:rsid w:val="002D14CF"/>
    <w:rsid w:val="002D1B7A"/>
    <w:rsid w:val="002D1EBF"/>
    <w:rsid w:val="002D31E7"/>
    <w:rsid w:val="002D5126"/>
    <w:rsid w:val="002D6F75"/>
    <w:rsid w:val="002D7113"/>
    <w:rsid w:val="002E4AA2"/>
    <w:rsid w:val="002F0E6D"/>
    <w:rsid w:val="002F63FE"/>
    <w:rsid w:val="002F6683"/>
    <w:rsid w:val="002F7DA7"/>
    <w:rsid w:val="00302E8F"/>
    <w:rsid w:val="003031EB"/>
    <w:rsid w:val="00305C9A"/>
    <w:rsid w:val="00310EA9"/>
    <w:rsid w:val="00313565"/>
    <w:rsid w:val="00314335"/>
    <w:rsid w:val="0032026E"/>
    <w:rsid w:val="00326086"/>
    <w:rsid w:val="00330749"/>
    <w:rsid w:val="00332BE2"/>
    <w:rsid w:val="0033384D"/>
    <w:rsid w:val="00337F06"/>
    <w:rsid w:val="00343C74"/>
    <w:rsid w:val="0034414E"/>
    <w:rsid w:val="003445BA"/>
    <w:rsid w:val="00345649"/>
    <w:rsid w:val="00347D24"/>
    <w:rsid w:val="00347D35"/>
    <w:rsid w:val="00350F30"/>
    <w:rsid w:val="00352CBD"/>
    <w:rsid w:val="00353703"/>
    <w:rsid w:val="00361272"/>
    <w:rsid w:val="00365ABD"/>
    <w:rsid w:val="003709EB"/>
    <w:rsid w:val="0037178C"/>
    <w:rsid w:val="00371AB6"/>
    <w:rsid w:val="003723F3"/>
    <w:rsid w:val="0037378E"/>
    <w:rsid w:val="0037436A"/>
    <w:rsid w:val="00380293"/>
    <w:rsid w:val="003817C5"/>
    <w:rsid w:val="00381A92"/>
    <w:rsid w:val="00385991"/>
    <w:rsid w:val="003928A7"/>
    <w:rsid w:val="00392C87"/>
    <w:rsid w:val="00397952"/>
    <w:rsid w:val="003A0612"/>
    <w:rsid w:val="003A170C"/>
    <w:rsid w:val="003A1B9E"/>
    <w:rsid w:val="003B0577"/>
    <w:rsid w:val="003B150A"/>
    <w:rsid w:val="003B562B"/>
    <w:rsid w:val="003C0DFB"/>
    <w:rsid w:val="003C1C4A"/>
    <w:rsid w:val="003C2332"/>
    <w:rsid w:val="003C2E8F"/>
    <w:rsid w:val="003C5B89"/>
    <w:rsid w:val="003C6340"/>
    <w:rsid w:val="003D276A"/>
    <w:rsid w:val="003D2F54"/>
    <w:rsid w:val="003D404D"/>
    <w:rsid w:val="003E18E5"/>
    <w:rsid w:val="003E28AB"/>
    <w:rsid w:val="003E51D9"/>
    <w:rsid w:val="003E79C9"/>
    <w:rsid w:val="003F0489"/>
    <w:rsid w:val="003F55A9"/>
    <w:rsid w:val="004011F2"/>
    <w:rsid w:val="00406A24"/>
    <w:rsid w:val="00406D6E"/>
    <w:rsid w:val="00407B43"/>
    <w:rsid w:val="00410A8D"/>
    <w:rsid w:val="00410CA3"/>
    <w:rsid w:val="00410FD7"/>
    <w:rsid w:val="004116BA"/>
    <w:rsid w:val="004171E0"/>
    <w:rsid w:val="004215EC"/>
    <w:rsid w:val="00425C48"/>
    <w:rsid w:val="00426DE6"/>
    <w:rsid w:val="00427726"/>
    <w:rsid w:val="00435C79"/>
    <w:rsid w:val="00445203"/>
    <w:rsid w:val="004474FB"/>
    <w:rsid w:val="00450C7A"/>
    <w:rsid w:val="00451212"/>
    <w:rsid w:val="00452A77"/>
    <w:rsid w:val="00452ECE"/>
    <w:rsid w:val="00462575"/>
    <w:rsid w:val="004648C5"/>
    <w:rsid w:val="0046789D"/>
    <w:rsid w:val="004738AB"/>
    <w:rsid w:val="00474D0A"/>
    <w:rsid w:val="00480E83"/>
    <w:rsid w:val="00482803"/>
    <w:rsid w:val="00484C6E"/>
    <w:rsid w:val="0048701A"/>
    <w:rsid w:val="0049370F"/>
    <w:rsid w:val="00494A03"/>
    <w:rsid w:val="004965AC"/>
    <w:rsid w:val="00497608"/>
    <w:rsid w:val="004A39C4"/>
    <w:rsid w:val="004A44F0"/>
    <w:rsid w:val="004A4C4C"/>
    <w:rsid w:val="004A57C6"/>
    <w:rsid w:val="004A6E3D"/>
    <w:rsid w:val="004A7D11"/>
    <w:rsid w:val="004B3F64"/>
    <w:rsid w:val="004B6257"/>
    <w:rsid w:val="004B684C"/>
    <w:rsid w:val="004C1F2C"/>
    <w:rsid w:val="004C49BE"/>
    <w:rsid w:val="004C4B40"/>
    <w:rsid w:val="004C60DA"/>
    <w:rsid w:val="004C6C52"/>
    <w:rsid w:val="004C7C06"/>
    <w:rsid w:val="004D1DCC"/>
    <w:rsid w:val="004E2327"/>
    <w:rsid w:val="004E23A8"/>
    <w:rsid w:val="004E3A47"/>
    <w:rsid w:val="004E6C2D"/>
    <w:rsid w:val="004F045E"/>
    <w:rsid w:val="004F3FBD"/>
    <w:rsid w:val="004F5A8F"/>
    <w:rsid w:val="00505E65"/>
    <w:rsid w:val="00510111"/>
    <w:rsid w:val="0051487B"/>
    <w:rsid w:val="005208E0"/>
    <w:rsid w:val="005253AC"/>
    <w:rsid w:val="005276C8"/>
    <w:rsid w:val="00530C79"/>
    <w:rsid w:val="00530E9D"/>
    <w:rsid w:val="00531AB5"/>
    <w:rsid w:val="00531D08"/>
    <w:rsid w:val="00532F0C"/>
    <w:rsid w:val="00535F5C"/>
    <w:rsid w:val="00542262"/>
    <w:rsid w:val="0055004B"/>
    <w:rsid w:val="00551931"/>
    <w:rsid w:val="00552973"/>
    <w:rsid w:val="00554240"/>
    <w:rsid w:val="00557922"/>
    <w:rsid w:val="00557923"/>
    <w:rsid w:val="00563B4F"/>
    <w:rsid w:val="00565AD5"/>
    <w:rsid w:val="005739B5"/>
    <w:rsid w:val="00574127"/>
    <w:rsid w:val="00582260"/>
    <w:rsid w:val="0058399A"/>
    <w:rsid w:val="00585E66"/>
    <w:rsid w:val="00592D3C"/>
    <w:rsid w:val="005936C6"/>
    <w:rsid w:val="00596A00"/>
    <w:rsid w:val="005A1138"/>
    <w:rsid w:val="005A3334"/>
    <w:rsid w:val="005B1ED1"/>
    <w:rsid w:val="005B6264"/>
    <w:rsid w:val="005B7CA1"/>
    <w:rsid w:val="005C22BD"/>
    <w:rsid w:val="005C3DC5"/>
    <w:rsid w:val="005C6497"/>
    <w:rsid w:val="005C7123"/>
    <w:rsid w:val="005C75E9"/>
    <w:rsid w:val="005D1240"/>
    <w:rsid w:val="005D7DB6"/>
    <w:rsid w:val="005E06A1"/>
    <w:rsid w:val="005E30A8"/>
    <w:rsid w:val="005E5711"/>
    <w:rsid w:val="005E579C"/>
    <w:rsid w:val="005E638E"/>
    <w:rsid w:val="005F4097"/>
    <w:rsid w:val="005F698E"/>
    <w:rsid w:val="00600105"/>
    <w:rsid w:val="00602225"/>
    <w:rsid w:val="00602EA0"/>
    <w:rsid w:val="00603821"/>
    <w:rsid w:val="00604D01"/>
    <w:rsid w:val="006058C0"/>
    <w:rsid w:val="006123B1"/>
    <w:rsid w:val="006159F9"/>
    <w:rsid w:val="00616246"/>
    <w:rsid w:val="006176C8"/>
    <w:rsid w:val="0062149D"/>
    <w:rsid w:val="006248EF"/>
    <w:rsid w:val="00625328"/>
    <w:rsid w:val="006258FA"/>
    <w:rsid w:val="00625C2D"/>
    <w:rsid w:val="00626474"/>
    <w:rsid w:val="00630C6C"/>
    <w:rsid w:val="00633210"/>
    <w:rsid w:val="00635267"/>
    <w:rsid w:val="006374F1"/>
    <w:rsid w:val="00637DA6"/>
    <w:rsid w:val="00640058"/>
    <w:rsid w:val="00641437"/>
    <w:rsid w:val="00644DD8"/>
    <w:rsid w:val="0064542D"/>
    <w:rsid w:val="006457E8"/>
    <w:rsid w:val="0064589F"/>
    <w:rsid w:val="00647E3C"/>
    <w:rsid w:val="006509CD"/>
    <w:rsid w:val="00651DE2"/>
    <w:rsid w:val="0065440C"/>
    <w:rsid w:val="00655BCB"/>
    <w:rsid w:val="00660499"/>
    <w:rsid w:val="0066295A"/>
    <w:rsid w:val="006674DF"/>
    <w:rsid w:val="00670DE8"/>
    <w:rsid w:val="0067184A"/>
    <w:rsid w:val="00672669"/>
    <w:rsid w:val="0067360E"/>
    <w:rsid w:val="006737D1"/>
    <w:rsid w:val="00674AFC"/>
    <w:rsid w:val="0067549F"/>
    <w:rsid w:val="00684415"/>
    <w:rsid w:val="006849BD"/>
    <w:rsid w:val="006873F7"/>
    <w:rsid w:val="00691D9B"/>
    <w:rsid w:val="00691E3F"/>
    <w:rsid w:val="00692D24"/>
    <w:rsid w:val="00694C61"/>
    <w:rsid w:val="006A1807"/>
    <w:rsid w:val="006A3D38"/>
    <w:rsid w:val="006A6924"/>
    <w:rsid w:val="006B4077"/>
    <w:rsid w:val="006B4284"/>
    <w:rsid w:val="006B63F3"/>
    <w:rsid w:val="006B7797"/>
    <w:rsid w:val="006C1661"/>
    <w:rsid w:val="006C27B2"/>
    <w:rsid w:val="006C2AFD"/>
    <w:rsid w:val="006C31FF"/>
    <w:rsid w:val="006C3A29"/>
    <w:rsid w:val="006C6CF5"/>
    <w:rsid w:val="006D242F"/>
    <w:rsid w:val="006D3452"/>
    <w:rsid w:val="006D4532"/>
    <w:rsid w:val="006D4F9A"/>
    <w:rsid w:val="006D5CC6"/>
    <w:rsid w:val="006D69B5"/>
    <w:rsid w:val="006D6E27"/>
    <w:rsid w:val="006E20E2"/>
    <w:rsid w:val="006F4035"/>
    <w:rsid w:val="006F6AFB"/>
    <w:rsid w:val="00701BF9"/>
    <w:rsid w:val="00702065"/>
    <w:rsid w:val="007035C9"/>
    <w:rsid w:val="007051FD"/>
    <w:rsid w:val="00710810"/>
    <w:rsid w:val="0071105D"/>
    <w:rsid w:val="007130F8"/>
    <w:rsid w:val="00714702"/>
    <w:rsid w:val="00714CA8"/>
    <w:rsid w:val="00723264"/>
    <w:rsid w:val="00723A36"/>
    <w:rsid w:val="007241E0"/>
    <w:rsid w:val="00732774"/>
    <w:rsid w:val="00732AD4"/>
    <w:rsid w:val="00733761"/>
    <w:rsid w:val="00736AAA"/>
    <w:rsid w:val="00737CC5"/>
    <w:rsid w:val="00743A01"/>
    <w:rsid w:val="0074525C"/>
    <w:rsid w:val="0074530C"/>
    <w:rsid w:val="00746453"/>
    <w:rsid w:val="00746543"/>
    <w:rsid w:val="00750566"/>
    <w:rsid w:val="00750EA6"/>
    <w:rsid w:val="00751204"/>
    <w:rsid w:val="00751B70"/>
    <w:rsid w:val="00752D09"/>
    <w:rsid w:val="007564A6"/>
    <w:rsid w:val="00757FF8"/>
    <w:rsid w:val="007611AF"/>
    <w:rsid w:val="007646CD"/>
    <w:rsid w:val="0076617B"/>
    <w:rsid w:val="00770383"/>
    <w:rsid w:val="00771493"/>
    <w:rsid w:val="00772192"/>
    <w:rsid w:val="00773042"/>
    <w:rsid w:val="00776D07"/>
    <w:rsid w:val="007848D7"/>
    <w:rsid w:val="00784B00"/>
    <w:rsid w:val="00787DF5"/>
    <w:rsid w:val="007937EA"/>
    <w:rsid w:val="0079425B"/>
    <w:rsid w:val="0079509B"/>
    <w:rsid w:val="00797425"/>
    <w:rsid w:val="007A31A9"/>
    <w:rsid w:val="007A5E55"/>
    <w:rsid w:val="007B0A06"/>
    <w:rsid w:val="007B1694"/>
    <w:rsid w:val="007B2F6E"/>
    <w:rsid w:val="007B3534"/>
    <w:rsid w:val="007B3B74"/>
    <w:rsid w:val="007B48A1"/>
    <w:rsid w:val="007B52EE"/>
    <w:rsid w:val="007B7372"/>
    <w:rsid w:val="007C2EB2"/>
    <w:rsid w:val="007C3143"/>
    <w:rsid w:val="007C6385"/>
    <w:rsid w:val="007D60EF"/>
    <w:rsid w:val="007E60F5"/>
    <w:rsid w:val="007F02E7"/>
    <w:rsid w:val="007F0548"/>
    <w:rsid w:val="007F1929"/>
    <w:rsid w:val="007F35F7"/>
    <w:rsid w:val="007F4B2A"/>
    <w:rsid w:val="007F75E0"/>
    <w:rsid w:val="00803FD4"/>
    <w:rsid w:val="00805AA0"/>
    <w:rsid w:val="008061A2"/>
    <w:rsid w:val="00806245"/>
    <w:rsid w:val="00807BB3"/>
    <w:rsid w:val="008104B7"/>
    <w:rsid w:val="008105A9"/>
    <w:rsid w:val="00810722"/>
    <w:rsid w:val="0081186F"/>
    <w:rsid w:val="00815D7B"/>
    <w:rsid w:val="00821EE7"/>
    <w:rsid w:val="00825428"/>
    <w:rsid w:val="00825DF2"/>
    <w:rsid w:val="00826389"/>
    <w:rsid w:val="008317CE"/>
    <w:rsid w:val="0083446E"/>
    <w:rsid w:val="00842206"/>
    <w:rsid w:val="00843E8A"/>
    <w:rsid w:val="008452C3"/>
    <w:rsid w:val="00846625"/>
    <w:rsid w:val="0085570D"/>
    <w:rsid w:val="008605E1"/>
    <w:rsid w:val="0086069B"/>
    <w:rsid w:val="008659C9"/>
    <w:rsid w:val="00866ECC"/>
    <w:rsid w:val="008741DF"/>
    <w:rsid w:val="00875C64"/>
    <w:rsid w:val="00875C69"/>
    <w:rsid w:val="0088146A"/>
    <w:rsid w:val="00884430"/>
    <w:rsid w:val="00885169"/>
    <w:rsid w:val="00885F1D"/>
    <w:rsid w:val="008865B8"/>
    <w:rsid w:val="0089176D"/>
    <w:rsid w:val="00894FEA"/>
    <w:rsid w:val="00897477"/>
    <w:rsid w:val="008A13C3"/>
    <w:rsid w:val="008A1C48"/>
    <w:rsid w:val="008B17E8"/>
    <w:rsid w:val="008B1806"/>
    <w:rsid w:val="008B3772"/>
    <w:rsid w:val="008B70E3"/>
    <w:rsid w:val="008B73C4"/>
    <w:rsid w:val="008C1221"/>
    <w:rsid w:val="008C132D"/>
    <w:rsid w:val="008C204E"/>
    <w:rsid w:val="008C44E5"/>
    <w:rsid w:val="008D011E"/>
    <w:rsid w:val="008D157D"/>
    <w:rsid w:val="008D2EDA"/>
    <w:rsid w:val="008D53E0"/>
    <w:rsid w:val="008D6933"/>
    <w:rsid w:val="008D6D44"/>
    <w:rsid w:val="008E5153"/>
    <w:rsid w:val="008F3A5E"/>
    <w:rsid w:val="0090729C"/>
    <w:rsid w:val="009104C5"/>
    <w:rsid w:val="00910926"/>
    <w:rsid w:val="0091128F"/>
    <w:rsid w:val="009117FF"/>
    <w:rsid w:val="00912375"/>
    <w:rsid w:val="00914D82"/>
    <w:rsid w:val="00917060"/>
    <w:rsid w:val="009204E7"/>
    <w:rsid w:val="00920984"/>
    <w:rsid w:val="009259FD"/>
    <w:rsid w:val="009259FE"/>
    <w:rsid w:val="00932134"/>
    <w:rsid w:val="00932FC2"/>
    <w:rsid w:val="00937C07"/>
    <w:rsid w:val="00943D35"/>
    <w:rsid w:val="00945559"/>
    <w:rsid w:val="00947126"/>
    <w:rsid w:val="00950F74"/>
    <w:rsid w:val="009550F7"/>
    <w:rsid w:val="00965BDC"/>
    <w:rsid w:val="0097410F"/>
    <w:rsid w:val="00977050"/>
    <w:rsid w:val="00977538"/>
    <w:rsid w:val="00984DFB"/>
    <w:rsid w:val="0098514B"/>
    <w:rsid w:val="0098629B"/>
    <w:rsid w:val="00990AA0"/>
    <w:rsid w:val="0099100B"/>
    <w:rsid w:val="009952DB"/>
    <w:rsid w:val="009A087C"/>
    <w:rsid w:val="009A1283"/>
    <w:rsid w:val="009A20ED"/>
    <w:rsid w:val="009A3C58"/>
    <w:rsid w:val="009A511A"/>
    <w:rsid w:val="009A721C"/>
    <w:rsid w:val="009A744C"/>
    <w:rsid w:val="009A79A7"/>
    <w:rsid w:val="009B0271"/>
    <w:rsid w:val="009B21FF"/>
    <w:rsid w:val="009B3621"/>
    <w:rsid w:val="009B3EA7"/>
    <w:rsid w:val="009B5DA4"/>
    <w:rsid w:val="009C252E"/>
    <w:rsid w:val="009C2FCA"/>
    <w:rsid w:val="009C6CFD"/>
    <w:rsid w:val="009D4B6D"/>
    <w:rsid w:val="009D60D0"/>
    <w:rsid w:val="009E337B"/>
    <w:rsid w:val="009E5FE2"/>
    <w:rsid w:val="009F216B"/>
    <w:rsid w:val="009F5575"/>
    <w:rsid w:val="009F5B5F"/>
    <w:rsid w:val="00A01950"/>
    <w:rsid w:val="00A04792"/>
    <w:rsid w:val="00A04B40"/>
    <w:rsid w:val="00A101DC"/>
    <w:rsid w:val="00A10366"/>
    <w:rsid w:val="00A1100A"/>
    <w:rsid w:val="00A1267C"/>
    <w:rsid w:val="00A12D65"/>
    <w:rsid w:val="00A13DA8"/>
    <w:rsid w:val="00A14272"/>
    <w:rsid w:val="00A15278"/>
    <w:rsid w:val="00A23103"/>
    <w:rsid w:val="00A24DDE"/>
    <w:rsid w:val="00A26DA6"/>
    <w:rsid w:val="00A30E64"/>
    <w:rsid w:val="00A33C8E"/>
    <w:rsid w:val="00A36CA2"/>
    <w:rsid w:val="00A373D7"/>
    <w:rsid w:val="00A41F79"/>
    <w:rsid w:val="00A43C5A"/>
    <w:rsid w:val="00A45A42"/>
    <w:rsid w:val="00A5479A"/>
    <w:rsid w:val="00A554D7"/>
    <w:rsid w:val="00A55C9E"/>
    <w:rsid w:val="00A5762D"/>
    <w:rsid w:val="00A60FA4"/>
    <w:rsid w:val="00A67E74"/>
    <w:rsid w:val="00A705F4"/>
    <w:rsid w:val="00A73DB0"/>
    <w:rsid w:val="00A75CD1"/>
    <w:rsid w:val="00A76FB3"/>
    <w:rsid w:val="00A808B6"/>
    <w:rsid w:val="00A835B5"/>
    <w:rsid w:val="00A836AC"/>
    <w:rsid w:val="00A846B9"/>
    <w:rsid w:val="00A849B0"/>
    <w:rsid w:val="00A863B9"/>
    <w:rsid w:val="00A87DEE"/>
    <w:rsid w:val="00A9008D"/>
    <w:rsid w:val="00A90503"/>
    <w:rsid w:val="00A91B7D"/>
    <w:rsid w:val="00A9324A"/>
    <w:rsid w:val="00AA09E9"/>
    <w:rsid w:val="00AA3BC3"/>
    <w:rsid w:val="00AA3FD2"/>
    <w:rsid w:val="00AA5AD6"/>
    <w:rsid w:val="00AA7064"/>
    <w:rsid w:val="00AA78CE"/>
    <w:rsid w:val="00AB3C9E"/>
    <w:rsid w:val="00AB5465"/>
    <w:rsid w:val="00AB589F"/>
    <w:rsid w:val="00AC1219"/>
    <w:rsid w:val="00AC1F68"/>
    <w:rsid w:val="00AC5AB9"/>
    <w:rsid w:val="00AC5E37"/>
    <w:rsid w:val="00AC664F"/>
    <w:rsid w:val="00AC770F"/>
    <w:rsid w:val="00AD003D"/>
    <w:rsid w:val="00AD0C6C"/>
    <w:rsid w:val="00AD538F"/>
    <w:rsid w:val="00AD5AE2"/>
    <w:rsid w:val="00AE1B91"/>
    <w:rsid w:val="00AE2054"/>
    <w:rsid w:val="00AE3A8B"/>
    <w:rsid w:val="00AF2931"/>
    <w:rsid w:val="00AF4A2B"/>
    <w:rsid w:val="00AF6207"/>
    <w:rsid w:val="00B01934"/>
    <w:rsid w:val="00B02216"/>
    <w:rsid w:val="00B05CCE"/>
    <w:rsid w:val="00B10547"/>
    <w:rsid w:val="00B15A7F"/>
    <w:rsid w:val="00B30D56"/>
    <w:rsid w:val="00B3186A"/>
    <w:rsid w:val="00B34044"/>
    <w:rsid w:val="00B40986"/>
    <w:rsid w:val="00B42216"/>
    <w:rsid w:val="00B42423"/>
    <w:rsid w:val="00B43991"/>
    <w:rsid w:val="00B555F7"/>
    <w:rsid w:val="00B56CA6"/>
    <w:rsid w:val="00B57BEF"/>
    <w:rsid w:val="00B64CA4"/>
    <w:rsid w:val="00B7235C"/>
    <w:rsid w:val="00B72F7F"/>
    <w:rsid w:val="00B733B3"/>
    <w:rsid w:val="00B73A19"/>
    <w:rsid w:val="00B758F8"/>
    <w:rsid w:val="00B764AD"/>
    <w:rsid w:val="00B7680B"/>
    <w:rsid w:val="00B80F08"/>
    <w:rsid w:val="00B8206E"/>
    <w:rsid w:val="00B9239D"/>
    <w:rsid w:val="00B941BD"/>
    <w:rsid w:val="00B9427A"/>
    <w:rsid w:val="00B97C39"/>
    <w:rsid w:val="00BA17CB"/>
    <w:rsid w:val="00BA27A7"/>
    <w:rsid w:val="00BB10B4"/>
    <w:rsid w:val="00BB1578"/>
    <w:rsid w:val="00BB3409"/>
    <w:rsid w:val="00BB41AA"/>
    <w:rsid w:val="00BB7E56"/>
    <w:rsid w:val="00BC18D2"/>
    <w:rsid w:val="00BC3554"/>
    <w:rsid w:val="00BC54FF"/>
    <w:rsid w:val="00BC7C54"/>
    <w:rsid w:val="00BD0035"/>
    <w:rsid w:val="00BD3E1F"/>
    <w:rsid w:val="00BD5EF7"/>
    <w:rsid w:val="00BE2931"/>
    <w:rsid w:val="00BE2CD0"/>
    <w:rsid w:val="00BE4C0E"/>
    <w:rsid w:val="00BE4D5E"/>
    <w:rsid w:val="00BE694B"/>
    <w:rsid w:val="00BE6EA6"/>
    <w:rsid w:val="00BF0C58"/>
    <w:rsid w:val="00BF1FD2"/>
    <w:rsid w:val="00BF462C"/>
    <w:rsid w:val="00C0061B"/>
    <w:rsid w:val="00C01526"/>
    <w:rsid w:val="00C02C24"/>
    <w:rsid w:val="00C033D0"/>
    <w:rsid w:val="00C040AE"/>
    <w:rsid w:val="00C04479"/>
    <w:rsid w:val="00C05310"/>
    <w:rsid w:val="00C10408"/>
    <w:rsid w:val="00C1445A"/>
    <w:rsid w:val="00C14F61"/>
    <w:rsid w:val="00C2077E"/>
    <w:rsid w:val="00C25535"/>
    <w:rsid w:val="00C30023"/>
    <w:rsid w:val="00C3186C"/>
    <w:rsid w:val="00C325DF"/>
    <w:rsid w:val="00C33292"/>
    <w:rsid w:val="00C35941"/>
    <w:rsid w:val="00C36A3E"/>
    <w:rsid w:val="00C376DB"/>
    <w:rsid w:val="00C42B87"/>
    <w:rsid w:val="00C44B92"/>
    <w:rsid w:val="00C44C39"/>
    <w:rsid w:val="00C517C3"/>
    <w:rsid w:val="00C5190E"/>
    <w:rsid w:val="00C51C60"/>
    <w:rsid w:val="00C52AC8"/>
    <w:rsid w:val="00C5415D"/>
    <w:rsid w:val="00C6359D"/>
    <w:rsid w:val="00C649C8"/>
    <w:rsid w:val="00C6632F"/>
    <w:rsid w:val="00C667AC"/>
    <w:rsid w:val="00C705E4"/>
    <w:rsid w:val="00C75F10"/>
    <w:rsid w:val="00C84964"/>
    <w:rsid w:val="00C85CC5"/>
    <w:rsid w:val="00C86338"/>
    <w:rsid w:val="00C863F2"/>
    <w:rsid w:val="00C86923"/>
    <w:rsid w:val="00C90331"/>
    <w:rsid w:val="00C91110"/>
    <w:rsid w:val="00C95FA1"/>
    <w:rsid w:val="00CA00BC"/>
    <w:rsid w:val="00CA0B4D"/>
    <w:rsid w:val="00CA20CC"/>
    <w:rsid w:val="00CA528C"/>
    <w:rsid w:val="00CA56B6"/>
    <w:rsid w:val="00CA61DB"/>
    <w:rsid w:val="00CB041B"/>
    <w:rsid w:val="00CB20D8"/>
    <w:rsid w:val="00CB22C3"/>
    <w:rsid w:val="00CB4086"/>
    <w:rsid w:val="00CB4FD1"/>
    <w:rsid w:val="00CB714B"/>
    <w:rsid w:val="00CC0AEB"/>
    <w:rsid w:val="00CC1A4E"/>
    <w:rsid w:val="00CC2DCC"/>
    <w:rsid w:val="00CC635F"/>
    <w:rsid w:val="00CC6945"/>
    <w:rsid w:val="00CD0DFB"/>
    <w:rsid w:val="00CD12D2"/>
    <w:rsid w:val="00CD4844"/>
    <w:rsid w:val="00CD4DB0"/>
    <w:rsid w:val="00CD55F8"/>
    <w:rsid w:val="00CD56E3"/>
    <w:rsid w:val="00CD67FC"/>
    <w:rsid w:val="00CE088D"/>
    <w:rsid w:val="00CE7055"/>
    <w:rsid w:val="00CF63B1"/>
    <w:rsid w:val="00CF76B6"/>
    <w:rsid w:val="00D004ED"/>
    <w:rsid w:val="00D01204"/>
    <w:rsid w:val="00D031DB"/>
    <w:rsid w:val="00D073FE"/>
    <w:rsid w:val="00D1611F"/>
    <w:rsid w:val="00D17F2E"/>
    <w:rsid w:val="00D22B19"/>
    <w:rsid w:val="00D2325C"/>
    <w:rsid w:val="00D27232"/>
    <w:rsid w:val="00D30AB4"/>
    <w:rsid w:val="00D31E32"/>
    <w:rsid w:val="00D339E0"/>
    <w:rsid w:val="00D33EA8"/>
    <w:rsid w:val="00D37697"/>
    <w:rsid w:val="00D37B51"/>
    <w:rsid w:val="00D501C5"/>
    <w:rsid w:val="00D501F8"/>
    <w:rsid w:val="00D517D4"/>
    <w:rsid w:val="00D51BBE"/>
    <w:rsid w:val="00D543C3"/>
    <w:rsid w:val="00D6030F"/>
    <w:rsid w:val="00D617F5"/>
    <w:rsid w:val="00D626B6"/>
    <w:rsid w:val="00D62D46"/>
    <w:rsid w:val="00D6472B"/>
    <w:rsid w:val="00D67DD2"/>
    <w:rsid w:val="00D71264"/>
    <w:rsid w:val="00D71AD0"/>
    <w:rsid w:val="00D74086"/>
    <w:rsid w:val="00D77A96"/>
    <w:rsid w:val="00D77BD4"/>
    <w:rsid w:val="00D83F8A"/>
    <w:rsid w:val="00D8506C"/>
    <w:rsid w:val="00D87709"/>
    <w:rsid w:val="00D9168F"/>
    <w:rsid w:val="00D91DBE"/>
    <w:rsid w:val="00D9396D"/>
    <w:rsid w:val="00D94290"/>
    <w:rsid w:val="00D9488F"/>
    <w:rsid w:val="00DA0BBB"/>
    <w:rsid w:val="00DA11F5"/>
    <w:rsid w:val="00DA1306"/>
    <w:rsid w:val="00DA15E6"/>
    <w:rsid w:val="00DA5409"/>
    <w:rsid w:val="00DA5D51"/>
    <w:rsid w:val="00DA630D"/>
    <w:rsid w:val="00DA66E2"/>
    <w:rsid w:val="00DA6EE3"/>
    <w:rsid w:val="00DA76B6"/>
    <w:rsid w:val="00DB023A"/>
    <w:rsid w:val="00DB07CB"/>
    <w:rsid w:val="00DB6067"/>
    <w:rsid w:val="00DB6659"/>
    <w:rsid w:val="00DC1E5B"/>
    <w:rsid w:val="00DC2737"/>
    <w:rsid w:val="00DC33C1"/>
    <w:rsid w:val="00DC5CFD"/>
    <w:rsid w:val="00DD0AA9"/>
    <w:rsid w:val="00DD28EA"/>
    <w:rsid w:val="00DD2F39"/>
    <w:rsid w:val="00DD3077"/>
    <w:rsid w:val="00DD4C36"/>
    <w:rsid w:val="00DD67FA"/>
    <w:rsid w:val="00DE1D9B"/>
    <w:rsid w:val="00DF022A"/>
    <w:rsid w:val="00DF3FE9"/>
    <w:rsid w:val="00DF514B"/>
    <w:rsid w:val="00DF5B85"/>
    <w:rsid w:val="00DF5CD9"/>
    <w:rsid w:val="00DF6E80"/>
    <w:rsid w:val="00DF76D4"/>
    <w:rsid w:val="00E024F7"/>
    <w:rsid w:val="00E02ADF"/>
    <w:rsid w:val="00E04206"/>
    <w:rsid w:val="00E06D31"/>
    <w:rsid w:val="00E07BF9"/>
    <w:rsid w:val="00E173F0"/>
    <w:rsid w:val="00E17CF1"/>
    <w:rsid w:val="00E27E0E"/>
    <w:rsid w:val="00E36896"/>
    <w:rsid w:val="00E40F95"/>
    <w:rsid w:val="00E43B76"/>
    <w:rsid w:val="00E506EA"/>
    <w:rsid w:val="00E548EA"/>
    <w:rsid w:val="00E54C2C"/>
    <w:rsid w:val="00E551D1"/>
    <w:rsid w:val="00E61426"/>
    <w:rsid w:val="00E62657"/>
    <w:rsid w:val="00E65284"/>
    <w:rsid w:val="00E66C4D"/>
    <w:rsid w:val="00E70EDE"/>
    <w:rsid w:val="00E7413D"/>
    <w:rsid w:val="00E74395"/>
    <w:rsid w:val="00E75EAC"/>
    <w:rsid w:val="00E805F7"/>
    <w:rsid w:val="00E80CAC"/>
    <w:rsid w:val="00E83305"/>
    <w:rsid w:val="00E857BF"/>
    <w:rsid w:val="00E9248B"/>
    <w:rsid w:val="00E947E8"/>
    <w:rsid w:val="00EA287B"/>
    <w:rsid w:val="00EA6283"/>
    <w:rsid w:val="00EA6963"/>
    <w:rsid w:val="00EA7437"/>
    <w:rsid w:val="00EB0699"/>
    <w:rsid w:val="00EB27C9"/>
    <w:rsid w:val="00EB54E5"/>
    <w:rsid w:val="00EB780E"/>
    <w:rsid w:val="00EC4432"/>
    <w:rsid w:val="00ED035F"/>
    <w:rsid w:val="00EE1411"/>
    <w:rsid w:val="00EE2015"/>
    <w:rsid w:val="00EE212A"/>
    <w:rsid w:val="00EE5641"/>
    <w:rsid w:val="00EE60C2"/>
    <w:rsid w:val="00EE7857"/>
    <w:rsid w:val="00EE7B5D"/>
    <w:rsid w:val="00EF21FD"/>
    <w:rsid w:val="00EF3CCE"/>
    <w:rsid w:val="00EF5D79"/>
    <w:rsid w:val="00F02620"/>
    <w:rsid w:val="00F07490"/>
    <w:rsid w:val="00F101ED"/>
    <w:rsid w:val="00F1057D"/>
    <w:rsid w:val="00F14320"/>
    <w:rsid w:val="00F166B8"/>
    <w:rsid w:val="00F20C38"/>
    <w:rsid w:val="00F27382"/>
    <w:rsid w:val="00F32C11"/>
    <w:rsid w:val="00F40DF8"/>
    <w:rsid w:val="00F45003"/>
    <w:rsid w:val="00F47364"/>
    <w:rsid w:val="00F47ECE"/>
    <w:rsid w:val="00F51071"/>
    <w:rsid w:val="00F54F75"/>
    <w:rsid w:val="00F56B0E"/>
    <w:rsid w:val="00F56DB6"/>
    <w:rsid w:val="00F602CD"/>
    <w:rsid w:val="00F61245"/>
    <w:rsid w:val="00F61FE7"/>
    <w:rsid w:val="00F626F2"/>
    <w:rsid w:val="00F62D8F"/>
    <w:rsid w:val="00F645F5"/>
    <w:rsid w:val="00F70ADF"/>
    <w:rsid w:val="00F73268"/>
    <w:rsid w:val="00F74295"/>
    <w:rsid w:val="00F818A7"/>
    <w:rsid w:val="00F818E5"/>
    <w:rsid w:val="00F822BB"/>
    <w:rsid w:val="00F837A6"/>
    <w:rsid w:val="00F86884"/>
    <w:rsid w:val="00F86CFC"/>
    <w:rsid w:val="00F93158"/>
    <w:rsid w:val="00FA4F45"/>
    <w:rsid w:val="00FA502C"/>
    <w:rsid w:val="00FA61A3"/>
    <w:rsid w:val="00FA7451"/>
    <w:rsid w:val="00FA7F9F"/>
    <w:rsid w:val="00FA7FC7"/>
    <w:rsid w:val="00FB10EC"/>
    <w:rsid w:val="00FB1600"/>
    <w:rsid w:val="00FB2332"/>
    <w:rsid w:val="00FB2DA2"/>
    <w:rsid w:val="00FB7C2A"/>
    <w:rsid w:val="00FC3786"/>
    <w:rsid w:val="00FC5A30"/>
    <w:rsid w:val="00FD1F72"/>
    <w:rsid w:val="00FD6ACA"/>
    <w:rsid w:val="00FE1110"/>
    <w:rsid w:val="00FE57D8"/>
    <w:rsid w:val="00FE6F44"/>
    <w:rsid w:val="00FE7EAC"/>
    <w:rsid w:val="00FF290D"/>
    <w:rsid w:val="00FF2A8D"/>
    <w:rsid w:val="00FF405E"/>
    <w:rsid w:val="00FF5944"/>
    <w:rsid w:val="0BD367E5"/>
    <w:rsid w:val="0C2F3873"/>
    <w:rsid w:val="13A37271"/>
    <w:rsid w:val="14A7CF27"/>
    <w:rsid w:val="16E1772D"/>
    <w:rsid w:val="1B2453F7"/>
    <w:rsid w:val="1D672549"/>
    <w:rsid w:val="1D8A1D4B"/>
    <w:rsid w:val="1DE51175"/>
    <w:rsid w:val="1FA83DA6"/>
    <w:rsid w:val="21816CB2"/>
    <w:rsid w:val="254B4C2D"/>
    <w:rsid w:val="26DD170E"/>
    <w:rsid w:val="2A404036"/>
    <w:rsid w:val="349703E3"/>
    <w:rsid w:val="385355BE"/>
    <w:rsid w:val="3B4B40F6"/>
    <w:rsid w:val="42DC242C"/>
    <w:rsid w:val="50E819B3"/>
    <w:rsid w:val="562C49F1"/>
    <w:rsid w:val="578C0A41"/>
    <w:rsid w:val="648F6167"/>
    <w:rsid w:val="65D32B6F"/>
    <w:rsid w:val="6CCD7DBF"/>
    <w:rsid w:val="6CE614E6"/>
    <w:rsid w:val="6DB31F2F"/>
    <w:rsid w:val="718B5B28"/>
    <w:rsid w:val="73FCED4C"/>
    <w:rsid w:val="7679D98E"/>
    <w:rsid w:val="77F7FD30"/>
    <w:rsid w:val="9CE33A45"/>
    <w:rsid w:val="BBFD3934"/>
    <w:rsid w:val="BEA5353A"/>
    <w:rsid w:val="CBFEEF25"/>
    <w:rsid w:val="D35D617D"/>
    <w:rsid w:val="EC3CD131"/>
    <w:rsid w:val="F5FF4E22"/>
    <w:rsid w:val="F77FC768"/>
    <w:rsid w:val="F7F1692B"/>
    <w:rsid w:val="FB879433"/>
    <w:rsid w:val="FEAA7651"/>
    <w:rsid w:val="FF1FCA00"/>
    <w:rsid w:val="FF9EEFD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qFormat="1" w:uiPriority="99" w:semiHidden="0"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sz w:val="24"/>
      <w:szCs w:val="24"/>
      <w:lang w:val="en-US" w:eastAsia="ja-JP" w:bidi="ar-SA"/>
    </w:rPr>
  </w:style>
  <w:style w:type="paragraph" w:styleId="2">
    <w:name w:val="heading 1"/>
    <w:basedOn w:val="1"/>
    <w:next w:val="1"/>
    <w:link w:val="3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9"/>
    <w:unhideWhenUsed/>
    <w:qFormat/>
    <w:uiPriority w:val="9"/>
    <w:pPr>
      <w:keepNext/>
      <w:keepLines/>
      <w:spacing w:before="260" w:after="260" w:line="416" w:lineRule="auto"/>
      <w:outlineLvl w:val="1"/>
    </w:pPr>
    <w:rPr>
      <w:rFonts w:ascii="Times New Roman" w:hAnsi="Times New Roman" w:eastAsiaTheme="majorEastAsia" w:cstheme="majorBidi"/>
      <w:b/>
      <w:bCs/>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4"/>
    <w:unhideWhenUsed/>
    <w:qFormat/>
    <w:uiPriority w:val="99"/>
  </w:style>
  <w:style w:type="paragraph" w:styleId="5">
    <w:name w:val="Balloon Text"/>
    <w:basedOn w:val="1"/>
    <w:link w:val="20"/>
    <w:unhideWhenUsed/>
    <w:qFormat/>
    <w:uiPriority w:val="99"/>
    <w:rPr>
      <w:sz w:val="18"/>
      <w:szCs w:val="18"/>
    </w:rPr>
  </w:style>
  <w:style w:type="paragraph" w:styleId="6">
    <w:name w:val="footer"/>
    <w:basedOn w:val="1"/>
    <w:link w:val="28"/>
    <w:unhideWhenUsed/>
    <w:qFormat/>
    <w:uiPriority w:val="99"/>
    <w:pPr>
      <w:tabs>
        <w:tab w:val="center" w:pos="4153"/>
        <w:tab w:val="right" w:pos="8306"/>
      </w:tabs>
      <w:snapToGrid w:val="0"/>
    </w:pPr>
    <w:rPr>
      <w:sz w:val="18"/>
      <w:szCs w:val="18"/>
    </w:rPr>
  </w:style>
  <w:style w:type="paragraph" w:styleId="7">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qFormat/>
    <w:uiPriority w:val="39"/>
  </w:style>
  <w:style w:type="paragraph" w:styleId="9">
    <w:name w:val="toc 2"/>
    <w:basedOn w:val="1"/>
    <w:next w:val="1"/>
    <w:unhideWhenUsed/>
    <w:qFormat/>
    <w:uiPriority w:val="39"/>
    <w:pPr>
      <w:ind w:left="420" w:leftChars="200"/>
    </w:pPr>
  </w:style>
  <w:style w:type="paragraph" w:styleId="10">
    <w:name w:val="Normal (Web)"/>
    <w:basedOn w:val="1"/>
    <w:unhideWhenUsed/>
    <w:qFormat/>
    <w:uiPriority w:val="99"/>
    <w:pPr>
      <w:spacing w:before="100" w:beforeAutospacing="1" w:after="100" w:afterAutospacing="1"/>
    </w:pPr>
    <w:rPr>
      <w:rFonts w:ascii="宋体" w:hAnsi="宋体" w:eastAsia="宋体" w:cs="宋体"/>
      <w:lang w:eastAsia="zh-CN"/>
    </w:rPr>
  </w:style>
  <w:style w:type="paragraph" w:styleId="11">
    <w:name w:val="annotation subject"/>
    <w:basedOn w:val="4"/>
    <w:next w:val="4"/>
    <w:link w:val="35"/>
    <w:unhideWhenUsed/>
    <w:qFormat/>
    <w:uiPriority w:val="99"/>
    <w:rPr>
      <w:b/>
      <w:bCs/>
      <w:sz w:val="20"/>
      <w:szCs w:val="20"/>
    </w:rPr>
  </w:style>
  <w:style w:type="table" w:styleId="13">
    <w:name w:val="Table Grid"/>
    <w:basedOn w:val="1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22"/>
    <w:rPr>
      <w:b/>
      <w:bCs/>
    </w:rPr>
  </w:style>
  <w:style w:type="character" w:styleId="16">
    <w:name w:val="page number"/>
    <w:basedOn w:val="14"/>
    <w:unhideWhenUsed/>
    <w:qFormat/>
    <w:uiPriority w:val="99"/>
  </w:style>
  <w:style w:type="character" w:styleId="17">
    <w:name w:val="line number"/>
    <w:basedOn w:val="14"/>
    <w:unhideWhenUsed/>
    <w:qFormat/>
    <w:uiPriority w:val="99"/>
  </w:style>
  <w:style w:type="character" w:styleId="18">
    <w:name w:val="Hyperlink"/>
    <w:basedOn w:val="14"/>
    <w:unhideWhenUsed/>
    <w:qFormat/>
    <w:uiPriority w:val="99"/>
    <w:rPr>
      <w:color w:val="0000FF" w:themeColor="hyperlink"/>
      <w:u w:val="single"/>
      <w14:textFill>
        <w14:solidFill>
          <w14:schemeClr w14:val="hlink"/>
        </w14:solidFill>
      </w14:textFill>
    </w:rPr>
  </w:style>
  <w:style w:type="character" w:styleId="19">
    <w:name w:val="annotation reference"/>
    <w:basedOn w:val="14"/>
    <w:unhideWhenUsed/>
    <w:qFormat/>
    <w:uiPriority w:val="99"/>
    <w:rPr>
      <w:sz w:val="18"/>
      <w:szCs w:val="18"/>
    </w:rPr>
  </w:style>
  <w:style w:type="character" w:customStyle="1" w:styleId="20">
    <w:name w:val="批注框文本 字符"/>
    <w:basedOn w:val="14"/>
    <w:link w:val="5"/>
    <w:semiHidden/>
    <w:qFormat/>
    <w:uiPriority w:val="99"/>
    <w:rPr>
      <w:kern w:val="0"/>
      <w:sz w:val="18"/>
      <w:szCs w:val="18"/>
      <w:lang w:eastAsia="ja-JP"/>
    </w:rPr>
  </w:style>
  <w:style w:type="table" w:customStyle="1" w:styleId="21">
    <w:name w:val="Table Grid1"/>
    <w:basedOn w:val="12"/>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22">
    <w:name w:val="列出段落1"/>
    <w:basedOn w:val="1"/>
    <w:link w:val="30"/>
    <w:qFormat/>
    <w:uiPriority w:val="34"/>
    <w:pPr>
      <w:ind w:left="720"/>
      <w:contextualSpacing/>
    </w:pPr>
    <w:rPr>
      <w:rFonts w:ascii="Times New Roman" w:hAnsi="Times New Roman" w:cs="Times New Roman"/>
      <w:szCs w:val="22"/>
      <w:lang w:eastAsia="en-US"/>
    </w:rPr>
  </w:style>
  <w:style w:type="paragraph" w:customStyle="1" w:styleId="23">
    <w:name w:val="无间隔1"/>
    <w:basedOn w:val="1"/>
    <w:link w:val="24"/>
    <w:qFormat/>
    <w:uiPriority w:val="1"/>
    <w:rPr>
      <w:rFonts w:ascii="Times New Roman" w:hAnsi="Times New Roman" w:cs="Times New Roman"/>
      <w:szCs w:val="22"/>
      <w:lang w:eastAsia="en-US"/>
    </w:rPr>
  </w:style>
  <w:style w:type="character" w:customStyle="1" w:styleId="24">
    <w:name w:val="无间隔 字符"/>
    <w:basedOn w:val="14"/>
    <w:link w:val="23"/>
    <w:qFormat/>
    <w:locked/>
    <w:uiPriority w:val="1"/>
    <w:rPr>
      <w:rFonts w:ascii="Times New Roman" w:hAnsi="Times New Roman" w:cs="Times New Roman"/>
      <w:kern w:val="0"/>
      <w:sz w:val="24"/>
      <w:lang w:eastAsia="en-US"/>
    </w:rPr>
  </w:style>
  <w:style w:type="character" w:customStyle="1" w:styleId="25">
    <w:name w:val="apple-converted-space"/>
    <w:basedOn w:val="14"/>
    <w:qFormat/>
    <w:uiPriority w:val="0"/>
  </w:style>
  <w:style w:type="paragraph" w:customStyle="1" w:styleId="26">
    <w:name w:val="Default"/>
    <w:qFormat/>
    <w:uiPriority w:val="0"/>
    <w:pPr>
      <w:widowControl w:val="0"/>
      <w:autoSpaceDE w:val="0"/>
      <w:autoSpaceDN w:val="0"/>
      <w:adjustRightInd w:val="0"/>
    </w:pPr>
    <w:rPr>
      <w:rFonts w:ascii="Times New Roman" w:hAnsi="Times New Roman" w:cs="Times New Roman" w:eastAsiaTheme="minorEastAsia"/>
      <w:color w:val="000000"/>
      <w:sz w:val="24"/>
      <w:szCs w:val="24"/>
      <w:lang w:val="en-US" w:eastAsia="zh-CN" w:bidi="ar-SA"/>
    </w:rPr>
  </w:style>
  <w:style w:type="character" w:customStyle="1" w:styleId="27">
    <w:name w:val="页眉 字符"/>
    <w:basedOn w:val="14"/>
    <w:link w:val="7"/>
    <w:qFormat/>
    <w:uiPriority w:val="99"/>
    <w:rPr>
      <w:kern w:val="0"/>
      <w:sz w:val="18"/>
      <w:szCs w:val="18"/>
      <w:lang w:eastAsia="ja-JP"/>
    </w:rPr>
  </w:style>
  <w:style w:type="character" w:customStyle="1" w:styleId="28">
    <w:name w:val="页脚 字符"/>
    <w:basedOn w:val="14"/>
    <w:link w:val="6"/>
    <w:qFormat/>
    <w:uiPriority w:val="99"/>
    <w:rPr>
      <w:kern w:val="0"/>
      <w:sz w:val="18"/>
      <w:szCs w:val="18"/>
      <w:lang w:eastAsia="ja-JP"/>
    </w:rPr>
  </w:style>
  <w:style w:type="paragraph" w:customStyle="1" w:styleId="29">
    <w:name w:val="EndNote Bibliography Title"/>
    <w:basedOn w:val="1"/>
    <w:link w:val="31"/>
    <w:qFormat/>
    <w:uiPriority w:val="0"/>
    <w:pPr>
      <w:jc w:val="center"/>
    </w:pPr>
    <w:rPr>
      <w:rFonts w:ascii="Calibri" w:hAnsi="Calibri" w:cs="Calibri"/>
    </w:rPr>
  </w:style>
  <w:style w:type="character" w:customStyle="1" w:styleId="30">
    <w:name w:val="列出段落 字符"/>
    <w:basedOn w:val="14"/>
    <w:link w:val="22"/>
    <w:qFormat/>
    <w:uiPriority w:val="34"/>
    <w:rPr>
      <w:rFonts w:ascii="Times New Roman" w:hAnsi="Times New Roman" w:cs="Times New Roman"/>
      <w:kern w:val="0"/>
      <w:sz w:val="24"/>
      <w:lang w:eastAsia="en-US"/>
    </w:rPr>
  </w:style>
  <w:style w:type="character" w:customStyle="1" w:styleId="31">
    <w:name w:val="EndNote Bibliography Title Char"/>
    <w:basedOn w:val="30"/>
    <w:link w:val="29"/>
    <w:qFormat/>
    <w:uiPriority w:val="0"/>
    <w:rPr>
      <w:rFonts w:ascii="Calibri" w:hAnsi="Calibri" w:cs="Calibri"/>
      <w:kern w:val="0"/>
      <w:sz w:val="24"/>
      <w:szCs w:val="24"/>
      <w:lang w:eastAsia="ja-JP"/>
    </w:rPr>
  </w:style>
  <w:style w:type="paragraph" w:customStyle="1" w:styleId="32">
    <w:name w:val="EndNote Bibliography"/>
    <w:basedOn w:val="1"/>
    <w:link w:val="33"/>
    <w:qFormat/>
    <w:uiPriority w:val="0"/>
    <w:rPr>
      <w:rFonts w:ascii="Calibri" w:hAnsi="Calibri" w:cs="Calibri"/>
    </w:rPr>
  </w:style>
  <w:style w:type="character" w:customStyle="1" w:styleId="33">
    <w:name w:val="EndNote Bibliography Char"/>
    <w:basedOn w:val="30"/>
    <w:link w:val="32"/>
    <w:qFormat/>
    <w:uiPriority w:val="0"/>
    <w:rPr>
      <w:rFonts w:ascii="Calibri" w:hAnsi="Calibri" w:cs="Calibri"/>
      <w:kern w:val="0"/>
      <w:sz w:val="24"/>
      <w:szCs w:val="24"/>
      <w:lang w:eastAsia="ja-JP"/>
    </w:rPr>
  </w:style>
  <w:style w:type="character" w:customStyle="1" w:styleId="34">
    <w:name w:val="批注文字 字符"/>
    <w:basedOn w:val="14"/>
    <w:link w:val="4"/>
    <w:semiHidden/>
    <w:qFormat/>
    <w:uiPriority w:val="99"/>
    <w:rPr>
      <w:kern w:val="0"/>
      <w:sz w:val="24"/>
      <w:szCs w:val="24"/>
      <w:lang w:eastAsia="ja-JP"/>
    </w:rPr>
  </w:style>
  <w:style w:type="character" w:customStyle="1" w:styleId="35">
    <w:name w:val="批注主题 字符"/>
    <w:basedOn w:val="34"/>
    <w:link w:val="11"/>
    <w:semiHidden/>
    <w:qFormat/>
    <w:uiPriority w:val="99"/>
    <w:rPr>
      <w:b/>
      <w:bCs/>
      <w:kern w:val="0"/>
      <w:sz w:val="20"/>
      <w:szCs w:val="20"/>
      <w:lang w:eastAsia="ja-JP"/>
    </w:rPr>
  </w:style>
  <w:style w:type="paragraph" w:customStyle="1" w:styleId="36">
    <w:name w:val="Revision1"/>
    <w:hidden/>
    <w:semiHidden/>
    <w:qFormat/>
    <w:uiPriority w:val="99"/>
    <w:rPr>
      <w:rFonts w:asciiTheme="minorHAnsi" w:hAnsiTheme="minorHAnsi" w:eastAsiaTheme="minorEastAsia" w:cstheme="minorBidi"/>
      <w:sz w:val="24"/>
      <w:szCs w:val="24"/>
      <w:lang w:val="en-US" w:eastAsia="ja-JP" w:bidi="ar-SA"/>
    </w:rPr>
  </w:style>
  <w:style w:type="character" w:customStyle="1" w:styleId="37">
    <w:name w:val="Subtle Reference1"/>
    <w:basedOn w:val="14"/>
    <w:qFormat/>
    <w:uiPriority w:val="31"/>
    <w:rPr>
      <w:smallCaps/>
      <w:color w:val="C0504D" w:themeColor="accent2"/>
      <w:u w:val="single"/>
      <w14:textFill>
        <w14:solidFill>
          <w14:schemeClr w14:val="accent2"/>
        </w14:solidFill>
      </w14:textFill>
    </w:rPr>
  </w:style>
  <w:style w:type="character" w:customStyle="1" w:styleId="38">
    <w:name w:val="标题 1 字符"/>
    <w:basedOn w:val="14"/>
    <w:link w:val="2"/>
    <w:qFormat/>
    <w:uiPriority w:val="9"/>
    <w:rPr>
      <w:b/>
      <w:bCs/>
      <w:kern w:val="44"/>
      <w:sz w:val="44"/>
      <w:szCs w:val="44"/>
      <w:lang w:eastAsia="ja-JP"/>
    </w:rPr>
  </w:style>
  <w:style w:type="character" w:customStyle="1" w:styleId="39">
    <w:name w:val="标题 2 字符"/>
    <w:basedOn w:val="14"/>
    <w:link w:val="3"/>
    <w:qFormat/>
    <w:uiPriority w:val="9"/>
    <w:rPr>
      <w:rFonts w:ascii="Times New Roman" w:hAnsi="Times New Roman" w:eastAsiaTheme="majorEastAsia" w:cstheme="majorBidi"/>
      <w:b/>
      <w:bCs/>
      <w:kern w:val="0"/>
      <w:sz w:val="24"/>
      <w:szCs w:val="32"/>
      <w:lang w:eastAsia="ja-JP"/>
    </w:rPr>
  </w:style>
  <w:style w:type="paragraph" w:customStyle="1" w:styleId="40">
    <w:name w:val="TOC Heading1"/>
    <w:basedOn w:val="2"/>
    <w:next w:val="1"/>
    <w:unhideWhenUsed/>
    <w:qFormat/>
    <w:uiPriority w:val="39"/>
    <w:pPr>
      <w:spacing w:before="240" w:after="0" w:line="259" w:lineRule="auto"/>
      <w:outlineLvl w:val="9"/>
    </w:pPr>
    <w:rPr>
      <w:rFonts w:asciiTheme="majorHAnsi" w:hAnsiTheme="majorHAnsi" w:eastAsiaTheme="majorEastAsia" w:cstheme="majorBidi"/>
      <w:b w:val="0"/>
      <w:bCs w:val="0"/>
      <w:color w:val="376092" w:themeColor="accent1" w:themeShade="BF"/>
      <w:kern w:val="0"/>
      <w:sz w:val="32"/>
      <w:szCs w:val="32"/>
      <w:lang w:eastAsia="zh-CN"/>
    </w:rPr>
  </w:style>
  <w:style w:type="paragraph" w:customStyle="1" w:styleId="41">
    <w:name w:val="正文1"/>
    <w:qFormat/>
    <w:uiPriority w:val="0"/>
    <w:pPr>
      <w:widowControl w:val="0"/>
      <w:adjustRightInd w:val="0"/>
      <w:spacing w:line="312" w:lineRule="atLeast"/>
      <w:jc w:val="both"/>
      <w:textAlignment w:val="baseline"/>
    </w:pPr>
    <w:rPr>
      <w:rFonts w:ascii="Times New" w:hAnsi="Times New" w:eastAsia="宋体" w:cs="Times New Roman"/>
      <w:lang w:val="en-US" w:eastAsia="zh-CN" w:bidi="ar-SA"/>
    </w:rPr>
  </w:style>
  <w:style w:type="paragraph" w:customStyle="1" w:styleId="42">
    <w:name w:val="附内"/>
    <w:basedOn w:val="1"/>
    <w:qFormat/>
    <w:uiPriority w:val="0"/>
    <w:pPr>
      <w:widowControl w:val="0"/>
      <w:spacing w:line="400" w:lineRule="exact"/>
    </w:pPr>
    <w:rPr>
      <w:rFonts w:eastAsia="宋体"/>
      <w:kern w:val="2"/>
      <w:lang w:eastAsia="zh-CN"/>
    </w:rPr>
  </w:style>
  <w:style w:type="paragraph" w:customStyle="1" w:styleId="43">
    <w:name w:val="Revision2"/>
    <w:hidden/>
    <w:semiHidden/>
    <w:qFormat/>
    <w:uiPriority w:val="99"/>
    <w:rPr>
      <w:rFonts w:asciiTheme="minorHAnsi" w:hAnsiTheme="minorHAnsi" w:eastAsiaTheme="minorEastAsia" w:cstheme="minorBidi"/>
      <w:sz w:val="24"/>
      <w:szCs w:val="24"/>
      <w:lang w:val="en-US" w:eastAsia="ja-JP" w:bidi="ar-SA"/>
    </w:rPr>
  </w:style>
  <w:style w:type="paragraph" w:styleId="44">
    <w:name w:val="List Paragraph"/>
    <w:basedOn w:val="1"/>
    <w:qFormat/>
    <w:uiPriority w:val="34"/>
    <w:pPr>
      <w:widowControl w:val="0"/>
      <w:spacing w:before="120" w:after="120"/>
      <w:ind w:firstLine="420" w:firstLineChars="200"/>
      <w:jc w:val="both"/>
    </w:pPr>
    <w:rPr>
      <w:rFonts w:ascii="Times New Roman" w:hAnsi="Times New Roman" w:eastAsia="宋体" w:cs="Times New Roman"/>
      <w:kern w:val="2"/>
      <w:sz w:val="21"/>
      <w:lang w:eastAsia="zh-CN"/>
    </w:rPr>
  </w:style>
  <w:style w:type="paragraph" w:customStyle="1" w:styleId="45">
    <w:name w:val="修订1"/>
    <w:hidden/>
    <w:semiHidden/>
    <w:qFormat/>
    <w:uiPriority w:val="99"/>
    <w:rPr>
      <w:rFonts w:asciiTheme="minorHAnsi" w:hAnsiTheme="minorHAnsi" w:eastAsiaTheme="minorEastAsia" w:cstheme="minorBidi"/>
      <w:sz w:val="24"/>
      <w:szCs w:val="24"/>
      <w:lang w:val="en-US" w:eastAsia="ja-JP" w:bidi="ar-SA"/>
    </w:rPr>
  </w:style>
  <w:style w:type="paragraph" w:customStyle="1" w:styleId="46">
    <w:name w:val="修订2"/>
    <w:hidden/>
    <w:semiHidden/>
    <w:qFormat/>
    <w:uiPriority w:val="99"/>
    <w:rPr>
      <w:rFonts w:asciiTheme="minorHAnsi" w:hAnsiTheme="minorHAnsi" w:eastAsiaTheme="minorEastAsia" w:cstheme="minorBidi"/>
      <w:sz w:val="24"/>
      <w:szCs w:val="24"/>
      <w:lang w:val="en-US" w:eastAsia="ja-JP"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神州网信技术有限公司</Company>
  <Pages>1</Pages>
  <Words>3266</Words>
  <Characters>18621</Characters>
  <Lines>155</Lines>
  <Paragraphs>43</Paragraphs>
  <TotalTime>3</TotalTime>
  <ScaleCrop>false</ScaleCrop>
  <LinksUpToDate>false</LinksUpToDate>
  <CharactersWithSpaces>21844</CharactersWithSpaces>
  <Application>WPS Office_5.1.1.7676_F1E327BC-269C-435d-A152-05C5408002CA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2021-03-11T11:06:00Z</dcterms:created>
  <dc:creator>wc</dc:creator>
  <cp:lastModifiedBy>链子</cp:lastModifiedBy>
  <dcterms:modified xsi:type="dcterms:W3CDTF">2022-12-22T11:28:24Z</dcterms:modified>
  <cp:revision>150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2052-5.1.1.7676</vt:lpwstr>
  </property>
  <property fmtid="{D5CDD505-2E9C-101B-9397-08002B2CF9AE}" pid="3" name="commondata">
    <vt:lpwstr>eyJoZGlkIjoiOWU1ZGI5NzA4NzYzZTc5MTFkYTBmZDRkYTcxYTk4MWQifQ==</vt:lpwstr>
  </property>
  <property fmtid="{D5CDD505-2E9C-101B-9397-08002B2CF9AE}" pid="4" name="ICV">
    <vt:lpwstr>A42468E0E99E4B9AA5926C894396EEB7</vt:lpwstr>
  </property>
</Properties>
</file>