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charts/chart11.xml" ContentType="application/vnd.openxmlformats-officedocument.drawingml.chart+xml"/>
  <Override PartName="/word/theme/themeOverride11.xml" ContentType="application/vnd.openxmlformats-officedocument.themeOverride+xml"/>
  <Override PartName="/word/charts/chart12.xml" ContentType="application/vnd.openxmlformats-officedocument.drawingml.chart+xml"/>
  <Override PartName="/word/theme/themeOverride12.xml" ContentType="application/vnd.openxmlformats-officedocument.themeOverride+xml"/>
  <Override PartName="/word/charts/chart13.xml" ContentType="application/vnd.openxmlformats-officedocument.drawingml.chart+xml"/>
  <Override PartName="/word/theme/themeOverride13.xml" ContentType="application/vnd.openxmlformats-officedocument.themeOverride+xml"/>
  <Override PartName="/word/charts/chart14.xml" ContentType="application/vnd.openxmlformats-officedocument.drawingml.chart+xml"/>
  <Override PartName="/word/theme/themeOverride14.xml" ContentType="application/vnd.openxmlformats-officedocument.themeOverride+xml"/>
  <Override PartName="/word/charts/chart15.xml" ContentType="application/vnd.openxmlformats-officedocument.drawingml.chart+xml"/>
  <Override PartName="/word/theme/themeOverride15.xml" ContentType="application/vnd.openxmlformats-officedocument.themeOverride+xml"/>
  <Override PartName="/word/charts/chart16.xml" ContentType="application/vnd.openxmlformats-officedocument.drawingml.chart+xml"/>
  <Override PartName="/word/theme/themeOverride16.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C3CB90" w14:textId="77777777" w:rsidR="0001156F" w:rsidRPr="0001156F" w:rsidRDefault="0001156F" w:rsidP="0001156F">
      <w:pPr>
        <w:rPr>
          <w:bCs/>
          <w:sz w:val="32"/>
          <w:szCs w:val="32"/>
        </w:rPr>
      </w:pPr>
      <w:bookmarkStart w:id="0" w:name="_Hlk497490072"/>
      <w:r w:rsidRPr="0001156F">
        <w:rPr>
          <w:bCs/>
          <w:sz w:val="32"/>
          <w:szCs w:val="32"/>
        </w:rPr>
        <w:t>Modelling six sustainable development transformations and their accelerators, impediments, enablers, and interlinkages</w:t>
      </w:r>
    </w:p>
    <w:bookmarkEnd w:id="0"/>
    <w:p w14:paraId="54DABAF5" w14:textId="3C3BD4E1" w:rsidR="00BB2989" w:rsidRPr="00CA2662" w:rsidRDefault="001A5BC2" w:rsidP="00CA2662">
      <w:pPr>
        <w:rPr>
          <w:sz w:val="32"/>
          <w:szCs w:val="32"/>
        </w:rPr>
      </w:pPr>
      <w:r w:rsidRPr="00CA2662">
        <w:rPr>
          <w:sz w:val="32"/>
          <w:szCs w:val="32"/>
        </w:rPr>
        <w:t xml:space="preserve">Supplementary Information </w:t>
      </w:r>
    </w:p>
    <w:sdt>
      <w:sdtPr>
        <w:rPr>
          <w:rFonts w:asciiTheme="minorHAnsi" w:eastAsiaTheme="minorHAnsi" w:hAnsiTheme="minorHAnsi" w:cstheme="minorBidi"/>
          <w:color w:val="auto"/>
          <w:sz w:val="22"/>
          <w:szCs w:val="22"/>
          <w:lang w:val="en-AU"/>
        </w:rPr>
        <w:id w:val="637530512"/>
        <w:docPartObj>
          <w:docPartGallery w:val="Table of Contents"/>
          <w:docPartUnique/>
        </w:docPartObj>
      </w:sdtPr>
      <w:sdtEndPr>
        <w:rPr>
          <w:b/>
          <w:bCs/>
          <w:noProof/>
        </w:rPr>
      </w:sdtEndPr>
      <w:sdtContent>
        <w:p w14:paraId="3C264815" w14:textId="04CEF7A9" w:rsidR="003B6EEF" w:rsidRDefault="003B6EEF">
          <w:pPr>
            <w:pStyle w:val="TOCHeading"/>
          </w:pPr>
          <w:r>
            <w:t>Contents</w:t>
          </w:r>
        </w:p>
        <w:p w14:paraId="294DEED0" w14:textId="08695DA1" w:rsidR="000349AA" w:rsidRDefault="003B6EEF">
          <w:pPr>
            <w:pStyle w:val="TOC2"/>
            <w:tabs>
              <w:tab w:val="right" w:leader="dot" w:pos="9016"/>
            </w:tabs>
            <w:rPr>
              <w:rFonts w:eastAsiaTheme="minorEastAsia"/>
              <w:noProof/>
              <w:lang w:val="en-AU" w:eastAsia="en-AU"/>
            </w:rPr>
          </w:pPr>
          <w:r>
            <w:fldChar w:fldCharType="begin"/>
          </w:r>
          <w:r>
            <w:instrText xml:space="preserve"> TOC \o "1-3" \h \z \u </w:instrText>
          </w:r>
          <w:r>
            <w:fldChar w:fldCharType="separate"/>
          </w:r>
          <w:hyperlink w:anchor="_Toc123651711" w:history="1">
            <w:r w:rsidR="000349AA" w:rsidRPr="00C76098">
              <w:rPr>
                <w:rStyle w:val="Hyperlink"/>
                <w:noProof/>
              </w:rPr>
              <w:t>Supplementary Figure 1. BBS Projections for COVID-19 Impacts and government expenditure for BBS and SWT projections</w:t>
            </w:r>
            <w:r w:rsidR="000349AA">
              <w:rPr>
                <w:noProof/>
                <w:webHidden/>
              </w:rPr>
              <w:tab/>
            </w:r>
            <w:r w:rsidR="000349AA">
              <w:rPr>
                <w:noProof/>
                <w:webHidden/>
              </w:rPr>
              <w:fldChar w:fldCharType="begin"/>
            </w:r>
            <w:r w:rsidR="000349AA">
              <w:rPr>
                <w:noProof/>
                <w:webHidden/>
              </w:rPr>
              <w:instrText xml:space="preserve"> PAGEREF _Toc123651711 \h </w:instrText>
            </w:r>
            <w:r w:rsidR="000349AA">
              <w:rPr>
                <w:noProof/>
                <w:webHidden/>
              </w:rPr>
            </w:r>
            <w:r w:rsidR="000349AA">
              <w:rPr>
                <w:noProof/>
                <w:webHidden/>
              </w:rPr>
              <w:fldChar w:fldCharType="separate"/>
            </w:r>
            <w:r w:rsidR="000349AA">
              <w:rPr>
                <w:noProof/>
                <w:webHidden/>
              </w:rPr>
              <w:t>2</w:t>
            </w:r>
            <w:r w:rsidR="000349AA">
              <w:rPr>
                <w:noProof/>
                <w:webHidden/>
              </w:rPr>
              <w:fldChar w:fldCharType="end"/>
            </w:r>
          </w:hyperlink>
        </w:p>
        <w:p w14:paraId="2DCF62AD" w14:textId="6E745ED9" w:rsidR="000349AA" w:rsidRDefault="000349AA">
          <w:pPr>
            <w:pStyle w:val="TOC2"/>
            <w:tabs>
              <w:tab w:val="right" w:leader="dot" w:pos="9016"/>
            </w:tabs>
            <w:rPr>
              <w:rFonts w:eastAsiaTheme="minorEastAsia"/>
              <w:noProof/>
              <w:lang w:val="en-AU" w:eastAsia="en-AU"/>
            </w:rPr>
          </w:pPr>
          <w:hyperlink w:anchor="_Toc123651712" w:history="1">
            <w:r w:rsidRPr="00C76098">
              <w:rPr>
                <w:rStyle w:val="Hyperlink"/>
                <w:noProof/>
              </w:rPr>
              <w:t>Supplementary Figure 2. Detailed results from the sensitivity analysis for the SWT trajectory in 2050</w:t>
            </w:r>
            <w:r>
              <w:rPr>
                <w:noProof/>
                <w:webHidden/>
              </w:rPr>
              <w:tab/>
            </w:r>
            <w:r>
              <w:rPr>
                <w:noProof/>
                <w:webHidden/>
              </w:rPr>
              <w:fldChar w:fldCharType="begin"/>
            </w:r>
            <w:r>
              <w:rPr>
                <w:noProof/>
                <w:webHidden/>
              </w:rPr>
              <w:instrText xml:space="preserve"> PAGEREF _Toc123651712 \h </w:instrText>
            </w:r>
            <w:r>
              <w:rPr>
                <w:noProof/>
                <w:webHidden/>
              </w:rPr>
            </w:r>
            <w:r>
              <w:rPr>
                <w:noProof/>
                <w:webHidden/>
              </w:rPr>
              <w:fldChar w:fldCharType="separate"/>
            </w:r>
            <w:r>
              <w:rPr>
                <w:noProof/>
                <w:webHidden/>
              </w:rPr>
              <w:t>2</w:t>
            </w:r>
            <w:r>
              <w:rPr>
                <w:noProof/>
                <w:webHidden/>
              </w:rPr>
              <w:fldChar w:fldCharType="end"/>
            </w:r>
          </w:hyperlink>
        </w:p>
        <w:p w14:paraId="08095AC5" w14:textId="01842400" w:rsidR="000349AA" w:rsidRDefault="000349AA">
          <w:pPr>
            <w:pStyle w:val="TOC2"/>
            <w:tabs>
              <w:tab w:val="right" w:leader="dot" w:pos="9016"/>
            </w:tabs>
            <w:rPr>
              <w:rFonts w:eastAsiaTheme="minorEastAsia"/>
              <w:noProof/>
              <w:lang w:val="en-AU" w:eastAsia="en-AU"/>
            </w:rPr>
          </w:pPr>
          <w:hyperlink w:anchor="_Toc123651713" w:history="1">
            <w:r w:rsidRPr="00C76098">
              <w:rPr>
                <w:rStyle w:val="Hyperlink"/>
                <w:noProof/>
              </w:rPr>
              <w:t>Supplementary Figure 3. Rising and Declining S-Curves for key technologies and practices – SWT trajectory (% adoption)</w:t>
            </w:r>
            <w:r>
              <w:rPr>
                <w:noProof/>
                <w:webHidden/>
              </w:rPr>
              <w:tab/>
            </w:r>
            <w:r>
              <w:rPr>
                <w:noProof/>
                <w:webHidden/>
              </w:rPr>
              <w:fldChar w:fldCharType="begin"/>
            </w:r>
            <w:r>
              <w:rPr>
                <w:noProof/>
                <w:webHidden/>
              </w:rPr>
              <w:instrText xml:space="preserve"> PAGEREF _Toc123651713 \h </w:instrText>
            </w:r>
            <w:r>
              <w:rPr>
                <w:noProof/>
                <w:webHidden/>
              </w:rPr>
            </w:r>
            <w:r>
              <w:rPr>
                <w:noProof/>
                <w:webHidden/>
              </w:rPr>
              <w:fldChar w:fldCharType="separate"/>
            </w:r>
            <w:r>
              <w:rPr>
                <w:noProof/>
                <w:webHidden/>
              </w:rPr>
              <w:t>4</w:t>
            </w:r>
            <w:r>
              <w:rPr>
                <w:noProof/>
                <w:webHidden/>
              </w:rPr>
              <w:fldChar w:fldCharType="end"/>
            </w:r>
          </w:hyperlink>
        </w:p>
        <w:p w14:paraId="69EBFBD3" w14:textId="56EBD02D" w:rsidR="000349AA" w:rsidRDefault="000349AA">
          <w:pPr>
            <w:pStyle w:val="TOC2"/>
            <w:tabs>
              <w:tab w:val="right" w:leader="dot" w:pos="9016"/>
            </w:tabs>
            <w:rPr>
              <w:rFonts w:eastAsiaTheme="minorEastAsia"/>
              <w:noProof/>
              <w:lang w:val="en-AU" w:eastAsia="en-AU"/>
            </w:rPr>
          </w:pPr>
          <w:hyperlink w:anchor="_Toc123651714" w:history="1">
            <w:r w:rsidRPr="00C76098">
              <w:rPr>
                <w:rStyle w:val="Hyperlink"/>
                <w:noProof/>
              </w:rPr>
              <w:t>Supplementary Figure 4. SWT and BBS projections for key indicators relating to TP2: Sustainable and Just Economy</w:t>
            </w:r>
            <w:r>
              <w:rPr>
                <w:noProof/>
                <w:webHidden/>
              </w:rPr>
              <w:tab/>
            </w:r>
            <w:r>
              <w:rPr>
                <w:noProof/>
                <w:webHidden/>
              </w:rPr>
              <w:fldChar w:fldCharType="begin"/>
            </w:r>
            <w:r>
              <w:rPr>
                <w:noProof/>
                <w:webHidden/>
              </w:rPr>
              <w:instrText xml:space="preserve"> PAGEREF _Toc123651714 \h </w:instrText>
            </w:r>
            <w:r>
              <w:rPr>
                <w:noProof/>
                <w:webHidden/>
              </w:rPr>
            </w:r>
            <w:r>
              <w:rPr>
                <w:noProof/>
                <w:webHidden/>
              </w:rPr>
              <w:fldChar w:fldCharType="separate"/>
            </w:r>
            <w:r>
              <w:rPr>
                <w:noProof/>
                <w:webHidden/>
              </w:rPr>
              <w:t>5</w:t>
            </w:r>
            <w:r>
              <w:rPr>
                <w:noProof/>
                <w:webHidden/>
              </w:rPr>
              <w:fldChar w:fldCharType="end"/>
            </w:r>
          </w:hyperlink>
        </w:p>
        <w:p w14:paraId="1D28B9B4" w14:textId="1128EE8C" w:rsidR="000349AA" w:rsidRDefault="000349AA">
          <w:pPr>
            <w:pStyle w:val="TOC2"/>
            <w:tabs>
              <w:tab w:val="right" w:leader="dot" w:pos="9016"/>
            </w:tabs>
            <w:rPr>
              <w:rFonts w:eastAsiaTheme="minorEastAsia"/>
              <w:noProof/>
              <w:lang w:val="en-AU" w:eastAsia="en-AU"/>
            </w:rPr>
          </w:pPr>
          <w:hyperlink w:anchor="_Toc123651715" w:history="1">
            <w:r w:rsidRPr="00C76098">
              <w:rPr>
                <w:rStyle w:val="Hyperlink"/>
                <w:noProof/>
              </w:rPr>
              <w:t>Supplementary Figure 5. SWT and BBS projections for key indicators relating to TP3: Sustainable Food Systems</w:t>
            </w:r>
            <w:r>
              <w:rPr>
                <w:noProof/>
                <w:webHidden/>
              </w:rPr>
              <w:tab/>
            </w:r>
            <w:r>
              <w:rPr>
                <w:noProof/>
                <w:webHidden/>
              </w:rPr>
              <w:fldChar w:fldCharType="begin"/>
            </w:r>
            <w:r>
              <w:rPr>
                <w:noProof/>
                <w:webHidden/>
              </w:rPr>
              <w:instrText xml:space="preserve"> PAGEREF _Toc123651715 \h </w:instrText>
            </w:r>
            <w:r>
              <w:rPr>
                <w:noProof/>
                <w:webHidden/>
              </w:rPr>
            </w:r>
            <w:r>
              <w:rPr>
                <w:noProof/>
                <w:webHidden/>
              </w:rPr>
              <w:fldChar w:fldCharType="separate"/>
            </w:r>
            <w:r>
              <w:rPr>
                <w:noProof/>
                <w:webHidden/>
              </w:rPr>
              <w:t>6</w:t>
            </w:r>
            <w:r>
              <w:rPr>
                <w:noProof/>
                <w:webHidden/>
              </w:rPr>
              <w:fldChar w:fldCharType="end"/>
            </w:r>
          </w:hyperlink>
        </w:p>
        <w:p w14:paraId="3E68DF05" w14:textId="1B1E1134" w:rsidR="000349AA" w:rsidRDefault="000349AA">
          <w:pPr>
            <w:pStyle w:val="TOC2"/>
            <w:tabs>
              <w:tab w:val="right" w:leader="dot" w:pos="9016"/>
            </w:tabs>
            <w:rPr>
              <w:rFonts w:eastAsiaTheme="minorEastAsia"/>
              <w:noProof/>
              <w:lang w:val="en-AU" w:eastAsia="en-AU"/>
            </w:rPr>
          </w:pPr>
          <w:hyperlink w:anchor="_Toc123651716" w:history="1">
            <w:r w:rsidRPr="00C76098">
              <w:rPr>
                <w:rStyle w:val="Hyperlink"/>
                <w:noProof/>
              </w:rPr>
              <w:t>Supplementary Figure 6. SWT and BBS projections for key indicators relating to TP4: Energy Decarbonization</w:t>
            </w:r>
            <w:r>
              <w:rPr>
                <w:noProof/>
                <w:webHidden/>
              </w:rPr>
              <w:tab/>
            </w:r>
            <w:r>
              <w:rPr>
                <w:noProof/>
                <w:webHidden/>
              </w:rPr>
              <w:fldChar w:fldCharType="begin"/>
            </w:r>
            <w:r>
              <w:rPr>
                <w:noProof/>
                <w:webHidden/>
              </w:rPr>
              <w:instrText xml:space="preserve"> PAGEREF _Toc123651716 \h </w:instrText>
            </w:r>
            <w:r>
              <w:rPr>
                <w:noProof/>
                <w:webHidden/>
              </w:rPr>
            </w:r>
            <w:r>
              <w:rPr>
                <w:noProof/>
                <w:webHidden/>
              </w:rPr>
              <w:fldChar w:fldCharType="separate"/>
            </w:r>
            <w:r>
              <w:rPr>
                <w:noProof/>
                <w:webHidden/>
              </w:rPr>
              <w:t>7</w:t>
            </w:r>
            <w:r>
              <w:rPr>
                <w:noProof/>
                <w:webHidden/>
              </w:rPr>
              <w:fldChar w:fldCharType="end"/>
            </w:r>
          </w:hyperlink>
        </w:p>
        <w:p w14:paraId="5840983C" w14:textId="6FEB14C4" w:rsidR="000349AA" w:rsidRDefault="000349AA">
          <w:pPr>
            <w:pStyle w:val="TOC2"/>
            <w:tabs>
              <w:tab w:val="right" w:leader="dot" w:pos="9016"/>
            </w:tabs>
            <w:rPr>
              <w:rFonts w:eastAsiaTheme="minorEastAsia"/>
              <w:noProof/>
              <w:lang w:val="en-AU" w:eastAsia="en-AU"/>
            </w:rPr>
          </w:pPr>
          <w:hyperlink w:anchor="_Toc123651717" w:history="1">
            <w:r w:rsidRPr="00C76098">
              <w:rPr>
                <w:rStyle w:val="Hyperlink"/>
                <w:noProof/>
              </w:rPr>
              <w:t>Supplementary Table 1. Metanarratives for the trajectories</w:t>
            </w:r>
            <w:r>
              <w:rPr>
                <w:noProof/>
                <w:webHidden/>
              </w:rPr>
              <w:tab/>
            </w:r>
            <w:r>
              <w:rPr>
                <w:noProof/>
                <w:webHidden/>
              </w:rPr>
              <w:fldChar w:fldCharType="begin"/>
            </w:r>
            <w:r>
              <w:rPr>
                <w:noProof/>
                <w:webHidden/>
              </w:rPr>
              <w:instrText xml:space="preserve"> PAGEREF _Toc123651717 \h </w:instrText>
            </w:r>
            <w:r>
              <w:rPr>
                <w:noProof/>
                <w:webHidden/>
              </w:rPr>
            </w:r>
            <w:r>
              <w:rPr>
                <w:noProof/>
                <w:webHidden/>
              </w:rPr>
              <w:fldChar w:fldCharType="separate"/>
            </w:r>
            <w:r>
              <w:rPr>
                <w:noProof/>
                <w:webHidden/>
              </w:rPr>
              <w:t>8</w:t>
            </w:r>
            <w:r>
              <w:rPr>
                <w:noProof/>
                <w:webHidden/>
              </w:rPr>
              <w:fldChar w:fldCharType="end"/>
            </w:r>
          </w:hyperlink>
        </w:p>
        <w:p w14:paraId="411D1255" w14:textId="1893548F" w:rsidR="000349AA" w:rsidRDefault="000349AA">
          <w:pPr>
            <w:pStyle w:val="TOC2"/>
            <w:tabs>
              <w:tab w:val="right" w:leader="dot" w:pos="9016"/>
            </w:tabs>
            <w:rPr>
              <w:rFonts w:eastAsiaTheme="minorEastAsia"/>
              <w:noProof/>
              <w:lang w:val="en-AU" w:eastAsia="en-AU"/>
            </w:rPr>
          </w:pPr>
          <w:hyperlink w:anchor="_Toc123651718" w:history="1">
            <w:r w:rsidRPr="00C76098">
              <w:rPr>
                <w:rStyle w:val="Hyperlink"/>
                <w:noProof/>
                <w:lang w:val="en-AU"/>
              </w:rPr>
              <w:t>Supplementary Table 2. Scenario Policy Settings and Assumptions – BBS and SWT ‘Accelerators’</w:t>
            </w:r>
            <w:r>
              <w:rPr>
                <w:noProof/>
                <w:webHidden/>
              </w:rPr>
              <w:tab/>
            </w:r>
            <w:r>
              <w:rPr>
                <w:noProof/>
                <w:webHidden/>
              </w:rPr>
              <w:fldChar w:fldCharType="begin"/>
            </w:r>
            <w:r>
              <w:rPr>
                <w:noProof/>
                <w:webHidden/>
              </w:rPr>
              <w:instrText xml:space="preserve"> PAGEREF _Toc123651718 \h </w:instrText>
            </w:r>
            <w:r>
              <w:rPr>
                <w:noProof/>
                <w:webHidden/>
              </w:rPr>
            </w:r>
            <w:r>
              <w:rPr>
                <w:noProof/>
                <w:webHidden/>
              </w:rPr>
              <w:fldChar w:fldCharType="separate"/>
            </w:r>
            <w:r>
              <w:rPr>
                <w:noProof/>
                <w:webHidden/>
              </w:rPr>
              <w:t>8</w:t>
            </w:r>
            <w:r>
              <w:rPr>
                <w:noProof/>
                <w:webHidden/>
              </w:rPr>
              <w:fldChar w:fldCharType="end"/>
            </w:r>
          </w:hyperlink>
        </w:p>
        <w:p w14:paraId="13552D3C" w14:textId="51962BED" w:rsidR="000349AA" w:rsidRDefault="000349AA">
          <w:pPr>
            <w:pStyle w:val="TOC2"/>
            <w:tabs>
              <w:tab w:val="right" w:leader="dot" w:pos="9016"/>
            </w:tabs>
            <w:rPr>
              <w:rFonts w:eastAsiaTheme="minorEastAsia"/>
              <w:noProof/>
              <w:lang w:val="en-AU" w:eastAsia="en-AU"/>
            </w:rPr>
          </w:pPr>
          <w:hyperlink w:anchor="_Toc123651719" w:history="1">
            <w:r w:rsidRPr="00C76098">
              <w:rPr>
                <w:rStyle w:val="Hyperlink"/>
                <w:noProof/>
                <w:lang w:val="en-AU"/>
              </w:rPr>
              <w:t>Supplementary Table 3. Six transformation pathways storylines</w:t>
            </w:r>
            <w:r>
              <w:rPr>
                <w:noProof/>
                <w:webHidden/>
              </w:rPr>
              <w:tab/>
            </w:r>
            <w:r>
              <w:rPr>
                <w:noProof/>
                <w:webHidden/>
              </w:rPr>
              <w:fldChar w:fldCharType="begin"/>
            </w:r>
            <w:r>
              <w:rPr>
                <w:noProof/>
                <w:webHidden/>
              </w:rPr>
              <w:instrText xml:space="preserve"> PAGEREF _Toc123651719 \h </w:instrText>
            </w:r>
            <w:r>
              <w:rPr>
                <w:noProof/>
                <w:webHidden/>
              </w:rPr>
            </w:r>
            <w:r>
              <w:rPr>
                <w:noProof/>
                <w:webHidden/>
              </w:rPr>
              <w:fldChar w:fldCharType="separate"/>
            </w:r>
            <w:r>
              <w:rPr>
                <w:noProof/>
                <w:webHidden/>
              </w:rPr>
              <w:t>16</w:t>
            </w:r>
            <w:r>
              <w:rPr>
                <w:noProof/>
                <w:webHidden/>
              </w:rPr>
              <w:fldChar w:fldCharType="end"/>
            </w:r>
          </w:hyperlink>
        </w:p>
        <w:p w14:paraId="45B50EEB" w14:textId="3F62899E" w:rsidR="000349AA" w:rsidRDefault="000349AA">
          <w:pPr>
            <w:pStyle w:val="TOC2"/>
            <w:tabs>
              <w:tab w:val="right" w:leader="dot" w:pos="9016"/>
            </w:tabs>
            <w:rPr>
              <w:rFonts w:eastAsiaTheme="minorEastAsia"/>
              <w:noProof/>
              <w:lang w:val="en-AU" w:eastAsia="en-AU"/>
            </w:rPr>
          </w:pPr>
          <w:hyperlink w:anchor="_Toc123651720" w:history="1">
            <w:r w:rsidRPr="00C76098">
              <w:rPr>
                <w:rStyle w:val="Hyperlink"/>
                <w:noProof/>
                <w:lang w:val="en-AU"/>
              </w:rPr>
              <w:t>Supplementary Table 4. Evaluation framework of SDG Targets and Indicators (2030) and Transformation Targets (2050)</w:t>
            </w:r>
            <w:r>
              <w:rPr>
                <w:noProof/>
                <w:webHidden/>
              </w:rPr>
              <w:tab/>
            </w:r>
            <w:r>
              <w:rPr>
                <w:noProof/>
                <w:webHidden/>
              </w:rPr>
              <w:fldChar w:fldCharType="begin"/>
            </w:r>
            <w:r>
              <w:rPr>
                <w:noProof/>
                <w:webHidden/>
              </w:rPr>
              <w:instrText xml:space="preserve"> PAGEREF _Toc123651720 \h </w:instrText>
            </w:r>
            <w:r>
              <w:rPr>
                <w:noProof/>
                <w:webHidden/>
              </w:rPr>
            </w:r>
            <w:r>
              <w:rPr>
                <w:noProof/>
                <w:webHidden/>
              </w:rPr>
              <w:fldChar w:fldCharType="separate"/>
            </w:r>
            <w:r>
              <w:rPr>
                <w:noProof/>
                <w:webHidden/>
              </w:rPr>
              <w:t>33</w:t>
            </w:r>
            <w:r>
              <w:rPr>
                <w:noProof/>
                <w:webHidden/>
              </w:rPr>
              <w:fldChar w:fldCharType="end"/>
            </w:r>
          </w:hyperlink>
        </w:p>
        <w:p w14:paraId="4E0A2915" w14:textId="1EB8CA35" w:rsidR="000349AA" w:rsidRDefault="000349AA">
          <w:pPr>
            <w:pStyle w:val="TOC2"/>
            <w:tabs>
              <w:tab w:val="right" w:leader="dot" w:pos="9016"/>
            </w:tabs>
            <w:rPr>
              <w:rFonts w:eastAsiaTheme="minorEastAsia"/>
              <w:noProof/>
              <w:lang w:val="en-AU" w:eastAsia="en-AU"/>
            </w:rPr>
          </w:pPr>
          <w:hyperlink w:anchor="_Toc123651721" w:history="1">
            <w:r w:rsidRPr="00C76098">
              <w:rPr>
                <w:rStyle w:val="Hyperlink"/>
                <w:noProof/>
                <w:lang w:val="en-AU"/>
              </w:rPr>
              <w:t>Supplementary Table 5. Error analysis of baseline (BBS) simulations for a selection of variables</w:t>
            </w:r>
            <w:r>
              <w:rPr>
                <w:noProof/>
                <w:webHidden/>
              </w:rPr>
              <w:tab/>
            </w:r>
            <w:r>
              <w:rPr>
                <w:noProof/>
                <w:webHidden/>
              </w:rPr>
              <w:fldChar w:fldCharType="begin"/>
            </w:r>
            <w:r>
              <w:rPr>
                <w:noProof/>
                <w:webHidden/>
              </w:rPr>
              <w:instrText xml:space="preserve"> PAGEREF _Toc123651721 \h </w:instrText>
            </w:r>
            <w:r>
              <w:rPr>
                <w:noProof/>
                <w:webHidden/>
              </w:rPr>
            </w:r>
            <w:r>
              <w:rPr>
                <w:noProof/>
                <w:webHidden/>
              </w:rPr>
              <w:fldChar w:fldCharType="separate"/>
            </w:r>
            <w:r>
              <w:rPr>
                <w:noProof/>
                <w:webHidden/>
              </w:rPr>
              <w:t>45</w:t>
            </w:r>
            <w:r>
              <w:rPr>
                <w:noProof/>
                <w:webHidden/>
              </w:rPr>
              <w:fldChar w:fldCharType="end"/>
            </w:r>
          </w:hyperlink>
        </w:p>
        <w:p w14:paraId="76D6F10E" w14:textId="054A49DB" w:rsidR="000349AA" w:rsidRDefault="000349AA">
          <w:pPr>
            <w:pStyle w:val="TOC2"/>
            <w:tabs>
              <w:tab w:val="right" w:leader="dot" w:pos="9016"/>
            </w:tabs>
            <w:rPr>
              <w:rFonts w:eastAsiaTheme="minorEastAsia"/>
              <w:noProof/>
              <w:lang w:val="en-AU" w:eastAsia="en-AU"/>
            </w:rPr>
          </w:pPr>
          <w:hyperlink w:anchor="_Toc123651722" w:history="1">
            <w:r w:rsidRPr="00C76098">
              <w:rPr>
                <w:rStyle w:val="Hyperlink"/>
                <w:noProof/>
                <w:lang w:val="en-AU"/>
              </w:rPr>
              <w:t>Supplementary Table 6. Sensitivity Analysis (SA): sensitivity variables and input ranges</w:t>
            </w:r>
            <w:r>
              <w:rPr>
                <w:noProof/>
                <w:webHidden/>
              </w:rPr>
              <w:tab/>
            </w:r>
            <w:r>
              <w:rPr>
                <w:noProof/>
                <w:webHidden/>
              </w:rPr>
              <w:fldChar w:fldCharType="begin"/>
            </w:r>
            <w:r>
              <w:rPr>
                <w:noProof/>
                <w:webHidden/>
              </w:rPr>
              <w:instrText xml:space="preserve"> PAGEREF _Toc123651722 \h </w:instrText>
            </w:r>
            <w:r>
              <w:rPr>
                <w:noProof/>
                <w:webHidden/>
              </w:rPr>
            </w:r>
            <w:r>
              <w:rPr>
                <w:noProof/>
                <w:webHidden/>
              </w:rPr>
              <w:fldChar w:fldCharType="separate"/>
            </w:r>
            <w:r>
              <w:rPr>
                <w:noProof/>
                <w:webHidden/>
              </w:rPr>
              <w:t>46</w:t>
            </w:r>
            <w:r>
              <w:rPr>
                <w:noProof/>
                <w:webHidden/>
              </w:rPr>
              <w:fldChar w:fldCharType="end"/>
            </w:r>
          </w:hyperlink>
        </w:p>
        <w:p w14:paraId="2EEA8B8A" w14:textId="6F559798" w:rsidR="000349AA" w:rsidRDefault="000349AA">
          <w:pPr>
            <w:pStyle w:val="TOC2"/>
            <w:tabs>
              <w:tab w:val="right" w:leader="dot" w:pos="9016"/>
            </w:tabs>
            <w:rPr>
              <w:rFonts w:eastAsiaTheme="minorEastAsia"/>
              <w:noProof/>
              <w:lang w:val="en-AU" w:eastAsia="en-AU"/>
            </w:rPr>
          </w:pPr>
          <w:hyperlink w:anchor="_Toc123651723" w:history="1">
            <w:r w:rsidRPr="00C76098">
              <w:rPr>
                <w:rStyle w:val="Hyperlink"/>
                <w:noProof/>
              </w:rPr>
              <w:t>References</w:t>
            </w:r>
            <w:r>
              <w:rPr>
                <w:noProof/>
                <w:webHidden/>
              </w:rPr>
              <w:tab/>
            </w:r>
            <w:r>
              <w:rPr>
                <w:noProof/>
                <w:webHidden/>
              </w:rPr>
              <w:fldChar w:fldCharType="begin"/>
            </w:r>
            <w:r>
              <w:rPr>
                <w:noProof/>
                <w:webHidden/>
              </w:rPr>
              <w:instrText xml:space="preserve"> PAGEREF _Toc123651723 \h </w:instrText>
            </w:r>
            <w:r>
              <w:rPr>
                <w:noProof/>
                <w:webHidden/>
              </w:rPr>
            </w:r>
            <w:r>
              <w:rPr>
                <w:noProof/>
                <w:webHidden/>
              </w:rPr>
              <w:fldChar w:fldCharType="separate"/>
            </w:r>
            <w:r>
              <w:rPr>
                <w:noProof/>
                <w:webHidden/>
              </w:rPr>
              <w:t>47</w:t>
            </w:r>
            <w:r>
              <w:rPr>
                <w:noProof/>
                <w:webHidden/>
              </w:rPr>
              <w:fldChar w:fldCharType="end"/>
            </w:r>
          </w:hyperlink>
        </w:p>
        <w:p w14:paraId="23A8303D" w14:textId="76F804DF" w:rsidR="003B6EEF" w:rsidRDefault="003B6EEF">
          <w:r>
            <w:rPr>
              <w:b/>
              <w:bCs/>
              <w:noProof/>
            </w:rPr>
            <w:fldChar w:fldCharType="end"/>
          </w:r>
        </w:p>
      </w:sdtContent>
    </w:sdt>
    <w:p w14:paraId="0CF54468" w14:textId="77777777" w:rsidR="003B6EEF" w:rsidRPr="003B6EEF" w:rsidRDefault="003B6EEF" w:rsidP="003B6EEF">
      <w:pPr>
        <w:rPr>
          <w:lang w:eastAsia="de-DE"/>
        </w:rPr>
      </w:pPr>
    </w:p>
    <w:p w14:paraId="7CD5F060" w14:textId="77777777" w:rsidR="00CA2662" w:rsidRDefault="00CA2662">
      <w:pPr>
        <w:rPr>
          <w:rFonts w:ascii="Arial" w:eastAsia="Times New Roman" w:hAnsi="Arial" w:cs="Times New Roman"/>
          <w:b/>
          <w:color w:val="000000"/>
          <w:sz w:val="24"/>
          <w:szCs w:val="20"/>
          <w:lang w:val="en-US" w:eastAsia="de-DE"/>
        </w:rPr>
      </w:pPr>
      <w:r>
        <w:br w:type="page"/>
      </w:r>
    </w:p>
    <w:p w14:paraId="63153751" w14:textId="6128FF45" w:rsidR="000F0064" w:rsidRDefault="00A24C66" w:rsidP="001B77C2">
      <w:pPr>
        <w:pStyle w:val="Heading2"/>
      </w:pPr>
      <w:bookmarkStart w:id="1" w:name="_Toc123651711"/>
      <w:r w:rsidRPr="00670AFC">
        <w:lastRenderedPageBreak/>
        <w:t xml:space="preserve">Supplementary Figure 1. </w:t>
      </w:r>
      <w:r w:rsidR="00E909E9">
        <w:t>BBS</w:t>
      </w:r>
      <w:r w:rsidR="00670AFC">
        <w:t xml:space="preserve"> Projections for COVID-19 Impacts</w:t>
      </w:r>
      <w:r w:rsidR="007105CE">
        <w:t xml:space="preserve"> </w:t>
      </w:r>
      <w:r w:rsidR="005705E8">
        <w:t xml:space="preserve">and government expenditure for </w:t>
      </w:r>
      <w:r w:rsidR="00E909E9">
        <w:t>BBS</w:t>
      </w:r>
      <w:r w:rsidR="005705E8">
        <w:t xml:space="preserve"> and </w:t>
      </w:r>
      <w:r w:rsidR="00E909E9">
        <w:t>SWT</w:t>
      </w:r>
      <w:r w:rsidR="005705E8">
        <w:t xml:space="preserve"> projections</w:t>
      </w:r>
      <w:bookmarkEnd w:id="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2"/>
        <w:gridCol w:w="4464"/>
      </w:tblGrid>
      <w:tr w:rsidR="00024CD6" w14:paraId="0606E356" w14:textId="77777777" w:rsidTr="00A65D88">
        <w:tc>
          <w:tcPr>
            <w:tcW w:w="4562" w:type="dxa"/>
            <w:tcBorders>
              <w:top w:val="single" w:sz="4" w:space="0" w:color="auto"/>
            </w:tcBorders>
          </w:tcPr>
          <w:p w14:paraId="365FA792" w14:textId="1EBA1642" w:rsidR="00024CD6" w:rsidRDefault="00B85091" w:rsidP="00024CD6">
            <w:pPr>
              <w:rPr>
                <w:lang w:val="en-US" w:eastAsia="de-DE"/>
              </w:rPr>
            </w:pPr>
            <w:r>
              <w:rPr>
                <w:noProof/>
              </w:rPr>
              <w:drawing>
                <wp:inline distT="0" distB="0" distL="0" distR="0" wp14:anchorId="63F49C45" wp14:editId="3A1C000C">
                  <wp:extent cx="2806095" cy="2224380"/>
                  <wp:effectExtent l="0" t="0" r="0" b="5080"/>
                  <wp:docPr id="7" name="Chart 7">
                    <a:extLst xmlns:a="http://schemas.openxmlformats.org/drawingml/2006/main">
                      <a:ext uri="{FF2B5EF4-FFF2-40B4-BE49-F238E27FC236}">
                        <a16:creationId xmlns:a16="http://schemas.microsoft.com/office/drawing/2014/main" id="{D9FD78D0-D38A-2FE2-122C-1DBE8A3B0E4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tc>
          <w:tcPr>
            <w:tcW w:w="4464" w:type="dxa"/>
            <w:tcBorders>
              <w:top w:val="single" w:sz="4" w:space="0" w:color="auto"/>
            </w:tcBorders>
          </w:tcPr>
          <w:p w14:paraId="0EAC60B6" w14:textId="29C6F78A" w:rsidR="00024CD6" w:rsidRDefault="006A7F33" w:rsidP="00024CD6">
            <w:pPr>
              <w:rPr>
                <w:lang w:val="en-US" w:eastAsia="de-DE"/>
              </w:rPr>
            </w:pPr>
            <w:r>
              <w:rPr>
                <w:noProof/>
              </w:rPr>
              <w:drawing>
                <wp:inline distT="0" distB="0" distL="0" distR="0" wp14:anchorId="5113260C" wp14:editId="66A78E0C">
                  <wp:extent cx="2743620" cy="2199810"/>
                  <wp:effectExtent l="0" t="0" r="0" b="0"/>
                  <wp:docPr id="8" name="Chart 8">
                    <a:extLst xmlns:a="http://schemas.openxmlformats.org/drawingml/2006/main">
                      <a:ext uri="{FF2B5EF4-FFF2-40B4-BE49-F238E27FC236}">
                        <a16:creationId xmlns:a16="http://schemas.microsoft.com/office/drawing/2014/main" id="{D36C1BF6-BEB2-B1C7-B426-8A95975D73B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r>
      <w:tr w:rsidR="00024CD6" w:rsidRPr="00CB7AFC" w14:paraId="7356F5ED" w14:textId="77777777" w:rsidTr="00A65D88">
        <w:tc>
          <w:tcPr>
            <w:tcW w:w="4562" w:type="dxa"/>
            <w:tcBorders>
              <w:bottom w:val="single" w:sz="4" w:space="0" w:color="auto"/>
            </w:tcBorders>
          </w:tcPr>
          <w:p w14:paraId="514C1D14" w14:textId="0314B408" w:rsidR="00024CD6" w:rsidRPr="00CB7AFC" w:rsidRDefault="004D063D" w:rsidP="00301613">
            <w:pPr>
              <w:jc w:val="center"/>
              <w:rPr>
                <w:b/>
                <w:bCs/>
                <w:sz w:val="18"/>
                <w:szCs w:val="18"/>
              </w:rPr>
            </w:pPr>
            <w:r w:rsidRPr="00CB7AFC">
              <w:rPr>
                <w:b/>
                <w:bCs/>
                <w:sz w:val="18"/>
                <w:szCs w:val="18"/>
              </w:rPr>
              <w:t>1(a) Real GDP (AUD bn)</w:t>
            </w:r>
          </w:p>
        </w:tc>
        <w:tc>
          <w:tcPr>
            <w:tcW w:w="4464" w:type="dxa"/>
            <w:tcBorders>
              <w:bottom w:val="single" w:sz="4" w:space="0" w:color="auto"/>
            </w:tcBorders>
          </w:tcPr>
          <w:p w14:paraId="02A6AB49" w14:textId="77777777" w:rsidR="00024CD6" w:rsidRDefault="004D063D" w:rsidP="00301613">
            <w:pPr>
              <w:jc w:val="center"/>
              <w:rPr>
                <w:b/>
                <w:bCs/>
                <w:sz w:val="18"/>
                <w:szCs w:val="18"/>
              </w:rPr>
            </w:pPr>
            <w:r w:rsidRPr="00CB7AFC">
              <w:rPr>
                <w:b/>
                <w:bCs/>
                <w:sz w:val="18"/>
                <w:szCs w:val="18"/>
              </w:rPr>
              <w:t>1(b) Unemployment rate (%)</w:t>
            </w:r>
          </w:p>
          <w:p w14:paraId="70046300" w14:textId="1C65A639" w:rsidR="008A0085" w:rsidRPr="00CB7AFC" w:rsidRDefault="008A0085" w:rsidP="00301613">
            <w:pPr>
              <w:jc w:val="center"/>
              <w:rPr>
                <w:b/>
                <w:bCs/>
                <w:sz w:val="18"/>
                <w:szCs w:val="18"/>
              </w:rPr>
            </w:pPr>
          </w:p>
        </w:tc>
      </w:tr>
      <w:tr w:rsidR="004D063D" w14:paraId="570988F7" w14:textId="77777777" w:rsidTr="00A65D88">
        <w:tc>
          <w:tcPr>
            <w:tcW w:w="4562" w:type="dxa"/>
            <w:tcBorders>
              <w:top w:val="single" w:sz="4" w:space="0" w:color="auto"/>
            </w:tcBorders>
          </w:tcPr>
          <w:p w14:paraId="13537EFE" w14:textId="039F947D" w:rsidR="004D063D" w:rsidRDefault="001E0BA0" w:rsidP="00024CD6">
            <w:pPr>
              <w:rPr>
                <w:lang w:val="en-US" w:eastAsia="de-DE"/>
              </w:rPr>
            </w:pPr>
            <w:r>
              <w:rPr>
                <w:noProof/>
              </w:rPr>
              <w:drawing>
                <wp:inline distT="0" distB="0" distL="0" distR="0" wp14:anchorId="1C103B5B" wp14:editId="35C1D186">
                  <wp:extent cx="2779620" cy="2084190"/>
                  <wp:effectExtent l="0" t="0" r="1905" b="0"/>
                  <wp:docPr id="2" name="Chart 2">
                    <a:extLst xmlns:a="http://schemas.openxmlformats.org/drawingml/2006/main">
                      <a:ext uri="{FF2B5EF4-FFF2-40B4-BE49-F238E27FC236}">
                        <a16:creationId xmlns:a16="http://schemas.microsoft.com/office/drawing/2014/main" id="{72D4C09A-6716-603C-16FD-A8D1B9F8EC9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4464" w:type="dxa"/>
            <w:tcBorders>
              <w:top w:val="single" w:sz="4" w:space="0" w:color="auto"/>
            </w:tcBorders>
          </w:tcPr>
          <w:p w14:paraId="053B827C" w14:textId="018F937A" w:rsidR="004D063D" w:rsidRDefault="00A65D88" w:rsidP="00024CD6">
            <w:pPr>
              <w:rPr>
                <w:lang w:val="en-US" w:eastAsia="de-DE"/>
              </w:rPr>
            </w:pPr>
            <w:r>
              <w:rPr>
                <w:noProof/>
              </w:rPr>
              <w:drawing>
                <wp:inline distT="0" distB="0" distL="0" distR="0" wp14:anchorId="7C196CAF" wp14:editId="6C9C2082">
                  <wp:extent cx="2676525" cy="2074984"/>
                  <wp:effectExtent l="0" t="0" r="0" b="1905"/>
                  <wp:docPr id="1" name="Chart 1">
                    <a:extLst xmlns:a="http://schemas.openxmlformats.org/drawingml/2006/main">
                      <a:ext uri="{FF2B5EF4-FFF2-40B4-BE49-F238E27FC236}">
                        <a16:creationId xmlns:a16="http://schemas.microsoft.com/office/drawing/2014/main" id="{0DC2E7A0-264C-9BA0-A148-57D303CB6D3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r w:rsidR="004D063D" w:rsidRPr="00CB7AFC" w14:paraId="1F2D7A3C" w14:textId="77777777" w:rsidTr="00A65D88">
        <w:tc>
          <w:tcPr>
            <w:tcW w:w="4562" w:type="dxa"/>
            <w:tcBorders>
              <w:bottom w:val="single" w:sz="4" w:space="0" w:color="auto"/>
            </w:tcBorders>
          </w:tcPr>
          <w:p w14:paraId="3CF8E8B5" w14:textId="5A390618" w:rsidR="004D063D" w:rsidRPr="00CB7AFC" w:rsidRDefault="004D063D" w:rsidP="00301613">
            <w:pPr>
              <w:jc w:val="center"/>
              <w:rPr>
                <w:b/>
                <w:bCs/>
                <w:sz w:val="18"/>
                <w:szCs w:val="18"/>
              </w:rPr>
            </w:pPr>
            <w:r w:rsidRPr="00CB7AFC">
              <w:rPr>
                <w:b/>
                <w:bCs/>
                <w:sz w:val="18"/>
                <w:szCs w:val="18"/>
              </w:rPr>
              <w:t>1(c) Total GHG emissions (excluding LULUCF) (Mt CO</w:t>
            </w:r>
            <w:r w:rsidRPr="00CB7AFC">
              <w:rPr>
                <w:b/>
                <w:bCs/>
                <w:sz w:val="18"/>
                <w:szCs w:val="18"/>
                <w:vertAlign w:val="subscript"/>
              </w:rPr>
              <w:t>2</w:t>
            </w:r>
            <w:r w:rsidRPr="00CB7AFC">
              <w:rPr>
                <w:b/>
                <w:bCs/>
                <w:sz w:val="18"/>
                <w:szCs w:val="18"/>
              </w:rPr>
              <w:t>-eq)</w:t>
            </w:r>
          </w:p>
        </w:tc>
        <w:tc>
          <w:tcPr>
            <w:tcW w:w="4464" w:type="dxa"/>
            <w:tcBorders>
              <w:bottom w:val="single" w:sz="4" w:space="0" w:color="auto"/>
            </w:tcBorders>
          </w:tcPr>
          <w:p w14:paraId="34042C8A" w14:textId="0A15E6E9" w:rsidR="004D063D" w:rsidRPr="00CB7AFC" w:rsidRDefault="00CA16A2" w:rsidP="00301613">
            <w:pPr>
              <w:jc w:val="center"/>
              <w:rPr>
                <w:b/>
                <w:bCs/>
                <w:sz w:val="18"/>
                <w:szCs w:val="18"/>
                <w:lang w:val="en-US" w:eastAsia="de-DE"/>
              </w:rPr>
            </w:pPr>
            <w:r w:rsidRPr="00CB7AFC">
              <w:rPr>
                <w:b/>
                <w:bCs/>
                <w:sz w:val="18"/>
                <w:szCs w:val="18"/>
                <w:lang w:val="en-US" w:eastAsia="de-DE"/>
              </w:rPr>
              <w:t xml:space="preserve">1(d) Total </w:t>
            </w:r>
            <w:r w:rsidR="00BF638B">
              <w:rPr>
                <w:b/>
                <w:bCs/>
                <w:sz w:val="18"/>
                <w:szCs w:val="18"/>
                <w:lang w:val="en-US" w:eastAsia="de-DE"/>
              </w:rPr>
              <w:t xml:space="preserve">general </w:t>
            </w:r>
            <w:r w:rsidRPr="00CB7AFC">
              <w:rPr>
                <w:b/>
                <w:bCs/>
                <w:sz w:val="18"/>
                <w:szCs w:val="18"/>
                <w:lang w:val="en-US" w:eastAsia="de-DE"/>
              </w:rPr>
              <w:t xml:space="preserve">government expenditure </w:t>
            </w:r>
            <w:r w:rsidR="00063DC3" w:rsidRPr="00CB7AFC">
              <w:rPr>
                <w:b/>
                <w:bCs/>
                <w:sz w:val="18"/>
                <w:szCs w:val="18"/>
                <w:lang w:val="en-US" w:eastAsia="de-DE"/>
              </w:rPr>
              <w:t xml:space="preserve">for </w:t>
            </w:r>
            <w:r w:rsidR="00E909E9">
              <w:rPr>
                <w:b/>
                <w:bCs/>
                <w:sz w:val="18"/>
                <w:szCs w:val="18"/>
                <w:lang w:val="en-US" w:eastAsia="de-DE"/>
              </w:rPr>
              <w:t>BBS</w:t>
            </w:r>
            <w:r w:rsidR="00063DC3" w:rsidRPr="00CB7AFC">
              <w:rPr>
                <w:b/>
                <w:bCs/>
                <w:sz w:val="18"/>
                <w:szCs w:val="18"/>
                <w:lang w:val="en-US" w:eastAsia="de-DE"/>
              </w:rPr>
              <w:t xml:space="preserve"> and </w:t>
            </w:r>
            <w:r w:rsidR="00E909E9">
              <w:rPr>
                <w:b/>
                <w:bCs/>
                <w:sz w:val="18"/>
                <w:szCs w:val="18"/>
                <w:lang w:val="en-US" w:eastAsia="de-DE"/>
              </w:rPr>
              <w:t>SWT</w:t>
            </w:r>
            <w:r w:rsidR="00063DC3" w:rsidRPr="00CB7AFC">
              <w:rPr>
                <w:b/>
                <w:bCs/>
                <w:sz w:val="18"/>
                <w:szCs w:val="18"/>
                <w:lang w:val="en-US" w:eastAsia="de-DE"/>
              </w:rPr>
              <w:t xml:space="preserve"> trajectories (</w:t>
            </w:r>
            <w:r w:rsidR="00475D52">
              <w:rPr>
                <w:b/>
                <w:bCs/>
                <w:sz w:val="18"/>
                <w:szCs w:val="18"/>
                <w:lang w:val="en-US" w:eastAsia="de-DE"/>
              </w:rPr>
              <w:t xml:space="preserve">current </w:t>
            </w:r>
            <w:r w:rsidR="00063DC3" w:rsidRPr="00CB7AFC">
              <w:rPr>
                <w:b/>
                <w:bCs/>
                <w:sz w:val="18"/>
                <w:szCs w:val="18"/>
                <w:lang w:val="en-US" w:eastAsia="de-DE"/>
              </w:rPr>
              <w:t>$ bn)</w:t>
            </w:r>
          </w:p>
        </w:tc>
      </w:tr>
    </w:tbl>
    <w:p w14:paraId="7C5F4066" w14:textId="77777777" w:rsidR="00024CD6" w:rsidRDefault="00024CD6" w:rsidP="00024CD6">
      <w:pPr>
        <w:rPr>
          <w:lang w:val="en-US" w:eastAsia="de-DE"/>
        </w:rPr>
      </w:pPr>
    </w:p>
    <w:p w14:paraId="5CAD43CB" w14:textId="77777777" w:rsidR="00024CD6" w:rsidRPr="00024CD6" w:rsidRDefault="00024CD6" w:rsidP="00024CD6">
      <w:pPr>
        <w:rPr>
          <w:lang w:val="en-US" w:eastAsia="de-DE"/>
        </w:rPr>
      </w:pPr>
    </w:p>
    <w:p w14:paraId="11B3535F" w14:textId="0F649083" w:rsidR="00670AFC" w:rsidRDefault="00670AFC" w:rsidP="008D0F93">
      <w:pPr>
        <w:spacing w:after="0"/>
        <w:rPr>
          <w:b/>
          <w:bCs/>
        </w:rPr>
      </w:pPr>
    </w:p>
    <w:p w14:paraId="0F08F402" w14:textId="07D53FE8" w:rsidR="00A50449" w:rsidRDefault="00A50449" w:rsidP="008D0F93">
      <w:pPr>
        <w:spacing w:after="0"/>
        <w:rPr>
          <w:b/>
          <w:bCs/>
        </w:rPr>
      </w:pPr>
    </w:p>
    <w:p w14:paraId="69128F64" w14:textId="42CD0BCA" w:rsidR="00A50449" w:rsidRDefault="00A50449" w:rsidP="008D0F93">
      <w:pPr>
        <w:spacing w:after="0"/>
        <w:rPr>
          <w:b/>
          <w:bCs/>
        </w:rPr>
      </w:pPr>
    </w:p>
    <w:p w14:paraId="7D4B9E20" w14:textId="77777777" w:rsidR="00024CD6" w:rsidRDefault="00024CD6" w:rsidP="002B6B0E">
      <w:pPr>
        <w:pStyle w:val="Heading2"/>
      </w:pPr>
    </w:p>
    <w:p w14:paraId="2B6B5C86" w14:textId="77777777" w:rsidR="00024CD6" w:rsidRDefault="00024CD6" w:rsidP="002B6B0E">
      <w:pPr>
        <w:pStyle w:val="Heading2"/>
      </w:pPr>
    </w:p>
    <w:p w14:paraId="52C5C9FC" w14:textId="77777777" w:rsidR="00024CD6" w:rsidRDefault="00024CD6" w:rsidP="002B6B0E">
      <w:pPr>
        <w:pStyle w:val="Heading2"/>
      </w:pPr>
    </w:p>
    <w:p w14:paraId="594BF832" w14:textId="3EE81AE1" w:rsidR="00F015A8" w:rsidRDefault="00F015A8" w:rsidP="00F015A8">
      <w:pPr>
        <w:pStyle w:val="Heading2"/>
      </w:pPr>
      <w:bookmarkStart w:id="2" w:name="_Toc123651712"/>
      <w:r>
        <w:t>Supplementary Figure 2. Detailed results from the sensitivity analysis</w:t>
      </w:r>
      <w:r w:rsidR="00621FD4">
        <w:t xml:space="preserve"> for the </w:t>
      </w:r>
      <w:r w:rsidR="00E909E9">
        <w:t>SWT</w:t>
      </w:r>
      <w:r w:rsidR="00621FD4">
        <w:t xml:space="preserve"> trajectory in 2050</w:t>
      </w:r>
      <w:bookmarkEnd w:id="2"/>
    </w:p>
    <w:p w14:paraId="46802995" w14:textId="58EF0310" w:rsidR="00F015A8" w:rsidRDefault="00136F0C" w:rsidP="0084134D">
      <w:pPr>
        <w:spacing w:after="0"/>
        <w:jc w:val="center"/>
        <w:rPr>
          <w:lang w:val="en-US" w:eastAsia="de-DE"/>
        </w:rPr>
      </w:pPr>
      <w:r>
        <w:rPr>
          <w:noProof/>
        </w:rPr>
        <w:lastRenderedPageBreak/>
        <w:drawing>
          <wp:inline distT="0" distB="0" distL="0" distR="0" wp14:anchorId="534FD6D4" wp14:editId="58EF95F7">
            <wp:extent cx="5268403" cy="3648075"/>
            <wp:effectExtent l="0" t="0" r="8890" b="0"/>
            <wp:docPr id="10" name="Picture 10"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ox and whisker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7733" cy="3654535"/>
                    </a:xfrm>
                    <a:prstGeom prst="rect">
                      <a:avLst/>
                    </a:prstGeom>
                    <a:noFill/>
                    <a:ln>
                      <a:noFill/>
                    </a:ln>
                  </pic:spPr>
                </pic:pic>
              </a:graphicData>
            </a:graphic>
          </wp:inline>
        </w:drawing>
      </w:r>
    </w:p>
    <w:p w14:paraId="415E30D1" w14:textId="033BEAFD" w:rsidR="00F015A8" w:rsidRPr="0084134D" w:rsidRDefault="00394A3D" w:rsidP="0084134D">
      <w:pPr>
        <w:jc w:val="center"/>
        <w:rPr>
          <w:b/>
          <w:bCs/>
          <w:sz w:val="18"/>
          <w:szCs w:val="18"/>
          <w:lang w:val="en-US" w:eastAsia="de-DE"/>
        </w:rPr>
      </w:pPr>
      <w:r w:rsidRPr="003D5050">
        <w:rPr>
          <w:b/>
          <w:bCs/>
          <w:sz w:val="18"/>
          <w:szCs w:val="18"/>
          <w:lang w:val="en-US" w:eastAsia="de-DE"/>
        </w:rPr>
        <w:t xml:space="preserve">2(a) Sensitivity analysis results for average progress </w:t>
      </w:r>
      <w:r w:rsidR="00477588">
        <w:rPr>
          <w:b/>
          <w:bCs/>
          <w:sz w:val="18"/>
          <w:szCs w:val="18"/>
          <w:lang w:val="en-US" w:eastAsia="de-DE"/>
        </w:rPr>
        <w:t xml:space="preserve">towards each and all SDGs - projected sensitivity </w:t>
      </w:r>
      <w:r w:rsidR="00A9130F" w:rsidRPr="003D5050">
        <w:rPr>
          <w:b/>
          <w:bCs/>
          <w:sz w:val="18"/>
          <w:szCs w:val="18"/>
          <w:lang w:val="en-US" w:eastAsia="de-DE"/>
        </w:rPr>
        <w:t xml:space="preserve">to changes in ten exogenous parameters (6,000 simulations; Latin hypercube). </w:t>
      </w:r>
      <w:r w:rsidR="007C0F88" w:rsidRPr="00477588">
        <w:rPr>
          <w:b/>
          <w:bCs/>
          <w:sz w:val="18"/>
          <w:szCs w:val="18"/>
          <w:lang w:val="en-US" w:eastAsia="de-DE"/>
        </w:rPr>
        <w:t xml:space="preserve">See Supplementary Table 6 for </w:t>
      </w:r>
      <w:r w:rsidR="003D5050" w:rsidRPr="00477588">
        <w:rPr>
          <w:b/>
          <w:bCs/>
          <w:sz w:val="18"/>
          <w:szCs w:val="18"/>
          <w:lang w:val="en-US" w:eastAsia="de-DE"/>
        </w:rPr>
        <w:t>sensitivity parameters and ranges.</w:t>
      </w:r>
    </w:p>
    <w:p w14:paraId="521296A9" w14:textId="56DDBBEA" w:rsidR="007C0F88" w:rsidRDefault="00A05BBF" w:rsidP="0084134D">
      <w:pPr>
        <w:spacing w:after="0"/>
        <w:jc w:val="center"/>
        <w:rPr>
          <w:lang w:val="en-US" w:eastAsia="de-DE"/>
        </w:rPr>
      </w:pPr>
      <w:r>
        <w:rPr>
          <w:noProof/>
        </w:rPr>
        <w:drawing>
          <wp:inline distT="0" distB="0" distL="0" distR="0" wp14:anchorId="7E0805D0" wp14:editId="326EA497">
            <wp:extent cx="5117091" cy="3543300"/>
            <wp:effectExtent l="0" t="0" r="7620" b="0"/>
            <wp:docPr id="18" name="Picture 18"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box and whisker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30616" cy="3552665"/>
                    </a:xfrm>
                    <a:prstGeom prst="rect">
                      <a:avLst/>
                    </a:prstGeom>
                    <a:noFill/>
                    <a:ln>
                      <a:noFill/>
                    </a:ln>
                  </pic:spPr>
                </pic:pic>
              </a:graphicData>
            </a:graphic>
          </wp:inline>
        </w:drawing>
      </w:r>
    </w:p>
    <w:p w14:paraId="595D0E48" w14:textId="73BE49EC" w:rsidR="003D5050" w:rsidRDefault="003D5050" w:rsidP="0084134D">
      <w:pPr>
        <w:jc w:val="center"/>
        <w:rPr>
          <w:b/>
          <w:bCs/>
          <w:sz w:val="18"/>
          <w:szCs w:val="18"/>
          <w:lang w:val="en-US" w:eastAsia="de-DE"/>
        </w:rPr>
      </w:pPr>
      <w:r w:rsidRPr="003D5050">
        <w:rPr>
          <w:b/>
          <w:bCs/>
          <w:sz w:val="18"/>
          <w:szCs w:val="18"/>
          <w:lang w:val="en-US" w:eastAsia="de-DE"/>
        </w:rPr>
        <w:t>2(</w:t>
      </w:r>
      <w:r w:rsidR="0084134D">
        <w:rPr>
          <w:b/>
          <w:bCs/>
          <w:sz w:val="18"/>
          <w:szCs w:val="18"/>
          <w:lang w:val="en-US" w:eastAsia="de-DE"/>
        </w:rPr>
        <w:t>b</w:t>
      </w:r>
      <w:r w:rsidRPr="003D5050">
        <w:rPr>
          <w:b/>
          <w:bCs/>
          <w:sz w:val="18"/>
          <w:szCs w:val="18"/>
          <w:lang w:val="en-US" w:eastAsia="de-DE"/>
        </w:rPr>
        <w:t xml:space="preserve">) Sensitivity analysis results for average progress </w:t>
      </w:r>
      <w:r w:rsidR="0084134D">
        <w:rPr>
          <w:b/>
          <w:bCs/>
          <w:sz w:val="18"/>
          <w:szCs w:val="18"/>
          <w:lang w:val="en-US" w:eastAsia="de-DE"/>
        </w:rPr>
        <w:t>towards the transformation targets for each TP</w:t>
      </w:r>
      <w:r w:rsidR="00477588">
        <w:rPr>
          <w:b/>
          <w:bCs/>
          <w:sz w:val="18"/>
          <w:szCs w:val="18"/>
          <w:lang w:val="en-US" w:eastAsia="de-DE"/>
        </w:rPr>
        <w:t xml:space="preserve"> and all TPs – projected sensitivity</w:t>
      </w:r>
      <w:r w:rsidRPr="003D5050">
        <w:rPr>
          <w:b/>
          <w:bCs/>
          <w:sz w:val="18"/>
          <w:szCs w:val="18"/>
          <w:lang w:val="en-US" w:eastAsia="de-DE"/>
        </w:rPr>
        <w:t xml:space="preserve"> to changes in ten exogenous parameters (6,000 simulations; Latin hypercube). See Supplementary Table 6 for sensitivity parameters and ranges.</w:t>
      </w:r>
    </w:p>
    <w:p w14:paraId="5FF12AA3" w14:textId="77777777" w:rsidR="00544DA6" w:rsidRPr="003D5050" w:rsidRDefault="00544DA6" w:rsidP="00544DA6">
      <w:pPr>
        <w:rPr>
          <w:b/>
          <w:bCs/>
          <w:sz w:val="18"/>
          <w:szCs w:val="18"/>
          <w:lang w:val="en-US" w:eastAsia="de-DE"/>
        </w:rPr>
      </w:pPr>
    </w:p>
    <w:p w14:paraId="5B69B570" w14:textId="502280BD" w:rsidR="00D06459" w:rsidRDefault="00D06459" w:rsidP="00301613">
      <w:pPr>
        <w:pStyle w:val="Heading2"/>
      </w:pPr>
      <w:bookmarkStart w:id="3" w:name="_Toc123651713"/>
      <w:r>
        <w:lastRenderedPageBreak/>
        <w:t xml:space="preserve">Supplementary Figure </w:t>
      </w:r>
      <w:r w:rsidR="000F5E1D">
        <w:t>3</w:t>
      </w:r>
      <w:r>
        <w:t>. Rising and Declining S-Curves for key technologies and practices</w:t>
      </w:r>
      <w:r w:rsidR="00D34C42">
        <w:t xml:space="preserve"> – </w:t>
      </w:r>
      <w:r w:rsidR="00E909E9">
        <w:t>SWT</w:t>
      </w:r>
      <w:r w:rsidR="003E623A">
        <w:t xml:space="preserve"> trajectory</w:t>
      </w:r>
      <w:r w:rsidR="000359E5">
        <w:t xml:space="preserve"> (%</w:t>
      </w:r>
      <w:r w:rsidR="00E85444">
        <w:t xml:space="preserve"> adoption</w:t>
      </w:r>
      <w:r w:rsidR="000359E5">
        <w:t>)</w:t>
      </w:r>
      <w:bookmarkEnd w:id="3"/>
      <w:r w:rsidR="00382AEF">
        <w:t xml:space="preserve"> </w:t>
      </w:r>
    </w:p>
    <w:p w14:paraId="63AE90B1" w14:textId="35267C1F" w:rsidR="000944F0" w:rsidRDefault="00382AEF" w:rsidP="0000302E">
      <w:pPr>
        <w:jc w:val="center"/>
        <w:rPr>
          <w:lang w:val="en-US" w:eastAsia="de-DE"/>
        </w:rPr>
      </w:pPr>
      <w:r>
        <w:rPr>
          <w:lang w:val="en-US" w:eastAsia="de-DE"/>
        </w:rPr>
        <w:t>[TE</w:t>
      </w:r>
      <w:r w:rsidR="00941081">
        <w:rPr>
          <w:noProof/>
        </w:rPr>
        <w:drawing>
          <wp:inline distT="0" distB="0" distL="0" distR="0" wp14:anchorId="2BF95BBD" wp14:editId="1C042340">
            <wp:extent cx="5867400" cy="5314950"/>
            <wp:effectExtent l="0" t="0" r="0" b="0"/>
            <wp:docPr id="4" name="Chart 4">
              <a:extLst xmlns:a="http://schemas.openxmlformats.org/drawingml/2006/main">
                <a:ext uri="{FF2B5EF4-FFF2-40B4-BE49-F238E27FC236}">
                  <a16:creationId xmlns:a16="http://schemas.microsoft.com/office/drawing/2014/main" id="{FD8FCCC6-BD21-BCA4-332E-C7699FA23E2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A083299" w14:textId="2F4329F1" w:rsidR="00382AEF" w:rsidRPr="00382AEF" w:rsidRDefault="00382AEF" w:rsidP="00382AEF">
      <w:pPr>
        <w:rPr>
          <w:i/>
          <w:iCs/>
          <w:sz w:val="20"/>
          <w:szCs w:val="20"/>
          <w:lang w:val="en-US" w:eastAsia="de-DE"/>
        </w:rPr>
      </w:pPr>
      <w:r w:rsidRPr="00382AEF">
        <w:rPr>
          <w:i/>
          <w:iCs/>
          <w:sz w:val="20"/>
          <w:szCs w:val="20"/>
          <w:lang w:val="en-US" w:eastAsia="de-DE"/>
        </w:rPr>
        <w:t>[TFEC = total final energy consumption; BEV = battery electric vehicle; ICE = internal combustion vehicle]</w:t>
      </w:r>
    </w:p>
    <w:p w14:paraId="75EFD0BB" w14:textId="77777777" w:rsidR="00382AEF" w:rsidRDefault="00382AEF" w:rsidP="0000302E">
      <w:pPr>
        <w:jc w:val="center"/>
        <w:rPr>
          <w:lang w:val="en-US" w:eastAsia="de-DE"/>
        </w:rPr>
      </w:pPr>
    </w:p>
    <w:p w14:paraId="63EE82F3" w14:textId="77777777" w:rsidR="00382AEF" w:rsidRDefault="00382AEF" w:rsidP="0000302E">
      <w:pPr>
        <w:jc w:val="center"/>
        <w:rPr>
          <w:lang w:val="en-US" w:eastAsia="de-DE"/>
        </w:rPr>
      </w:pPr>
    </w:p>
    <w:p w14:paraId="2EE6766B" w14:textId="6BB53877" w:rsidR="00D34C42" w:rsidRPr="00D06459" w:rsidRDefault="00D34C42" w:rsidP="00D06459">
      <w:pPr>
        <w:rPr>
          <w:lang w:val="en-US" w:eastAsia="de-DE"/>
        </w:rPr>
      </w:pPr>
    </w:p>
    <w:p w14:paraId="39AD3FE4" w14:textId="503ADDD3" w:rsidR="00D06459" w:rsidRDefault="00D06459">
      <w:pPr>
        <w:rPr>
          <w:rFonts w:ascii="Arial" w:eastAsia="Times New Roman" w:hAnsi="Arial" w:cs="Times New Roman"/>
          <w:b/>
          <w:color w:val="000000"/>
          <w:sz w:val="24"/>
          <w:szCs w:val="20"/>
          <w:lang w:val="en-US" w:eastAsia="de-DE"/>
        </w:rPr>
      </w:pPr>
      <w:r>
        <w:br w:type="page"/>
      </w:r>
    </w:p>
    <w:p w14:paraId="7E434ED6" w14:textId="37F22E4D" w:rsidR="00520A62" w:rsidRDefault="002B6B0E" w:rsidP="00301613">
      <w:pPr>
        <w:pStyle w:val="Heading2"/>
      </w:pPr>
      <w:bookmarkStart w:id="4" w:name="_Toc123651714"/>
      <w:r w:rsidRPr="00670AFC">
        <w:lastRenderedPageBreak/>
        <w:t xml:space="preserve">Supplementary Figure </w:t>
      </w:r>
      <w:r w:rsidR="000F5E1D">
        <w:t>4</w:t>
      </w:r>
      <w:r w:rsidRPr="00670AFC">
        <w:t xml:space="preserve">. </w:t>
      </w:r>
      <w:r w:rsidR="00E909E9">
        <w:t>SWT</w:t>
      </w:r>
      <w:r w:rsidR="000F19B8">
        <w:t xml:space="preserve"> and </w:t>
      </w:r>
      <w:r w:rsidR="00E909E9">
        <w:t>BBS</w:t>
      </w:r>
      <w:r w:rsidR="000F19B8">
        <w:t xml:space="preserve"> p</w:t>
      </w:r>
      <w:r>
        <w:t xml:space="preserve">rojections for </w:t>
      </w:r>
      <w:r w:rsidR="00C27115">
        <w:t xml:space="preserve">key </w:t>
      </w:r>
      <w:r>
        <w:t>indicators rela</w:t>
      </w:r>
      <w:r w:rsidR="000F19B8">
        <w:t>ting to TP2</w:t>
      </w:r>
      <w:r w:rsidR="000F7DB0">
        <w:t>: Sustainable and Just Economy</w:t>
      </w:r>
      <w:bookmarkEnd w:id="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6"/>
        <w:gridCol w:w="4540"/>
      </w:tblGrid>
      <w:tr w:rsidR="00520A62" w14:paraId="340A7C00" w14:textId="77777777" w:rsidTr="00DC27C6">
        <w:trPr>
          <w:trHeight w:val="3618"/>
        </w:trPr>
        <w:tc>
          <w:tcPr>
            <w:tcW w:w="4486" w:type="dxa"/>
            <w:tcBorders>
              <w:top w:val="single" w:sz="4" w:space="0" w:color="auto"/>
            </w:tcBorders>
          </w:tcPr>
          <w:p w14:paraId="4968E661" w14:textId="60182380" w:rsidR="00520A62" w:rsidRDefault="00EB0668" w:rsidP="00605F6F">
            <w:pPr>
              <w:rPr>
                <w:lang w:val="en-US" w:eastAsia="de-DE"/>
              </w:rPr>
            </w:pPr>
            <w:r>
              <w:rPr>
                <w:noProof/>
              </w:rPr>
              <w:drawing>
                <wp:inline distT="0" distB="0" distL="0" distR="0" wp14:anchorId="1916D632" wp14:editId="1B6D380A">
                  <wp:extent cx="2734095" cy="2160000"/>
                  <wp:effectExtent l="0" t="0" r="0" b="0"/>
                  <wp:docPr id="20" name="Chart 20">
                    <a:extLst xmlns:a="http://schemas.openxmlformats.org/drawingml/2006/main">
                      <a:ext uri="{FF2B5EF4-FFF2-40B4-BE49-F238E27FC236}">
                        <a16:creationId xmlns:a16="http://schemas.microsoft.com/office/drawing/2014/main" id="{5CAB9D46-4010-6F50-2E7E-E23F6DB91B8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540" w:type="dxa"/>
            <w:tcBorders>
              <w:top w:val="single" w:sz="4" w:space="0" w:color="auto"/>
            </w:tcBorders>
          </w:tcPr>
          <w:p w14:paraId="585AF233" w14:textId="7E4E3F4D" w:rsidR="00520A62" w:rsidRDefault="000B5140" w:rsidP="00605F6F">
            <w:pPr>
              <w:rPr>
                <w:lang w:val="en-US" w:eastAsia="de-DE"/>
              </w:rPr>
            </w:pPr>
            <w:r>
              <w:rPr>
                <w:noProof/>
              </w:rPr>
              <w:drawing>
                <wp:inline distT="0" distB="0" distL="0" distR="0" wp14:anchorId="1ADF629D" wp14:editId="06D6DB68">
                  <wp:extent cx="2775810" cy="2161905"/>
                  <wp:effectExtent l="0" t="0" r="5715" b="0"/>
                  <wp:docPr id="21" name="Chart 21">
                    <a:extLst xmlns:a="http://schemas.openxmlformats.org/drawingml/2006/main">
                      <a:ext uri="{FF2B5EF4-FFF2-40B4-BE49-F238E27FC236}">
                        <a16:creationId xmlns:a16="http://schemas.microsoft.com/office/drawing/2014/main" id="{6D00F72C-635C-5D4E-FC88-8011A624993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520A62" w:rsidRPr="00CB7AFC" w14:paraId="202DC045" w14:textId="77777777" w:rsidTr="00DC27C6">
        <w:tc>
          <w:tcPr>
            <w:tcW w:w="4486" w:type="dxa"/>
            <w:tcBorders>
              <w:bottom w:val="single" w:sz="4" w:space="0" w:color="auto"/>
            </w:tcBorders>
          </w:tcPr>
          <w:p w14:paraId="75C012C3" w14:textId="1E5D00A6" w:rsidR="00520A62" w:rsidRPr="00520A62" w:rsidRDefault="00520A62" w:rsidP="00301613">
            <w:pPr>
              <w:jc w:val="center"/>
              <w:rPr>
                <w:b/>
                <w:bCs/>
                <w:sz w:val="18"/>
                <w:szCs w:val="18"/>
              </w:rPr>
            </w:pPr>
            <w:r w:rsidRPr="00520A62">
              <w:rPr>
                <w:b/>
                <w:bCs/>
                <w:sz w:val="18"/>
                <w:szCs w:val="18"/>
              </w:rPr>
              <w:t xml:space="preserve">2(a) Projected poverty rate for </w:t>
            </w:r>
            <w:r w:rsidR="00E909E9">
              <w:rPr>
                <w:b/>
                <w:bCs/>
                <w:sz w:val="18"/>
                <w:szCs w:val="18"/>
              </w:rPr>
              <w:t>BBS</w:t>
            </w:r>
            <w:r w:rsidRPr="00520A62">
              <w:rPr>
                <w:b/>
                <w:bCs/>
                <w:sz w:val="18"/>
                <w:szCs w:val="18"/>
              </w:rPr>
              <w:t xml:space="preserve"> and </w:t>
            </w:r>
            <w:r w:rsidR="00E909E9">
              <w:rPr>
                <w:b/>
                <w:bCs/>
                <w:sz w:val="18"/>
                <w:szCs w:val="18"/>
              </w:rPr>
              <w:t>SWT</w:t>
            </w:r>
            <w:r w:rsidRPr="00520A62">
              <w:rPr>
                <w:b/>
                <w:bCs/>
                <w:sz w:val="18"/>
                <w:szCs w:val="18"/>
              </w:rPr>
              <w:t xml:space="preserve"> trajectories to 2050 (%)</w:t>
            </w:r>
          </w:p>
          <w:p w14:paraId="1143CDF1" w14:textId="11E4132B" w:rsidR="00520A62" w:rsidRPr="00CB7AFC" w:rsidRDefault="00520A62" w:rsidP="00301613">
            <w:pPr>
              <w:jc w:val="center"/>
              <w:rPr>
                <w:b/>
                <w:bCs/>
                <w:sz w:val="18"/>
                <w:szCs w:val="18"/>
              </w:rPr>
            </w:pPr>
          </w:p>
        </w:tc>
        <w:tc>
          <w:tcPr>
            <w:tcW w:w="4540" w:type="dxa"/>
            <w:tcBorders>
              <w:bottom w:val="single" w:sz="4" w:space="0" w:color="auto"/>
            </w:tcBorders>
          </w:tcPr>
          <w:p w14:paraId="2FD84F82" w14:textId="0DD5D83E" w:rsidR="00520A62" w:rsidRPr="00520A62" w:rsidRDefault="00520A62" w:rsidP="00301613">
            <w:pPr>
              <w:jc w:val="center"/>
              <w:rPr>
                <w:b/>
                <w:bCs/>
                <w:sz w:val="18"/>
                <w:szCs w:val="18"/>
              </w:rPr>
            </w:pPr>
            <w:r w:rsidRPr="00520A62">
              <w:rPr>
                <w:b/>
                <w:bCs/>
                <w:sz w:val="18"/>
                <w:szCs w:val="18"/>
              </w:rPr>
              <w:t xml:space="preserve">2(b) Projected Gini coefficient for </w:t>
            </w:r>
            <w:r w:rsidR="00E909E9">
              <w:rPr>
                <w:b/>
                <w:bCs/>
                <w:sz w:val="18"/>
                <w:szCs w:val="18"/>
              </w:rPr>
              <w:t>BBS</w:t>
            </w:r>
            <w:r w:rsidRPr="00520A62">
              <w:rPr>
                <w:b/>
                <w:bCs/>
                <w:sz w:val="18"/>
                <w:szCs w:val="18"/>
              </w:rPr>
              <w:t xml:space="preserve"> and </w:t>
            </w:r>
            <w:r w:rsidR="00E909E9">
              <w:rPr>
                <w:b/>
                <w:bCs/>
                <w:sz w:val="18"/>
                <w:szCs w:val="18"/>
              </w:rPr>
              <w:t>SWT</w:t>
            </w:r>
            <w:r w:rsidRPr="00520A62">
              <w:rPr>
                <w:b/>
                <w:bCs/>
                <w:sz w:val="18"/>
                <w:szCs w:val="18"/>
              </w:rPr>
              <w:t xml:space="preserve"> trajectories to 2050</w:t>
            </w:r>
          </w:p>
          <w:p w14:paraId="497ECA90" w14:textId="77777777" w:rsidR="00520A62" w:rsidRPr="00CB7AFC" w:rsidRDefault="00520A62" w:rsidP="00301613">
            <w:pPr>
              <w:jc w:val="center"/>
              <w:rPr>
                <w:b/>
                <w:bCs/>
                <w:sz w:val="18"/>
                <w:szCs w:val="18"/>
              </w:rPr>
            </w:pPr>
          </w:p>
        </w:tc>
      </w:tr>
      <w:tr w:rsidR="004B13E8" w14:paraId="6AA35960" w14:textId="77777777" w:rsidTr="00DC27C6">
        <w:trPr>
          <w:trHeight w:val="3862"/>
        </w:trPr>
        <w:tc>
          <w:tcPr>
            <w:tcW w:w="4486" w:type="dxa"/>
            <w:tcBorders>
              <w:top w:val="single" w:sz="4" w:space="0" w:color="auto"/>
            </w:tcBorders>
          </w:tcPr>
          <w:p w14:paraId="1635D543" w14:textId="2840DB16" w:rsidR="00520A62" w:rsidRDefault="00184F00" w:rsidP="00605F6F">
            <w:pPr>
              <w:rPr>
                <w:lang w:val="en-US" w:eastAsia="de-DE"/>
              </w:rPr>
            </w:pPr>
            <w:r>
              <w:rPr>
                <w:noProof/>
              </w:rPr>
              <w:drawing>
                <wp:inline distT="0" distB="0" distL="0" distR="0" wp14:anchorId="5B21A791" wp14:editId="02652EFD">
                  <wp:extent cx="2747430" cy="2478409"/>
                  <wp:effectExtent l="0" t="0" r="0" b="0"/>
                  <wp:docPr id="22" name="Chart 22">
                    <a:extLst xmlns:a="http://schemas.openxmlformats.org/drawingml/2006/main">
                      <a:ext uri="{FF2B5EF4-FFF2-40B4-BE49-F238E27FC236}">
                        <a16:creationId xmlns:a16="http://schemas.microsoft.com/office/drawing/2014/main" id="{4EB77BD1-2B5F-00C5-EC49-05D7DF7F308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540" w:type="dxa"/>
            <w:tcBorders>
              <w:top w:val="single" w:sz="4" w:space="0" w:color="auto"/>
            </w:tcBorders>
          </w:tcPr>
          <w:p w14:paraId="2A4315AD" w14:textId="32F6C7F9" w:rsidR="00520A62" w:rsidRDefault="00FB3BEF" w:rsidP="00605F6F">
            <w:pPr>
              <w:rPr>
                <w:lang w:val="en-US" w:eastAsia="de-DE"/>
              </w:rPr>
            </w:pPr>
            <w:r>
              <w:rPr>
                <w:noProof/>
              </w:rPr>
              <w:drawing>
                <wp:inline distT="0" distB="0" distL="0" distR="0" wp14:anchorId="4062767F" wp14:editId="1C68B437">
                  <wp:extent cx="2728380" cy="2452688"/>
                  <wp:effectExtent l="0" t="0" r="0" b="5080"/>
                  <wp:docPr id="29" name="Chart 29">
                    <a:extLst xmlns:a="http://schemas.openxmlformats.org/drawingml/2006/main">
                      <a:ext uri="{FF2B5EF4-FFF2-40B4-BE49-F238E27FC236}">
                        <a16:creationId xmlns:a16="http://schemas.microsoft.com/office/drawing/2014/main" id="{A3E13EEC-1F84-3586-8807-9FDFDFBF4BA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4B13E8" w:rsidRPr="00520A62" w14:paraId="547FEB4F" w14:textId="77777777" w:rsidTr="00DC27C6">
        <w:tc>
          <w:tcPr>
            <w:tcW w:w="4486" w:type="dxa"/>
            <w:tcBorders>
              <w:bottom w:val="single" w:sz="4" w:space="0" w:color="auto"/>
            </w:tcBorders>
          </w:tcPr>
          <w:p w14:paraId="44F03DCE" w14:textId="1BF725D8" w:rsidR="00520A62" w:rsidRPr="00520A62" w:rsidRDefault="00520A62" w:rsidP="00301613">
            <w:pPr>
              <w:jc w:val="center"/>
              <w:rPr>
                <w:b/>
                <w:bCs/>
                <w:sz w:val="18"/>
                <w:szCs w:val="18"/>
              </w:rPr>
            </w:pPr>
            <w:r w:rsidRPr="00520A62">
              <w:rPr>
                <w:b/>
                <w:bCs/>
                <w:sz w:val="18"/>
                <w:szCs w:val="18"/>
              </w:rPr>
              <w:t xml:space="preserve">2(c) Projected manufacturing production for </w:t>
            </w:r>
            <w:r w:rsidR="00E909E9">
              <w:rPr>
                <w:b/>
                <w:bCs/>
                <w:sz w:val="18"/>
                <w:szCs w:val="18"/>
              </w:rPr>
              <w:t>BBS</w:t>
            </w:r>
            <w:r w:rsidRPr="00520A62">
              <w:rPr>
                <w:b/>
                <w:bCs/>
                <w:sz w:val="18"/>
                <w:szCs w:val="18"/>
              </w:rPr>
              <w:t xml:space="preserve"> and </w:t>
            </w:r>
            <w:r w:rsidR="00E909E9">
              <w:rPr>
                <w:b/>
                <w:bCs/>
                <w:sz w:val="18"/>
                <w:szCs w:val="18"/>
              </w:rPr>
              <w:t>SWT</w:t>
            </w:r>
            <w:r w:rsidRPr="00520A62">
              <w:rPr>
                <w:b/>
                <w:bCs/>
                <w:sz w:val="18"/>
                <w:szCs w:val="18"/>
              </w:rPr>
              <w:t xml:space="preserve"> trajectories to 2050</w:t>
            </w:r>
          </w:p>
          <w:p w14:paraId="17A89550" w14:textId="5A853FDF" w:rsidR="00520A62" w:rsidRPr="00520A62" w:rsidRDefault="00520A62" w:rsidP="00301613">
            <w:pPr>
              <w:jc w:val="center"/>
              <w:rPr>
                <w:b/>
                <w:bCs/>
                <w:sz w:val="18"/>
                <w:szCs w:val="18"/>
              </w:rPr>
            </w:pPr>
          </w:p>
        </w:tc>
        <w:tc>
          <w:tcPr>
            <w:tcW w:w="4540" w:type="dxa"/>
            <w:tcBorders>
              <w:bottom w:val="single" w:sz="4" w:space="0" w:color="auto"/>
            </w:tcBorders>
          </w:tcPr>
          <w:p w14:paraId="0AC19747" w14:textId="36305903" w:rsidR="004B13E8" w:rsidRPr="004B13E8" w:rsidRDefault="004B13E8" w:rsidP="00301613">
            <w:pPr>
              <w:jc w:val="center"/>
              <w:rPr>
                <w:b/>
                <w:bCs/>
                <w:sz w:val="18"/>
                <w:szCs w:val="18"/>
                <w:lang w:eastAsia="de-DE"/>
              </w:rPr>
            </w:pPr>
            <w:r w:rsidRPr="004B13E8">
              <w:rPr>
                <w:b/>
                <w:bCs/>
                <w:sz w:val="18"/>
                <w:szCs w:val="18"/>
                <w:lang w:eastAsia="de-DE"/>
              </w:rPr>
              <w:t xml:space="preserve">2(d) Projected Material Footprint (MF) per unit output for </w:t>
            </w:r>
            <w:r w:rsidR="00E909E9">
              <w:rPr>
                <w:b/>
                <w:bCs/>
                <w:sz w:val="18"/>
                <w:szCs w:val="18"/>
                <w:lang w:eastAsia="de-DE"/>
              </w:rPr>
              <w:t>BBS</w:t>
            </w:r>
            <w:r w:rsidRPr="004B13E8">
              <w:rPr>
                <w:b/>
                <w:bCs/>
                <w:sz w:val="18"/>
                <w:szCs w:val="18"/>
                <w:lang w:eastAsia="de-DE"/>
              </w:rPr>
              <w:t xml:space="preserve"> and </w:t>
            </w:r>
            <w:r w:rsidR="00E909E9">
              <w:rPr>
                <w:b/>
                <w:bCs/>
                <w:sz w:val="18"/>
                <w:szCs w:val="18"/>
                <w:lang w:eastAsia="de-DE"/>
              </w:rPr>
              <w:t>SWT</w:t>
            </w:r>
            <w:r w:rsidRPr="004B13E8">
              <w:rPr>
                <w:b/>
                <w:bCs/>
                <w:sz w:val="18"/>
                <w:szCs w:val="18"/>
                <w:lang w:eastAsia="de-DE"/>
              </w:rPr>
              <w:t xml:space="preserve"> trajectories to 2050 (kg/USD)</w:t>
            </w:r>
          </w:p>
          <w:p w14:paraId="3974E4F2" w14:textId="168BC2EC" w:rsidR="00520A62" w:rsidRPr="00520A62" w:rsidRDefault="00520A62" w:rsidP="00301613">
            <w:pPr>
              <w:jc w:val="center"/>
              <w:rPr>
                <w:b/>
                <w:bCs/>
                <w:sz w:val="18"/>
                <w:szCs w:val="18"/>
                <w:lang w:val="en-US" w:eastAsia="de-DE"/>
              </w:rPr>
            </w:pPr>
          </w:p>
        </w:tc>
      </w:tr>
      <w:tr w:rsidR="004B13E8" w:rsidRPr="00520A62" w14:paraId="021A2286" w14:textId="77777777" w:rsidTr="00DC27C6">
        <w:trPr>
          <w:trHeight w:val="3573"/>
        </w:trPr>
        <w:tc>
          <w:tcPr>
            <w:tcW w:w="4486" w:type="dxa"/>
            <w:tcBorders>
              <w:top w:val="single" w:sz="4" w:space="0" w:color="auto"/>
            </w:tcBorders>
          </w:tcPr>
          <w:p w14:paraId="3B35979A" w14:textId="1E9A197B" w:rsidR="004B13E8" w:rsidRPr="00520A62" w:rsidRDefault="00DC27C6" w:rsidP="00520A62">
            <w:pPr>
              <w:rPr>
                <w:b/>
                <w:bCs/>
                <w:sz w:val="18"/>
                <w:szCs w:val="18"/>
              </w:rPr>
            </w:pPr>
            <w:r>
              <w:rPr>
                <w:noProof/>
              </w:rPr>
              <w:drawing>
                <wp:inline distT="0" distB="0" distL="0" distR="0" wp14:anchorId="18D040AE" wp14:editId="084E0125">
                  <wp:extent cx="2743620" cy="2165715"/>
                  <wp:effectExtent l="0" t="0" r="0" b="6350"/>
                  <wp:docPr id="30" name="Chart 30">
                    <a:extLst xmlns:a="http://schemas.openxmlformats.org/drawingml/2006/main">
                      <a:ext uri="{FF2B5EF4-FFF2-40B4-BE49-F238E27FC236}">
                        <a16:creationId xmlns:a16="http://schemas.microsoft.com/office/drawing/2014/main" id="{08B1A9D4-C831-486E-3463-4E500286376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c>
          <w:tcPr>
            <w:tcW w:w="4540" w:type="dxa"/>
            <w:tcBorders>
              <w:top w:val="single" w:sz="4" w:space="0" w:color="auto"/>
            </w:tcBorders>
          </w:tcPr>
          <w:p w14:paraId="1205C318" w14:textId="77777777" w:rsidR="004B13E8" w:rsidRPr="004B13E8" w:rsidRDefault="004B13E8" w:rsidP="004B13E8">
            <w:pPr>
              <w:rPr>
                <w:b/>
                <w:bCs/>
                <w:sz w:val="18"/>
                <w:szCs w:val="18"/>
                <w:lang w:eastAsia="de-DE"/>
              </w:rPr>
            </w:pPr>
          </w:p>
        </w:tc>
      </w:tr>
      <w:tr w:rsidR="004B13E8" w:rsidRPr="00520A62" w14:paraId="42500F0D" w14:textId="77777777" w:rsidTr="00DC27C6">
        <w:tc>
          <w:tcPr>
            <w:tcW w:w="4486" w:type="dxa"/>
            <w:tcBorders>
              <w:bottom w:val="single" w:sz="4" w:space="0" w:color="auto"/>
            </w:tcBorders>
          </w:tcPr>
          <w:p w14:paraId="18BB3991" w14:textId="0AFE0FE6" w:rsidR="004B13E8" w:rsidRPr="00520A62" w:rsidRDefault="004B13E8" w:rsidP="00301613">
            <w:pPr>
              <w:jc w:val="center"/>
              <w:rPr>
                <w:b/>
                <w:bCs/>
                <w:sz w:val="18"/>
                <w:szCs w:val="18"/>
              </w:rPr>
            </w:pPr>
            <w:r w:rsidRPr="004B13E8">
              <w:rPr>
                <w:b/>
                <w:bCs/>
                <w:sz w:val="18"/>
                <w:szCs w:val="18"/>
              </w:rPr>
              <w:t>2(</w:t>
            </w:r>
            <w:r>
              <w:rPr>
                <w:b/>
                <w:bCs/>
                <w:sz w:val="18"/>
                <w:szCs w:val="18"/>
              </w:rPr>
              <w:t>e</w:t>
            </w:r>
            <w:r w:rsidRPr="004B13E8">
              <w:rPr>
                <w:b/>
                <w:bCs/>
                <w:sz w:val="18"/>
                <w:szCs w:val="18"/>
              </w:rPr>
              <w:t xml:space="preserve">) Projected Domestic Material Consumption (DMC) for </w:t>
            </w:r>
            <w:r w:rsidR="00E909E9">
              <w:rPr>
                <w:b/>
                <w:bCs/>
                <w:sz w:val="18"/>
                <w:szCs w:val="18"/>
              </w:rPr>
              <w:t>BBS</w:t>
            </w:r>
            <w:r w:rsidRPr="004B13E8">
              <w:rPr>
                <w:b/>
                <w:bCs/>
                <w:sz w:val="18"/>
                <w:szCs w:val="18"/>
              </w:rPr>
              <w:t xml:space="preserve"> and </w:t>
            </w:r>
            <w:r w:rsidR="00E909E9">
              <w:rPr>
                <w:b/>
                <w:bCs/>
                <w:sz w:val="18"/>
                <w:szCs w:val="18"/>
              </w:rPr>
              <w:t>SWT</w:t>
            </w:r>
            <w:r w:rsidRPr="004B13E8">
              <w:rPr>
                <w:b/>
                <w:bCs/>
                <w:sz w:val="18"/>
                <w:szCs w:val="18"/>
              </w:rPr>
              <w:t xml:space="preserve"> trajectories to 2050 (Mt)</w:t>
            </w:r>
          </w:p>
        </w:tc>
        <w:tc>
          <w:tcPr>
            <w:tcW w:w="4540" w:type="dxa"/>
            <w:tcBorders>
              <w:bottom w:val="single" w:sz="4" w:space="0" w:color="auto"/>
            </w:tcBorders>
          </w:tcPr>
          <w:p w14:paraId="619C3FFF" w14:textId="77777777" w:rsidR="004B13E8" w:rsidRPr="004B13E8" w:rsidRDefault="004B13E8" w:rsidP="00301613">
            <w:pPr>
              <w:jc w:val="center"/>
              <w:rPr>
                <w:b/>
                <w:bCs/>
                <w:sz w:val="18"/>
                <w:szCs w:val="18"/>
                <w:lang w:eastAsia="de-DE"/>
              </w:rPr>
            </w:pPr>
          </w:p>
        </w:tc>
      </w:tr>
    </w:tbl>
    <w:p w14:paraId="22B21F1F" w14:textId="5E89F14D" w:rsidR="005633F9" w:rsidRDefault="005633F9" w:rsidP="005633F9">
      <w:pPr>
        <w:pStyle w:val="Heading2"/>
      </w:pPr>
      <w:bookmarkStart w:id="5" w:name="_Toc123651715"/>
      <w:r w:rsidRPr="00670AFC">
        <w:lastRenderedPageBreak/>
        <w:t xml:space="preserve">Supplementary Figure </w:t>
      </w:r>
      <w:r w:rsidR="000F5E1D">
        <w:t>5</w:t>
      </w:r>
      <w:r w:rsidRPr="00670AFC">
        <w:t xml:space="preserve">. </w:t>
      </w:r>
      <w:r w:rsidR="00E909E9">
        <w:t>SWT</w:t>
      </w:r>
      <w:r>
        <w:t xml:space="preserve"> and </w:t>
      </w:r>
      <w:r w:rsidR="00E909E9">
        <w:t>BBS</w:t>
      </w:r>
      <w:r>
        <w:t xml:space="preserve"> projections for key indicators relating to TP3</w:t>
      </w:r>
      <w:r w:rsidR="000F7DB0">
        <w:t>: Sustainable Food Systems</w:t>
      </w:r>
      <w:bookmarkEnd w:id="5"/>
      <w:r w:rsidR="000F7DB0">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3"/>
        <w:gridCol w:w="4513"/>
      </w:tblGrid>
      <w:tr w:rsidR="00301613" w14:paraId="75D3A407" w14:textId="77777777" w:rsidTr="00EB6101">
        <w:trPr>
          <w:trHeight w:val="3902"/>
        </w:trPr>
        <w:tc>
          <w:tcPr>
            <w:tcW w:w="4513" w:type="dxa"/>
            <w:tcBorders>
              <w:top w:val="single" w:sz="4" w:space="0" w:color="auto"/>
            </w:tcBorders>
          </w:tcPr>
          <w:p w14:paraId="4034091A" w14:textId="7BA3A0ED" w:rsidR="00301613" w:rsidRDefault="00A955AE" w:rsidP="00301613">
            <w:pPr>
              <w:rPr>
                <w:lang w:val="en-US" w:eastAsia="de-DE"/>
              </w:rPr>
            </w:pPr>
            <w:r>
              <w:rPr>
                <w:noProof/>
              </w:rPr>
              <w:drawing>
                <wp:inline distT="0" distB="0" distL="0" distR="0" wp14:anchorId="4F619623" wp14:editId="2B48C09A">
                  <wp:extent cx="2741295" cy="2461847"/>
                  <wp:effectExtent l="0" t="0" r="1905" b="0"/>
                  <wp:docPr id="32" name="Chart 32">
                    <a:extLst xmlns:a="http://schemas.openxmlformats.org/drawingml/2006/main">
                      <a:ext uri="{FF2B5EF4-FFF2-40B4-BE49-F238E27FC236}">
                        <a16:creationId xmlns:a16="http://schemas.microsoft.com/office/drawing/2014/main" id="{BD8714F1-A4A4-C0B2-6825-D019CBDAD42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c>
        <w:tc>
          <w:tcPr>
            <w:tcW w:w="4513" w:type="dxa"/>
            <w:tcBorders>
              <w:top w:val="single" w:sz="4" w:space="0" w:color="auto"/>
            </w:tcBorders>
          </w:tcPr>
          <w:p w14:paraId="274DFC45" w14:textId="78D6E85F" w:rsidR="00301613" w:rsidRDefault="00246192" w:rsidP="00301613">
            <w:pPr>
              <w:rPr>
                <w:lang w:val="en-US" w:eastAsia="de-DE"/>
              </w:rPr>
            </w:pPr>
            <w:r>
              <w:rPr>
                <w:noProof/>
              </w:rPr>
              <w:drawing>
                <wp:inline distT="0" distB="0" distL="0" distR="0" wp14:anchorId="679D7F3E" wp14:editId="20275BBF">
                  <wp:extent cx="2743620" cy="2397443"/>
                  <wp:effectExtent l="0" t="0" r="0" b="3175"/>
                  <wp:docPr id="33" name="Chart 33">
                    <a:extLst xmlns:a="http://schemas.openxmlformats.org/drawingml/2006/main">
                      <a:ext uri="{FF2B5EF4-FFF2-40B4-BE49-F238E27FC236}">
                        <a16:creationId xmlns:a16="http://schemas.microsoft.com/office/drawing/2014/main" id="{078F4E59-A404-9DA9-9CDC-191C0571E78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tc>
      </w:tr>
      <w:tr w:rsidR="00301613" w:rsidRPr="00414864" w14:paraId="5B2AE88E" w14:textId="77777777" w:rsidTr="00EB6101">
        <w:tc>
          <w:tcPr>
            <w:tcW w:w="4513" w:type="dxa"/>
            <w:tcBorders>
              <w:bottom w:val="single" w:sz="4" w:space="0" w:color="auto"/>
            </w:tcBorders>
          </w:tcPr>
          <w:p w14:paraId="1C574C4E" w14:textId="75424736" w:rsidR="00414864" w:rsidRPr="00414864" w:rsidRDefault="00414864" w:rsidP="00414864">
            <w:pPr>
              <w:jc w:val="center"/>
              <w:rPr>
                <w:sz w:val="18"/>
                <w:szCs w:val="18"/>
                <w:lang w:val="en-US" w:eastAsia="de-DE"/>
              </w:rPr>
            </w:pPr>
            <w:r w:rsidRPr="00414864">
              <w:rPr>
                <w:b/>
                <w:bCs/>
                <w:sz w:val="18"/>
                <w:szCs w:val="18"/>
              </w:rPr>
              <w:t xml:space="preserve">3(a) Projected share of harvested area sustainably managed for </w:t>
            </w:r>
            <w:r w:rsidR="00E909E9">
              <w:rPr>
                <w:b/>
                <w:bCs/>
                <w:sz w:val="18"/>
                <w:szCs w:val="18"/>
              </w:rPr>
              <w:t>BBS</w:t>
            </w:r>
            <w:r w:rsidRPr="00414864">
              <w:rPr>
                <w:b/>
                <w:bCs/>
                <w:sz w:val="18"/>
                <w:szCs w:val="18"/>
              </w:rPr>
              <w:t xml:space="preserve"> and </w:t>
            </w:r>
            <w:r w:rsidR="00E909E9">
              <w:rPr>
                <w:b/>
                <w:bCs/>
                <w:sz w:val="18"/>
                <w:szCs w:val="18"/>
              </w:rPr>
              <w:t>SWT</w:t>
            </w:r>
            <w:r w:rsidRPr="00414864">
              <w:rPr>
                <w:b/>
                <w:bCs/>
                <w:sz w:val="18"/>
                <w:szCs w:val="18"/>
              </w:rPr>
              <w:t xml:space="preserve"> trajectories to 2050 (%)</w:t>
            </w:r>
          </w:p>
          <w:p w14:paraId="53488CE3" w14:textId="77777777" w:rsidR="00301613" w:rsidRPr="00414864" w:rsidRDefault="00301613" w:rsidP="00414864">
            <w:pPr>
              <w:jc w:val="center"/>
              <w:rPr>
                <w:sz w:val="18"/>
                <w:szCs w:val="18"/>
                <w:lang w:val="en-US" w:eastAsia="de-DE"/>
              </w:rPr>
            </w:pPr>
          </w:p>
        </w:tc>
        <w:tc>
          <w:tcPr>
            <w:tcW w:w="4513" w:type="dxa"/>
            <w:tcBorders>
              <w:bottom w:val="single" w:sz="4" w:space="0" w:color="auto"/>
            </w:tcBorders>
          </w:tcPr>
          <w:p w14:paraId="3632D67C" w14:textId="084A8B5B" w:rsidR="00414864" w:rsidRPr="00414864" w:rsidRDefault="00414864" w:rsidP="00414864">
            <w:pPr>
              <w:jc w:val="center"/>
              <w:rPr>
                <w:sz w:val="18"/>
                <w:szCs w:val="18"/>
                <w:lang w:val="en-US" w:eastAsia="de-DE"/>
              </w:rPr>
            </w:pPr>
            <w:r w:rsidRPr="00414864">
              <w:rPr>
                <w:b/>
                <w:bCs/>
                <w:sz w:val="18"/>
                <w:szCs w:val="18"/>
                <w:lang w:eastAsia="de-DE"/>
              </w:rPr>
              <w:t xml:space="preserve">3(b) Projected per capita fertilizer (N) consumption for </w:t>
            </w:r>
            <w:r w:rsidR="00E909E9">
              <w:rPr>
                <w:b/>
                <w:bCs/>
                <w:sz w:val="18"/>
                <w:szCs w:val="18"/>
                <w:lang w:eastAsia="de-DE"/>
              </w:rPr>
              <w:t>BBS</w:t>
            </w:r>
            <w:r w:rsidRPr="00414864">
              <w:rPr>
                <w:b/>
                <w:bCs/>
                <w:sz w:val="18"/>
                <w:szCs w:val="18"/>
                <w:lang w:eastAsia="de-DE"/>
              </w:rPr>
              <w:t xml:space="preserve"> and </w:t>
            </w:r>
            <w:r w:rsidR="00E909E9">
              <w:rPr>
                <w:b/>
                <w:bCs/>
                <w:sz w:val="18"/>
                <w:szCs w:val="18"/>
                <w:lang w:eastAsia="de-DE"/>
              </w:rPr>
              <w:t>SWT</w:t>
            </w:r>
            <w:r w:rsidRPr="00414864">
              <w:rPr>
                <w:b/>
                <w:bCs/>
                <w:sz w:val="18"/>
                <w:szCs w:val="18"/>
                <w:lang w:eastAsia="de-DE"/>
              </w:rPr>
              <w:t xml:space="preserve"> trajectories to 2050 (kg/person/year)</w:t>
            </w:r>
          </w:p>
          <w:p w14:paraId="2151D37B" w14:textId="77777777" w:rsidR="00301613" w:rsidRPr="00414864" w:rsidRDefault="00301613" w:rsidP="00414864">
            <w:pPr>
              <w:jc w:val="center"/>
              <w:rPr>
                <w:sz w:val="18"/>
                <w:szCs w:val="18"/>
                <w:lang w:val="en-US" w:eastAsia="de-DE"/>
              </w:rPr>
            </w:pPr>
          </w:p>
        </w:tc>
      </w:tr>
      <w:tr w:rsidR="00301613" w14:paraId="29DD765D" w14:textId="77777777" w:rsidTr="002D6038">
        <w:tc>
          <w:tcPr>
            <w:tcW w:w="4513" w:type="dxa"/>
            <w:tcBorders>
              <w:top w:val="single" w:sz="4" w:space="0" w:color="auto"/>
            </w:tcBorders>
          </w:tcPr>
          <w:p w14:paraId="18286562" w14:textId="24A96345" w:rsidR="00301613" w:rsidRDefault="00EB6101" w:rsidP="00301613">
            <w:pPr>
              <w:rPr>
                <w:lang w:val="en-US" w:eastAsia="de-DE"/>
              </w:rPr>
            </w:pPr>
            <w:r>
              <w:rPr>
                <w:noProof/>
              </w:rPr>
              <w:drawing>
                <wp:inline distT="0" distB="0" distL="0" distR="0" wp14:anchorId="11522151" wp14:editId="16D4CC56">
                  <wp:extent cx="2743620" cy="2386014"/>
                  <wp:effectExtent l="0" t="0" r="0" b="0"/>
                  <wp:docPr id="36" name="Chart 36">
                    <a:extLst xmlns:a="http://schemas.openxmlformats.org/drawingml/2006/main">
                      <a:ext uri="{FF2B5EF4-FFF2-40B4-BE49-F238E27FC236}">
                        <a16:creationId xmlns:a16="http://schemas.microsoft.com/office/drawing/2014/main" id="{CD668F89-AB85-5E82-E81C-518C01803C2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tc>
        <w:tc>
          <w:tcPr>
            <w:tcW w:w="4513" w:type="dxa"/>
            <w:tcBorders>
              <w:top w:val="single" w:sz="4" w:space="0" w:color="auto"/>
            </w:tcBorders>
          </w:tcPr>
          <w:p w14:paraId="60C61340" w14:textId="211347E5" w:rsidR="00301613" w:rsidRDefault="002D6038" w:rsidP="00301613">
            <w:pPr>
              <w:rPr>
                <w:lang w:val="en-US" w:eastAsia="de-DE"/>
              </w:rPr>
            </w:pPr>
            <w:r>
              <w:rPr>
                <w:noProof/>
              </w:rPr>
              <w:drawing>
                <wp:inline distT="0" distB="0" distL="0" distR="0" wp14:anchorId="7BB9DE33" wp14:editId="248E4BB5">
                  <wp:extent cx="2739390" cy="2347913"/>
                  <wp:effectExtent l="0" t="0" r="3810" b="0"/>
                  <wp:docPr id="37" name="Chart 37">
                    <a:extLst xmlns:a="http://schemas.openxmlformats.org/drawingml/2006/main">
                      <a:ext uri="{FF2B5EF4-FFF2-40B4-BE49-F238E27FC236}">
                        <a16:creationId xmlns:a16="http://schemas.microsoft.com/office/drawing/2014/main" id="{B44D6CF3-3505-6DF1-60EC-00B9F5283D6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tc>
      </w:tr>
      <w:tr w:rsidR="00301613" w:rsidRPr="00414864" w14:paraId="77B57DF7" w14:textId="77777777" w:rsidTr="00EB6101">
        <w:tc>
          <w:tcPr>
            <w:tcW w:w="4513" w:type="dxa"/>
            <w:tcBorders>
              <w:bottom w:val="single" w:sz="4" w:space="0" w:color="auto"/>
            </w:tcBorders>
          </w:tcPr>
          <w:p w14:paraId="1C39BC41" w14:textId="1B9CE5F4" w:rsidR="00414864" w:rsidRPr="00414864" w:rsidRDefault="00414864" w:rsidP="00414864">
            <w:pPr>
              <w:jc w:val="center"/>
              <w:rPr>
                <w:sz w:val="18"/>
                <w:szCs w:val="18"/>
                <w:lang w:val="en-US" w:eastAsia="de-DE"/>
              </w:rPr>
            </w:pPr>
            <w:r w:rsidRPr="00414864">
              <w:rPr>
                <w:b/>
                <w:bCs/>
                <w:sz w:val="18"/>
                <w:szCs w:val="18"/>
                <w:lang w:eastAsia="de-DE"/>
              </w:rPr>
              <w:t xml:space="preserve">3(c) Projected non-energy agriculture GHG emissions for </w:t>
            </w:r>
            <w:r w:rsidR="00E909E9">
              <w:rPr>
                <w:b/>
                <w:bCs/>
                <w:sz w:val="18"/>
                <w:szCs w:val="18"/>
                <w:lang w:eastAsia="de-DE"/>
              </w:rPr>
              <w:t>BBS</w:t>
            </w:r>
            <w:r w:rsidRPr="00414864">
              <w:rPr>
                <w:b/>
                <w:bCs/>
                <w:sz w:val="18"/>
                <w:szCs w:val="18"/>
                <w:lang w:eastAsia="de-DE"/>
              </w:rPr>
              <w:t xml:space="preserve"> and </w:t>
            </w:r>
            <w:r w:rsidR="00E909E9">
              <w:rPr>
                <w:b/>
                <w:bCs/>
                <w:sz w:val="18"/>
                <w:szCs w:val="18"/>
                <w:lang w:eastAsia="de-DE"/>
              </w:rPr>
              <w:t>SWT</w:t>
            </w:r>
            <w:r w:rsidRPr="00414864">
              <w:rPr>
                <w:b/>
                <w:bCs/>
                <w:sz w:val="18"/>
                <w:szCs w:val="18"/>
                <w:lang w:eastAsia="de-DE"/>
              </w:rPr>
              <w:t xml:space="preserve"> trajectories to 2050 (Mt CO</w:t>
            </w:r>
            <w:r w:rsidRPr="00414864">
              <w:rPr>
                <w:b/>
                <w:bCs/>
                <w:sz w:val="18"/>
                <w:szCs w:val="18"/>
                <w:vertAlign w:val="subscript"/>
                <w:lang w:eastAsia="de-DE"/>
              </w:rPr>
              <w:t>2</w:t>
            </w:r>
            <w:r w:rsidRPr="00414864">
              <w:rPr>
                <w:b/>
                <w:bCs/>
                <w:sz w:val="18"/>
                <w:szCs w:val="18"/>
                <w:lang w:eastAsia="de-DE"/>
              </w:rPr>
              <w:t>-eq)</w:t>
            </w:r>
          </w:p>
          <w:p w14:paraId="301287C8" w14:textId="77777777" w:rsidR="00301613" w:rsidRPr="00414864" w:rsidRDefault="00301613" w:rsidP="00414864">
            <w:pPr>
              <w:jc w:val="center"/>
              <w:rPr>
                <w:sz w:val="18"/>
                <w:szCs w:val="18"/>
                <w:lang w:val="en-US" w:eastAsia="de-DE"/>
              </w:rPr>
            </w:pPr>
          </w:p>
        </w:tc>
        <w:tc>
          <w:tcPr>
            <w:tcW w:w="4513" w:type="dxa"/>
            <w:tcBorders>
              <w:bottom w:val="single" w:sz="4" w:space="0" w:color="auto"/>
            </w:tcBorders>
          </w:tcPr>
          <w:p w14:paraId="51EFCDC2" w14:textId="2D778D3B" w:rsidR="00301613" w:rsidRPr="00414864" w:rsidRDefault="00414864" w:rsidP="006E7B05">
            <w:pPr>
              <w:jc w:val="center"/>
              <w:rPr>
                <w:sz w:val="18"/>
                <w:szCs w:val="18"/>
                <w:lang w:val="en-US" w:eastAsia="de-DE"/>
              </w:rPr>
            </w:pPr>
            <w:r w:rsidRPr="00414864">
              <w:rPr>
                <w:b/>
                <w:bCs/>
                <w:sz w:val="18"/>
                <w:szCs w:val="18"/>
                <w:lang w:eastAsia="de-DE"/>
              </w:rPr>
              <w:t xml:space="preserve">3(d) Projected total agriculture production per labour unit for </w:t>
            </w:r>
            <w:r w:rsidR="00E909E9">
              <w:rPr>
                <w:b/>
                <w:bCs/>
                <w:sz w:val="18"/>
                <w:szCs w:val="18"/>
                <w:lang w:eastAsia="de-DE"/>
              </w:rPr>
              <w:t>BBS</w:t>
            </w:r>
            <w:r w:rsidRPr="00414864">
              <w:rPr>
                <w:b/>
                <w:bCs/>
                <w:sz w:val="18"/>
                <w:szCs w:val="18"/>
                <w:lang w:eastAsia="de-DE"/>
              </w:rPr>
              <w:t xml:space="preserve"> and </w:t>
            </w:r>
            <w:r w:rsidR="00E909E9">
              <w:rPr>
                <w:b/>
                <w:bCs/>
                <w:sz w:val="18"/>
                <w:szCs w:val="18"/>
                <w:lang w:eastAsia="de-DE"/>
              </w:rPr>
              <w:t>SWT</w:t>
            </w:r>
            <w:r w:rsidRPr="00414864">
              <w:rPr>
                <w:b/>
                <w:bCs/>
                <w:sz w:val="18"/>
                <w:szCs w:val="18"/>
                <w:lang w:eastAsia="de-DE"/>
              </w:rPr>
              <w:t xml:space="preserve"> trajectories to 2050 (t/person/year)</w:t>
            </w:r>
          </w:p>
        </w:tc>
      </w:tr>
    </w:tbl>
    <w:p w14:paraId="0B0052BF" w14:textId="77777777" w:rsidR="00301613" w:rsidRPr="00301613" w:rsidRDefault="00301613" w:rsidP="00301613">
      <w:pPr>
        <w:rPr>
          <w:lang w:val="en-US" w:eastAsia="de-DE"/>
        </w:rPr>
      </w:pPr>
    </w:p>
    <w:p w14:paraId="35927086" w14:textId="57C769E7" w:rsidR="003C2995" w:rsidRDefault="003C2995" w:rsidP="00B61430">
      <w:pPr>
        <w:spacing w:after="0"/>
        <w:rPr>
          <w:lang w:val="en-US" w:eastAsia="de-DE"/>
        </w:rPr>
      </w:pPr>
    </w:p>
    <w:p w14:paraId="2149305A" w14:textId="34F5320F" w:rsidR="00CF5BB6" w:rsidRDefault="00CF5BB6" w:rsidP="00E15D6B">
      <w:pPr>
        <w:spacing w:after="0"/>
        <w:rPr>
          <w:lang w:val="en-US" w:eastAsia="de-DE"/>
        </w:rPr>
      </w:pPr>
    </w:p>
    <w:p w14:paraId="2A046E42" w14:textId="6B9666F1" w:rsidR="000F7DB0" w:rsidRDefault="000F7DB0" w:rsidP="00284307">
      <w:pPr>
        <w:spacing w:after="0"/>
        <w:rPr>
          <w:lang w:val="en-US" w:eastAsia="de-DE"/>
        </w:rPr>
      </w:pPr>
    </w:p>
    <w:p w14:paraId="090BDC83" w14:textId="444D4787" w:rsidR="0027224A" w:rsidRDefault="0027224A">
      <w:pPr>
        <w:rPr>
          <w:lang w:val="en-US" w:eastAsia="de-DE"/>
        </w:rPr>
      </w:pPr>
      <w:r>
        <w:rPr>
          <w:lang w:val="en-US" w:eastAsia="de-DE"/>
        </w:rPr>
        <w:br w:type="page"/>
      </w:r>
    </w:p>
    <w:p w14:paraId="3B932134" w14:textId="5215DE09" w:rsidR="00B21EFD" w:rsidRDefault="0027224A" w:rsidP="0027224A">
      <w:pPr>
        <w:pStyle w:val="Heading2"/>
      </w:pPr>
      <w:bookmarkStart w:id="6" w:name="_Toc123651716"/>
      <w:r w:rsidRPr="00670AFC">
        <w:lastRenderedPageBreak/>
        <w:t xml:space="preserve">Supplementary Figure </w:t>
      </w:r>
      <w:r w:rsidR="000F5E1D">
        <w:t>6</w:t>
      </w:r>
      <w:r w:rsidRPr="00670AFC">
        <w:t xml:space="preserve">. </w:t>
      </w:r>
      <w:r w:rsidR="00E909E9">
        <w:t>SWT</w:t>
      </w:r>
      <w:r>
        <w:t xml:space="preserve"> and </w:t>
      </w:r>
      <w:r w:rsidR="00E909E9">
        <w:t>BBS</w:t>
      </w:r>
      <w:r>
        <w:t xml:space="preserve"> projections for key indicators relating to TP4: </w:t>
      </w:r>
      <w:r w:rsidR="00B21EFD">
        <w:t>Energy Decarbonization</w:t>
      </w:r>
      <w:bookmarkEnd w:id="6"/>
    </w:p>
    <w:tbl>
      <w:tblPr>
        <w:tblStyle w:val="TableGrid"/>
        <w:tblW w:w="90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246"/>
        <w:gridCol w:w="4244"/>
        <w:gridCol w:w="45"/>
      </w:tblGrid>
      <w:tr w:rsidR="00E6580E" w14:paraId="1858BA71" w14:textId="77777777" w:rsidTr="00E306ED">
        <w:trPr>
          <w:trHeight w:val="3572"/>
        </w:trPr>
        <w:tc>
          <w:tcPr>
            <w:tcW w:w="4536" w:type="dxa"/>
          </w:tcPr>
          <w:p w14:paraId="3EA7BF4C" w14:textId="0379437B" w:rsidR="00E6580E" w:rsidRDefault="00C57935" w:rsidP="00E6580E">
            <w:pPr>
              <w:rPr>
                <w:lang w:val="en-US" w:eastAsia="de-DE"/>
              </w:rPr>
            </w:pPr>
            <w:r>
              <w:rPr>
                <w:noProof/>
              </w:rPr>
              <w:drawing>
                <wp:inline distT="0" distB="0" distL="0" distR="0" wp14:anchorId="5E1E7317" wp14:editId="654FBAD4">
                  <wp:extent cx="2743200" cy="2719754"/>
                  <wp:effectExtent l="0" t="0" r="0" b="4445"/>
                  <wp:docPr id="38" name="Chart 38">
                    <a:extLst xmlns:a="http://schemas.openxmlformats.org/drawingml/2006/main">
                      <a:ext uri="{FF2B5EF4-FFF2-40B4-BE49-F238E27FC236}">
                        <a16:creationId xmlns:a16="http://schemas.microsoft.com/office/drawing/2014/main" id="{6CB86339-0D90-FAFE-6E56-45E434A391A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tc>
        <w:tc>
          <w:tcPr>
            <w:tcW w:w="4535" w:type="dxa"/>
            <w:gridSpan w:val="3"/>
          </w:tcPr>
          <w:p w14:paraId="4462AB77" w14:textId="1289C1D6" w:rsidR="00E6580E" w:rsidRDefault="00E306ED" w:rsidP="00E6580E">
            <w:pPr>
              <w:rPr>
                <w:lang w:val="en-US" w:eastAsia="de-DE"/>
              </w:rPr>
            </w:pPr>
            <w:r>
              <w:rPr>
                <w:noProof/>
              </w:rPr>
              <w:drawing>
                <wp:inline distT="0" distB="0" distL="0" distR="0" wp14:anchorId="49DDD7CD" wp14:editId="672BB23C">
                  <wp:extent cx="2743200" cy="2684584"/>
                  <wp:effectExtent l="0" t="0" r="0" b="1905"/>
                  <wp:docPr id="40" name="Chart 40">
                    <a:extLst xmlns:a="http://schemas.openxmlformats.org/drawingml/2006/main">
                      <a:ext uri="{FF2B5EF4-FFF2-40B4-BE49-F238E27FC236}">
                        <a16:creationId xmlns:a16="http://schemas.microsoft.com/office/drawing/2014/main" id="{83D7F16F-8D95-FC39-F3EF-D25251066F1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tc>
      </w:tr>
      <w:tr w:rsidR="00E6580E" w:rsidRPr="00E6580E" w14:paraId="01A33CD5" w14:textId="77777777" w:rsidTr="008543AE">
        <w:trPr>
          <w:gridAfter w:val="1"/>
          <w:wAfter w:w="45" w:type="dxa"/>
        </w:trPr>
        <w:tc>
          <w:tcPr>
            <w:tcW w:w="4782" w:type="dxa"/>
            <w:gridSpan w:val="2"/>
          </w:tcPr>
          <w:p w14:paraId="6E73B2BE" w14:textId="43502AB1" w:rsidR="00E6580E" w:rsidRPr="00E6580E" w:rsidRDefault="00E6580E" w:rsidP="00E6580E">
            <w:pPr>
              <w:jc w:val="center"/>
              <w:rPr>
                <w:b/>
                <w:bCs/>
                <w:sz w:val="18"/>
                <w:szCs w:val="18"/>
                <w:lang w:val="en-US" w:eastAsia="de-DE"/>
              </w:rPr>
            </w:pPr>
            <w:r w:rsidRPr="00E6580E">
              <w:rPr>
                <w:b/>
                <w:bCs/>
                <w:sz w:val="18"/>
                <w:szCs w:val="18"/>
                <w:lang w:val="en-US" w:eastAsia="de-DE"/>
              </w:rPr>
              <w:t xml:space="preserve">4(a). Projected share of renewables in electricity generation for </w:t>
            </w:r>
            <w:r w:rsidR="00E909E9">
              <w:rPr>
                <w:b/>
                <w:bCs/>
                <w:sz w:val="18"/>
                <w:szCs w:val="18"/>
                <w:lang w:val="en-US" w:eastAsia="de-DE"/>
              </w:rPr>
              <w:t>BBS</w:t>
            </w:r>
            <w:r w:rsidRPr="00E6580E">
              <w:rPr>
                <w:b/>
                <w:bCs/>
                <w:sz w:val="18"/>
                <w:szCs w:val="18"/>
                <w:lang w:val="en-US" w:eastAsia="de-DE"/>
              </w:rPr>
              <w:t xml:space="preserve"> and </w:t>
            </w:r>
            <w:r w:rsidR="00E909E9">
              <w:rPr>
                <w:b/>
                <w:bCs/>
                <w:sz w:val="18"/>
                <w:szCs w:val="18"/>
                <w:lang w:val="en-US" w:eastAsia="de-DE"/>
              </w:rPr>
              <w:t>SWT</w:t>
            </w:r>
            <w:r w:rsidRPr="00E6580E">
              <w:rPr>
                <w:b/>
                <w:bCs/>
                <w:sz w:val="18"/>
                <w:szCs w:val="18"/>
                <w:lang w:val="en-US" w:eastAsia="de-DE"/>
              </w:rPr>
              <w:t xml:space="preserve"> trajectories to 2050 (%)</w:t>
            </w:r>
          </w:p>
          <w:p w14:paraId="1EF53C19" w14:textId="77777777" w:rsidR="00E6580E" w:rsidRPr="00E6580E" w:rsidRDefault="00E6580E" w:rsidP="00E6580E">
            <w:pPr>
              <w:jc w:val="center"/>
              <w:rPr>
                <w:sz w:val="18"/>
                <w:szCs w:val="18"/>
                <w:lang w:val="en-US" w:eastAsia="de-DE"/>
              </w:rPr>
            </w:pPr>
          </w:p>
        </w:tc>
        <w:tc>
          <w:tcPr>
            <w:tcW w:w="4244" w:type="dxa"/>
          </w:tcPr>
          <w:p w14:paraId="742023DB" w14:textId="2E7F1D2B" w:rsidR="00E6580E" w:rsidRPr="00E6580E" w:rsidRDefault="00E6580E" w:rsidP="00E6580E">
            <w:pPr>
              <w:jc w:val="center"/>
              <w:rPr>
                <w:b/>
                <w:bCs/>
                <w:sz w:val="18"/>
                <w:szCs w:val="18"/>
                <w:lang w:val="en-US" w:eastAsia="de-DE"/>
              </w:rPr>
            </w:pPr>
            <w:r w:rsidRPr="00E6580E">
              <w:rPr>
                <w:b/>
                <w:bCs/>
                <w:sz w:val="18"/>
                <w:szCs w:val="18"/>
                <w:lang w:val="en-US" w:eastAsia="de-DE"/>
              </w:rPr>
              <w:t xml:space="preserve">4(b). Projected share of renewables in total final energy consumption (TFEC) for </w:t>
            </w:r>
            <w:r w:rsidR="00E909E9">
              <w:rPr>
                <w:b/>
                <w:bCs/>
                <w:sz w:val="18"/>
                <w:szCs w:val="18"/>
                <w:lang w:val="en-US" w:eastAsia="de-DE"/>
              </w:rPr>
              <w:t>BBS</w:t>
            </w:r>
            <w:r w:rsidRPr="00E6580E">
              <w:rPr>
                <w:b/>
                <w:bCs/>
                <w:sz w:val="18"/>
                <w:szCs w:val="18"/>
                <w:lang w:val="en-US" w:eastAsia="de-DE"/>
              </w:rPr>
              <w:t xml:space="preserve"> and </w:t>
            </w:r>
            <w:r w:rsidR="00E909E9">
              <w:rPr>
                <w:b/>
                <w:bCs/>
                <w:sz w:val="18"/>
                <w:szCs w:val="18"/>
                <w:lang w:val="en-US" w:eastAsia="de-DE"/>
              </w:rPr>
              <w:t>SWT</w:t>
            </w:r>
            <w:r w:rsidRPr="00E6580E">
              <w:rPr>
                <w:b/>
                <w:bCs/>
                <w:sz w:val="18"/>
                <w:szCs w:val="18"/>
                <w:lang w:val="en-US" w:eastAsia="de-DE"/>
              </w:rPr>
              <w:t xml:space="preserve"> trajectories to 2050 (%)</w:t>
            </w:r>
          </w:p>
          <w:p w14:paraId="410F43A7" w14:textId="77777777" w:rsidR="00E6580E" w:rsidRPr="00E6580E" w:rsidRDefault="00E6580E" w:rsidP="00E6580E">
            <w:pPr>
              <w:jc w:val="center"/>
              <w:rPr>
                <w:sz w:val="18"/>
                <w:szCs w:val="18"/>
                <w:lang w:val="en-US" w:eastAsia="de-DE"/>
              </w:rPr>
            </w:pPr>
          </w:p>
        </w:tc>
      </w:tr>
    </w:tbl>
    <w:p w14:paraId="4D36D00B" w14:textId="77777777" w:rsidR="00E6580E" w:rsidRPr="00E6580E" w:rsidRDefault="00E6580E" w:rsidP="00E6580E">
      <w:pPr>
        <w:rPr>
          <w:lang w:val="en-US" w:eastAsia="de-DE"/>
        </w:rPr>
      </w:pPr>
    </w:p>
    <w:p w14:paraId="734D2C6F" w14:textId="21DC1CBF" w:rsidR="00B21EFD" w:rsidRDefault="00B21EFD" w:rsidP="00C41CCB">
      <w:pPr>
        <w:pStyle w:val="Heading2"/>
        <w:spacing w:after="0"/>
      </w:pPr>
    </w:p>
    <w:p w14:paraId="08287CEC" w14:textId="0F95ED63" w:rsidR="0027224A" w:rsidRDefault="0027224A" w:rsidP="00C41CCB">
      <w:pPr>
        <w:pStyle w:val="Heading2"/>
        <w:spacing w:after="0"/>
      </w:pPr>
      <w:r>
        <w:t xml:space="preserve"> </w:t>
      </w:r>
    </w:p>
    <w:p w14:paraId="582949A2" w14:textId="36636C72" w:rsidR="0027224A" w:rsidRDefault="0027224A" w:rsidP="00D70907">
      <w:pPr>
        <w:pStyle w:val="Heading2"/>
      </w:pPr>
      <w:r>
        <w:br w:type="page"/>
      </w:r>
    </w:p>
    <w:p w14:paraId="40958CF4" w14:textId="77777777" w:rsidR="0027224A" w:rsidRPr="000F7DB0" w:rsidRDefault="0027224A" w:rsidP="00D70907">
      <w:pPr>
        <w:pStyle w:val="Heading2"/>
        <w:sectPr w:rsidR="0027224A" w:rsidRPr="000F7DB0">
          <w:pgSz w:w="11906" w:h="16838"/>
          <w:pgMar w:top="1440" w:right="1440" w:bottom="1440" w:left="1440" w:header="708" w:footer="708" w:gutter="0"/>
          <w:cols w:space="708"/>
          <w:docGrid w:linePitch="360"/>
        </w:sectPr>
      </w:pPr>
    </w:p>
    <w:p w14:paraId="7A7BB453" w14:textId="3E1528FF" w:rsidR="00CE6E00" w:rsidRPr="00CE6E00" w:rsidRDefault="00A214DD" w:rsidP="00CE6E00">
      <w:pPr>
        <w:pStyle w:val="Heading2"/>
      </w:pPr>
      <w:bookmarkStart w:id="7" w:name="_Toc123651717"/>
      <w:r w:rsidRPr="00670AFC">
        <w:lastRenderedPageBreak/>
        <w:t xml:space="preserve">Supplementary </w:t>
      </w:r>
      <w:r>
        <w:t>Table</w:t>
      </w:r>
      <w:r w:rsidRPr="00670AFC">
        <w:t xml:space="preserve"> 1. </w:t>
      </w:r>
      <w:r w:rsidR="000B02CF">
        <w:t>Metanarratives for the trajectories</w:t>
      </w:r>
      <w:bookmarkEnd w:id="7"/>
    </w:p>
    <w:tbl>
      <w:tblPr>
        <w:tblStyle w:val="TableGrid"/>
        <w:tblW w:w="14034"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352"/>
        <w:gridCol w:w="12682"/>
      </w:tblGrid>
      <w:tr w:rsidR="00CE6E00" w:rsidRPr="005B0D03" w14:paraId="5E8236A6" w14:textId="77777777" w:rsidTr="00CE6E00">
        <w:tc>
          <w:tcPr>
            <w:tcW w:w="1352" w:type="dxa"/>
            <w:tcBorders>
              <w:top w:val="single" w:sz="4" w:space="0" w:color="auto"/>
              <w:bottom w:val="single" w:sz="4" w:space="0" w:color="auto"/>
            </w:tcBorders>
          </w:tcPr>
          <w:p w14:paraId="76C1DFBE" w14:textId="77777777" w:rsidR="00CE6E00" w:rsidRPr="005B0D03" w:rsidRDefault="00CE6E00" w:rsidP="00462401">
            <w:pPr>
              <w:rPr>
                <w:i/>
                <w:iCs/>
                <w:sz w:val="18"/>
                <w:szCs w:val="18"/>
              </w:rPr>
            </w:pPr>
            <w:r w:rsidRPr="005B0D03">
              <w:rPr>
                <w:i/>
                <w:iCs/>
                <w:sz w:val="18"/>
                <w:szCs w:val="18"/>
              </w:rPr>
              <w:t xml:space="preserve">Build Back </w:t>
            </w:r>
            <w:r>
              <w:rPr>
                <w:i/>
                <w:iCs/>
                <w:sz w:val="18"/>
                <w:szCs w:val="18"/>
              </w:rPr>
              <w:t>the Same (BBS)</w:t>
            </w:r>
          </w:p>
        </w:tc>
        <w:tc>
          <w:tcPr>
            <w:tcW w:w="12682" w:type="dxa"/>
            <w:tcBorders>
              <w:top w:val="single" w:sz="4" w:space="0" w:color="auto"/>
              <w:bottom w:val="single" w:sz="4" w:space="0" w:color="auto"/>
            </w:tcBorders>
          </w:tcPr>
          <w:p w14:paraId="06B16527" w14:textId="77777777" w:rsidR="00CE6E00" w:rsidRPr="008E158B" w:rsidRDefault="00CE6E00" w:rsidP="00462401">
            <w:pPr>
              <w:rPr>
                <w:i/>
                <w:iCs/>
                <w:sz w:val="18"/>
                <w:szCs w:val="18"/>
              </w:rPr>
            </w:pPr>
            <w:r w:rsidRPr="008E158B">
              <w:rPr>
                <w:i/>
                <w:iCs/>
                <w:sz w:val="18"/>
                <w:szCs w:val="18"/>
              </w:rPr>
              <w:t xml:space="preserve">Australia’s post-COVID trajectory is based on a gas-led recovery and return to the status quo which pays little attention to the SDGs and leaves little room for structural change. In this recovery trajectory, we assume that political inertia in addressing climate change </w:t>
            </w:r>
            <w:r>
              <w:rPr>
                <w:i/>
                <w:iCs/>
                <w:sz w:val="18"/>
                <w:szCs w:val="18"/>
              </w:rPr>
              <w:t>r</w:t>
            </w:r>
            <w:r w:rsidRPr="008E158B">
              <w:rPr>
                <w:i/>
                <w:iCs/>
                <w:sz w:val="18"/>
                <w:szCs w:val="18"/>
              </w:rPr>
              <w:t xml:space="preserve">emains unchecked, opportunities for governance improvements </w:t>
            </w:r>
            <w:r>
              <w:rPr>
                <w:i/>
                <w:iCs/>
                <w:sz w:val="18"/>
                <w:szCs w:val="18"/>
              </w:rPr>
              <w:t>such as</w:t>
            </w:r>
            <w:r w:rsidRPr="008E158B">
              <w:rPr>
                <w:i/>
                <w:iCs/>
                <w:sz w:val="18"/>
                <w:szCs w:val="18"/>
              </w:rPr>
              <w:t xml:space="preserve"> a national anti-corruption commission are postponed or watered down, and that government economic stimulus tapers off after 2021. Government expenditure and revenue settings largely return to pre-COVID levels</w:t>
            </w:r>
            <w:r>
              <w:rPr>
                <w:i/>
                <w:iCs/>
                <w:sz w:val="18"/>
                <w:szCs w:val="18"/>
              </w:rPr>
              <w:t xml:space="preserve"> (</w:t>
            </w:r>
            <w:r w:rsidRPr="00E85677">
              <w:rPr>
                <w:i/>
                <w:iCs/>
                <w:sz w:val="18"/>
                <w:szCs w:val="18"/>
              </w:rPr>
              <w:t>Supplementary Table 2</w:t>
            </w:r>
            <w:r>
              <w:rPr>
                <w:i/>
                <w:iCs/>
                <w:sz w:val="18"/>
                <w:szCs w:val="18"/>
              </w:rPr>
              <w:t>)</w:t>
            </w:r>
            <w:r w:rsidRPr="008E158B">
              <w:rPr>
                <w:i/>
                <w:iCs/>
                <w:sz w:val="18"/>
                <w:szCs w:val="18"/>
              </w:rPr>
              <w:t>, with the inclusion of additional legislated tax cuts resulting in a less distributive tax system. This places Australia largely on a business-as-usual recovery pathway which sees a continuation of pre-COVID trends.</w:t>
            </w:r>
          </w:p>
        </w:tc>
      </w:tr>
      <w:tr w:rsidR="00CE6E00" w:rsidRPr="005B0D03" w14:paraId="1E3F429B" w14:textId="77777777" w:rsidTr="00CE6E00">
        <w:tc>
          <w:tcPr>
            <w:tcW w:w="1352" w:type="dxa"/>
            <w:tcBorders>
              <w:top w:val="single" w:sz="4" w:space="0" w:color="auto"/>
              <w:bottom w:val="single" w:sz="4" w:space="0" w:color="auto"/>
            </w:tcBorders>
          </w:tcPr>
          <w:p w14:paraId="447761F6" w14:textId="77777777" w:rsidR="00CE6E00" w:rsidRPr="005B0D03" w:rsidRDefault="00CE6E00" w:rsidP="00462401">
            <w:pPr>
              <w:rPr>
                <w:i/>
                <w:iCs/>
                <w:sz w:val="18"/>
                <w:szCs w:val="18"/>
              </w:rPr>
            </w:pPr>
            <w:r>
              <w:rPr>
                <w:i/>
                <w:iCs/>
                <w:sz w:val="18"/>
                <w:szCs w:val="18"/>
              </w:rPr>
              <w:t>Sustainable Wellbeing Transformation (SWT)</w:t>
            </w:r>
          </w:p>
        </w:tc>
        <w:tc>
          <w:tcPr>
            <w:tcW w:w="12682" w:type="dxa"/>
            <w:tcBorders>
              <w:top w:val="single" w:sz="4" w:space="0" w:color="auto"/>
              <w:bottom w:val="single" w:sz="4" w:space="0" w:color="auto"/>
            </w:tcBorders>
          </w:tcPr>
          <w:p w14:paraId="32F5E42C" w14:textId="77777777" w:rsidR="00CE6E00" w:rsidRPr="005B0D03" w:rsidRDefault="00CE6E00" w:rsidP="00462401">
            <w:pPr>
              <w:rPr>
                <w:i/>
                <w:iCs/>
                <w:sz w:val="18"/>
                <w:szCs w:val="18"/>
              </w:rPr>
            </w:pPr>
            <w:r w:rsidRPr="004D6BA8">
              <w:rPr>
                <w:i/>
                <w:iCs/>
                <w:sz w:val="18"/>
                <w:szCs w:val="18"/>
              </w:rPr>
              <w:t>With the convergence of multiple</w:t>
            </w:r>
            <w:r>
              <w:rPr>
                <w:i/>
                <w:iCs/>
                <w:sz w:val="18"/>
                <w:szCs w:val="18"/>
              </w:rPr>
              <w:t xml:space="preserve"> compounding</w:t>
            </w:r>
            <w:r w:rsidRPr="004D6BA8">
              <w:rPr>
                <w:i/>
                <w:iCs/>
                <w:sz w:val="18"/>
                <w:szCs w:val="18"/>
              </w:rPr>
              <w:t xml:space="preserve"> crises, a pervasive narrative emerges in Australia around the need for structural change and to build back better</w:t>
            </w:r>
            <w:r>
              <w:rPr>
                <w:i/>
                <w:iCs/>
                <w:sz w:val="18"/>
                <w:szCs w:val="18"/>
              </w:rPr>
              <w:t xml:space="preserve"> using the SDGs as a roadmap. This gains support from powerful actors and coalitions which legitimizes stronger policy action and a more interventionist approach by governments in setting targets, launching missions, shaping markets, investing in infrastructure, and regulating business. The crises weaken resistance from incumbent actors and coalitions for change gather momentum. Elections shift the political landscape and disrupt existing power balances. Governments form strong coalitions with powerful actors from business and civil society to prosecute a sustainable recovery based on </w:t>
            </w:r>
            <w:r w:rsidRPr="00B75124">
              <w:rPr>
                <w:i/>
                <w:iCs/>
                <w:sz w:val="18"/>
                <w:szCs w:val="18"/>
              </w:rPr>
              <w:t>a six-pronged transformation agenda</w:t>
            </w:r>
            <w:r>
              <w:rPr>
                <w:i/>
                <w:iCs/>
                <w:sz w:val="18"/>
                <w:szCs w:val="18"/>
              </w:rPr>
              <w:t xml:space="preserve"> guided by the SDGs. </w:t>
            </w:r>
            <w:r w:rsidRPr="00B75124">
              <w:rPr>
                <w:i/>
                <w:iCs/>
                <w:sz w:val="18"/>
                <w:szCs w:val="18"/>
              </w:rPr>
              <w:t>A legislated anti-corruption commission tempers the influence of vested interests and improves government effectiveness</w:t>
            </w:r>
            <w:r>
              <w:rPr>
                <w:i/>
                <w:iCs/>
                <w:sz w:val="18"/>
                <w:szCs w:val="18"/>
              </w:rPr>
              <w:t xml:space="preserve"> and political </w:t>
            </w:r>
            <w:r w:rsidRPr="00B75124">
              <w:rPr>
                <w:i/>
                <w:iCs/>
                <w:sz w:val="18"/>
                <w:szCs w:val="18"/>
              </w:rPr>
              <w:t>stability.</w:t>
            </w:r>
            <w:r>
              <w:rPr>
                <w:i/>
                <w:iCs/>
                <w:sz w:val="18"/>
                <w:szCs w:val="18"/>
              </w:rPr>
              <w:t xml:space="preserve"> To accelerate progress, governments make additional targeted investments through to 2030 (</w:t>
            </w:r>
            <w:r w:rsidRPr="00E85677">
              <w:rPr>
                <w:i/>
                <w:iCs/>
                <w:sz w:val="18"/>
                <w:szCs w:val="18"/>
              </w:rPr>
              <w:t>Supplementary Table 2</w:t>
            </w:r>
            <w:r>
              <w:rPr>
                <w:i/>
                <w:iCs/>
                <w:sz w:val="18"/>
                <w:szCs w:val="18"/>
              </w:rPr>
              <w:t xml:space="preserve">), which is packaged around six transformative ‘missions’ with clear goals and targets. Over the longer-term, ambitious action continues to reach net zero by 2050.  </w:t>
            </w:r>
          </w:p>
        </w:tc>
      </w:tr>
    </w:tbl>
    <w:p w14:paraId="7BEAE6E2" w14:textId="77777777" w:rsidR="00CE6E00" w:rsidRDefault="00CE6E00" w:rsidP="00CE6E00">
      <w:pPr>
        <w:spacing w:after="0"/>
        <w:rPr>
          <w:noProof/>
        </w:rPr>
      </w:pPr>
    </w:p>
    <w:p w14:paraId="2EA281B9" w14:textId="77777777" w:rsidR="008B671A" w:rsidRDefault="008B671A" w:rsidP="008B671A">
      <w:pPr>
        <w:rPr>
          <w:lang w:val="en-US" w:eastAsia="de-DE"/>
        </w:rPr>
      </w:pPr>
    </w:p>
    <w:p w14:paraId="41FF9B37" w14:textId="48BF4739" w:rsidR="00394860" w:rsidRDefault="00394860" w:rsidP="00394860">
      <w:pPr>
        <w:pStyle w:val="Heading2"/>
        <w:rPr>
          <w:lang w:val="en-AU"/>
        </w:rPr>
      </w:pPr>
      <w:bookmarkStart w:id="8" w:name="_Toc123651718"/>
      <w:r w:rsidRPr="004C0BB7">
        <w:rPr>
          <w:lang w:val="en-AU"/>
        </w:rPr>
        <w:t xml:space="preserve">Supplementary Table </w:t>
      </w:r>
      <w:r w:rsidR="00FB7967" w:rsidRPr="004C0BB7">
        <w:rPr>
          <w:lang w:val="en-AU"/>
        </w:rPr>
        <w:t>2</w:t>
      </w:r>
      <w:r w:rsidRPr="004C0BB7">
        <w:rPr>
          <w:lang w:val="en-AU"/>
        </w:rPr>
        <w:t xml:space="preserve">. Scenario </w:t>
      </w:r>
      <w:r w:rsidR="006125C1">
        <w:rPr>
          <w:lang w:val="en-AU"/>
        </w:rPr>
        <w:t xml:space="preserve">Policy Settings and </w:t>
      </w:r>
      <w:r w:rsidRPr="004C0BB7">
        <w:rPr>
          <w:lang w:val="en-AU"/>
        </w:rPr>
        <w:t xml:space="preserve">Assumptions – </w:t>
      </w:r>
      <w:r w:rsidR="00E909E9">
        <w:rPr>
          <w:lang w:val="en-AU"/>
        </w:rPr>
        <w:t>BBS</w:t>
      </w:r>
      <w:r w:rsidRPr="004C0BB7">
        <w:rPr>
          <w:lang w:val="en-AU"/>
        </w:rPr>
        <w:t xml:space="preserve"> and </w:t>
      </w:r>
      <w:r w:rsidR="00E909E9">
        <w:rPr>
          <w:lang w:val="en-AU"/>
        </w:rPr>
        <w:t>SWT</w:t>
      </w:r>
      <w:r w:rsidRPr="004C0BB7">
        <w:rPr>
          <w:lang w:val="en-AU"/>
        </w:rPr>
        <w:t xml:space="preserve"> </w:t>
      </w:r>
      <w:r w:rsidR="006125C1">
        <w:rPr>
          <w:lang w:val="en-AU"/>
        </w:rPr>
        <w:t>‘Accelerators’</w:t>
      </w:r>
      <w:bookmarkEnd w:id="8"/>
    </w:p>
    <w:tbl>
      <w:tblPr>
        <w:tblStyle w:val="TableGrid"/>
        <w:tblW w:w="14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2557"/>
        <w:gridCol w:w="2693"/>
        <w:gridCol w:w="2552"/>
        <w:gridCol w:w="4110"/>
      </w:tblGrid>
      <w:tr w:rsidR="003D7A86" w:rsidRPr="004F1038" w14:paraId="3099DE52" w14:textId="77777777" w:rsidTr="002D17A6">
        <w:tc>
          <w:tcPr>
            <w:tcW w:w="2263" w:type="dxa"/>
            <w:shd w:val="clear" w:color="auto" w:fill="808080" w:themeFill="background1" w:themeFillShade="80"/>
          </w:tcPr>
          <w:p w14:paraId="037375ED" w14:textId="77777777" w:rsidR="003D7A86" w:rsidRPr="004F1038" w:rsidRDefault="003D7A86" w:rsidP="007F346F">
            <w:pPr>
              <w:rPr>
                <w:b/>
                <w:bCs/>
                <w:color w:val="FFFFFF" w:themeColor="background1"/>
                <w:sz w:val="18"/>
                <w:szCs w:val="18"/>
              </w:rPr>
            </w:pPr>
            <w:r w:rsidRPr="004F1038">
              <w:rPr>
                <w:b/>
                <w:bCs/>
                <w:color w:val="FFFFFF" w:themeColor="background1"/>
                <w:sz w:val="18"/>
                <w:szCs w:val="18"/>
              </w:rPr>
              <w:t>Transformations</w:t>
            </w:r>
          </w:p>
        </w:tc>
        <w:tc>
          <w:tcPr>
            <w:tcW w:w="2557" w:type="dxa"/>
            <w:shd w:val="clear" w:color="auto" w:fill="808080" w:themeFill="background1" w:themeFillShade="80"/>
          </w:tcPr>
          <w:p w14:paraId="7F7FAFBA" w14:textId="77777777" w:rsidR="003D7A86" w:rsidRPr="004F1038" w:rsidRDefault="003D7A86" w:rsidP="007F346F">
            <w:pPr>
              <w:rPr>
                <w:b/>
                <w:bCs/>
                <w:color w:val="FFFFFF" w:themeColor="background1"/>
                <w:sz w:val="18"/>
                <w:szCs w:val="18"/>
              </w:rPr>
            </w:pPr>
            <w:r w:rsidRPr="004F1038">
              <w:rPr>
                <w:b/>
                <w:bCs/>
                <w:color w:val="FFFFFF" w:themeColor="background1"/>
                <w:sz w:val="18"/>
                <w:szCs w:val="18"/>
              </w:rPr>
              <w:t xml:space="preserve">Interventions </w:t>
            </w:r>
          </w:p>
        </w:tc>
        <w:tc>
          <w:tcPr>
            <w:tcW w:w="2693" w:type="dxa"/>
            <w:shd w:val="clear" w:color="auto" w:fill="808080" w:themeFill="background1" w:themeFillShade="80"/>
          </w:tcPr>
          <w:p w14:paraId="60858055" w14:textId="00D6E86B" w:rsidR="003D7A86" w:rsidRPr="004F1038" w:rsidRDefault="003D7A86" w:rsidP="007F346F">
            <w:pPr>
              <w:jc w:val="center"/>
              <w:rPr>
                <w:b/>
                <w:bCs/>
                <w:color w:val="FFFFFF" w:themeColor="background1"/>
                <w:sz w:val="18"/>
                <w:szCs w:val="18"/>
              </w:rPr>
            </w:pPr>
            <w:r w:rsidRPr="004F1038">
              <w:rPr>
                <w:b/>
                <w:bCs/>
                <w:color w:val="FFFFFF" w:themeColor="background1"/>
                <w:sz w:val="18"/>
                <w:szCs w:val="18"/>
              </w:rPr>
              <w:t>Build Back</w:t>
            </w:r>
            <w:r>
              <w:rPr>
                <w:b/>
                <w:bCs/>
                <w:color w:val="FFFFFF" w:themeColor="background1"/>
                <w:sz w:val="18"/>
                <w:szCs w:val="18"/>
              </w:rPr>
              <w:t xml:space="preserve"> </w:t>
            </w:r>
            <w:r w:rsidR="00AE52E6">
              <w:rPr>
                <w:b/>
                <w:bCs/>
                <w:color w:val="FFFFFF" w:themeColor="background1"/>
                <w:sz w:val="18"/>
                <w:szCs w:val="18"/>
              </w:rPr>
              <w:t>the Same</w:t>
            </w:r>
            <w:r w:rsidR="00364EEF">
              <w:rPr>
                <w:b/>
                <w:bCs/>
                <w:color w:val="FFFFFF" w:themeColor="background1"/>
                <w:sz w:val="18"/>
                <w:szCs w:val="18"/>
              </w:rPr>
              <w:t xml:space="preserve"> </w:t>
            </w:r>
            <w:r>
              <w:rPr>
                <w:b/>
                <w:bCs/>
                <w:color w:val="FFFFFF" w:themeColor="background1"/>
                <w:sz w:val="18"/>
                <w:szCs w:val="18"/>
              </w:rPr>
              <w:t>(</w:t>
            </w:r>
            <w:r w:rsidR="00E909E9">
              <w:rPr>
                <w:b/>
                <w:bCs/>
                <w:color w:val="FFFFFF" w:themeColor="background1"/>
                <w:sz w:val="18"/>
                <w:szCs w:val="18"/>
              </w:rPr>
              <w:t>BBS</w:t>
            </w:r>
            <w:r>
              <w:rPr>
                <w:b/>
                <w:bCs/>
                <w:color w:val="FFFFFF" w:themeColor="background1"/>
                <w:sz w:val="18"/>
                <w:szCs w:val="18"/>
              </w:rPr>
              <w:t>)</w:t>
            </w:r>
          </w:p>
        </w:tc>
        <w:tc>
          <w:tcPr>
            <w:tcW w:w="2552" w:type="dxa"/>
            <w:shd w:val="clear" w:color="auto" w:fill="808080" w:themeFill="background1" w:themeFillShade="80"/>
          </w:tcPr>
          <w:p w14:paraId="7C993031" w14:textId="4DC05A69" w:rsidR="003D7A86" w:rsidRPr="004F1038" w:rsidRDefault="00AE52E6" w:rsidP="007F346F">
            <w:pPr>
              <w:jc w:val="center"/>
              <w:rPr>
                <w:b/>
                <w:bCs/>
                <w:color w:val="FFFFFF" w:themeColor="background1"/>
                <w:sz w:val="18"/>
                <w:szCs w:val="18"/>
              </w:rPr>
            </w:pPr>
            <w:r>
              <w:rPr>
                <w:b/>
                <w:bCs/>
                <w:color w:val="FFFFFF" w:themeColor="background1"/>
                <w:sz w:val="18"/>
                <w:szCs w:val="18"/>
              </w:rPr>
              <w:t>Sustainable Wellbeing Transformation</w:t>
            </w:r>
            <w:r w:rsidR="003D7A86">
              <w:rPr>
                <w:b/>
                <w:bCs/>
                <w:color w:val="FFFFFF" w:themeColor="background1"/>
                <w:sz w:val="18"/>
                <w:szCs w:val="18"/>
              </w:rPr>
              <w:t xml:space="preserve"> (</w:t>
            </w:r>
            <w:r w:rsidR="00E909E9">
              <w:rPr>
                <w:b/>
                <w:bCs/>
                <w:color w:val="FFFFFF" w:themeColor="background1"/>
                <w:sz w:val="18"/>
                <w:szCs w:val="18"/>
              </w:rPr>
              <w:t>SWT</w:t>
            </w:r>
            <w:r w:rsidR="003D7A86">
              <w:rPr>
                <w:b/>
                <w:bCs/>
                <w:color w:val="FFFFFF" w:themeColor="background1"/>
                <w:sz w:val="18"/>
                <w:szCs w:val="18"/>
              </w:rPr>
              <w:t>)</w:t>
            </w:r>
          </w:p>
        </w:tc>
        <w:tc>
          <w:tcPr>
            <w:tcW w:w="4110" w:type="dxa"/>
            <w:shd w:val="clear" w:color="auto" w:fill="808080" w:themeFill="background1" w:themeFillShade="80"/>
          </w:tcPr>
          <w:p w14:paraId="1BDAB68C" w14:textId="77777777" w:rsidR="003D7A86" w:rsidRPr="004F1038" w:rsidRDefault="003D7A86" w:rsidP="007F346F">
            <w:pPr>
              <w:rPr>
                <w:b/>
                <w:bCs/>
                <w:color w:val="FFFFFF" w:themeColor="background1"/>
                <w:sz w:val="18"/>
                <w:szCs w:val="18"/>
              </w:rPr>
            </w:pPr>
            <w:r w:rsidRPr="004F1038">
              <w:rPr>
                <w:b/>
                <w:bCs/>
                <w:color w:val="FFFFFF" w:themeColor="background1"/>
                <w:sz w:val="18"/>
                <w:szCs w:val="18"/>
              </w:rPr>
              <w:t>Source</w:t>
            </w:r>
            <w:r>
              <w:rPr>
                <w:b/>
                <w:bCs/>
                <w:color w:val="FFFFFF" w:themeColor="background1"/>
                <w:sz w:val="18"/>
                <w:szCs w:val="18"/>
              </w:rPr>
              <w:t>/Notes</w:t>
            </w:r>
          </w:p>
        </w:tc>
      </w:tr>
      <w:tr w:rsidR="003D7A86" w:rsidRPr="00AB491A" w14:paraId="43346D57" w14:textId="77777777" w:rsidTr="002D17A6">
        <w:tc>
          <w:tcPr>
            <w:tcW w:w="2263" w:type="dxa"/>
            <w:tcBorders>
              <w:bottom w:val="single" w:sz="4" w:space="0" w:color="auto"/>
              <w:right w:val="single" w:sz="4" w:space="0" w:color="auto"/>
            </w:tcBorders>
          </w:tcPr>
          <w:p w14:paraId="19F2B1E1" w14:textId="77777777" w:rsidR="003D7A86" w:rsidRPr="00AB491A" w:rsidRDefault="003D7A86" w:rsidP="007F346F">
            <w:pPr>
              <w:rPr>
                <w:sz w:val="18"/>
                <w:szCs w:val="18"/>
              </w:rPr>
            </w:pPr>
            <w:r>
              <w:rPr>
                <w:sz w:val="18"/>
                <w:szCs w:val="18"/>
              </w:rPr>
              <w:t>1. Wellbeing and Capabilities</w:t>
            </w:r>
          </w:p>
        </w:tc>
        <w:tc>
          <w:tcPr>
            <w:tcW w:w="2557" w:type="dxa"/>
            <w:tcBorders>
              <w:left w:val="single" w:sz="4" w:space="0" w:color="auto"/>
              <w:bottom w:val="single" w:sz="4" w:space="0" w:color="auto"/>
              <w:right w:val="single" w:sz="4" w:space="0" w:color="auto"/>
            </w:tcBorders>
          </w:tcPr>
          <w:p w14:paraId="0E9EC029" w14:textId="77777777" w:rsidR="003D7A86" w:rsidRPr="00AB491A" w:rsidRDefault="003D7A86" w:rsidP="007F346F">
            <w:pPr>
              <w:rPr>
                <w:sz w:val="18"/>
                <w:szCs w:val="18"/>
              </w:rPr>
            </w:pPr>
            <w:r>
              <w:rPr>
                <w:sz w:val="18"/>
                <w:szCs w:val="18"/>
              </w:rPr>
              <w:t>Additional education expenditure as % GDP</w:t>
            </w:r>
          </w:p>
        </w:tc>
        <w:tc>
          <w:tcPr>
            <w:tcW w:w="2693" w:type="dxa"/>
            <w:tcBorders>
              <w:left w:val="single" w:sz="4" w:space="0" w:color="auto"/>
              <w:bottom w:val="single" w:sz="4" w:space="0" w:color="auto"/>
              <w:right w:val="single" w:sz="4" w:space="0" w:color="auto"/>
            </w:tcBorders>
          </w:tcPr>
          <w:p w14:paraId="53088D25" w14:textId="08F64E5B" w:rsidR="0075300C" w:rsidRDefault="0075300C" w:rsidP="007F346F">
            <w:pPr>
              <w:jc w:val="center"/>
              <w:rPr>
                <w:sz w:val="18"/>
                <w:szCs w:val="18"/>
              </w:rPr>
            </w:pPr>
            <w:r>
              <w:rPr>
                <w:sz w:val="18"/>
                <w:szCs w:val="18"/>
              </w:rPr>
              <w:t>Return to Pre-COVID</w:t>
            </w:r>
          </w:p>
          <w:p w14:paraId="7B3E99F1" w14:textId="67B983F7" w:rsidR="003D7A86" w:rsidRDefault="003D7A86" w:rsidP="007F346F">
            <w:pPr>
              <w:jc w:val="center"/>
              <w:rPr>
                <w:sz w:val="18"/>
                <w:szCs w:val="18"/>
              </w:rPr>
            </w:pPr>
            <w:r>
              <w:rPr>
                <w:sz w:val="18"/>
                <w:szCs w:val="18"/>
              </w:rPr>
              <w:t>2020: 0.11</w:t>
            </w:r>
          </w:p>
          <w:p w14:paraId="2BA4A378" w14:textId="77777777" w:rsidR="003D7A86" w:rsidRDefault="003D7A86" w:rsidP="007F346F">
            <w:pPr>
              <w:jc w:val="center"/>
              <w:rPr>
                <w:sz w:val="18"/>
                <w:szCs w:val="18"/>
              </w:rPr>
            </w:pPr>
            <w:r>
              <w:rPr>
                <w:sz w:val="18"/>
                <w:szCs w:val="18"/>
              </w:rPr>
              <w:t>2021: 0.09</w:t>
            </w:r>
          </w:p>
          <w:p w14:paraId="6620023E" w14:textId="77777777" w:rsidR="003D7A86" w:rsidRDefault="003D7A86" w:rsidP="007F346F">
            <w:pPr>
              <w:jc w:val="center"/>
              <w:rPr>
                <w:sz w:val="18"/>
                <w:szCs w:val="18"/>
              </w:rPr>
            </w:pPr>
            <w:r>
              <w:rPr>
                <w:sz w:val="18"/>
                <w:szCs w:val="18"/>
              </w:rPr>
              <w:t>2022: 0</w:t>
            </w:r>
          </w:p>
          <w:p w14:paraId="7502E195" w14:textId="77777777" w:rsidR="003D7A86" w:rsidRPr="00AB491A" w:rsidRDefault="003D7A86" w:rsidP="007F346F">
            <w:pPr>
              <w:jc w:val="center"/>
              <w:rPr>
                <w:sz w:val="18"/>
                <w:szCs w:val="18"/>
              </w:rPr>
            </w:pPr>
            <w:r>
              <w:rPr>
                <w:sz w:val="18"/>
                <w:szCs w:val="18"/>
              </w:rPr>
              <w:t xml:space="preserve">2023-2030: 0 </w:t>
            </w:r>
          </w:p>
        </w:tc>
        <w:tc>
          <w:tcPr>
            <w:tcW w:w="2552" w:type="dxa"/>
            <w:tcBorders>
              <w:left w:val="single" w:sz="4" w:space="0" w:color="auto"/>
              <w:bottom w:val="single" w:sz="4" w:space="0" w:color="auto"/>
              <w:right w:val="single" w:sz="4" w:space="0" w:color="auto"/>
            </w:tcBorders>
          </w:tcPr>
          <w:p w14:paraId="6D398EEB" w14:textId="4757FDAD" w:rsidR="0075300C" w:rsidRDefault="0075300C" w:rsidP="007F346F">
            <w:pPr>
              <w:jc w:val="center"/>
              <w:rPr>
                <w:sz w:val="18"/>
                <w:szCs w:val="18"/>
              </w:rPr>
            </w:pPr>
            <w:r>
              <w:rPr>
                <w:sz w:val="18"/>
                <w:szCs w:val="18"/>
              </w:rPr>
              <w:t>Increase to 2030</w:t>
            </w:r>
          </w:p>
          <w:p w14:paraId="0A9501E6" w14:textId="6C289DC5" w:rsidR="003D7A86" w:rsidRDefault="003D7A86" w:rsidP="007F346F">
            <w:pPr>
              <w:jc w:val="center"/>
              <w:rPr>
                <w:sz w:val="18"/>
                <w:szCs w:val="18"/>
              </w:rPr>
            </w:pPr>
            <w:r>
              <w:rPr>
                <w:sz w:val="18"/>
                <w:szCs w:val="18"/>
              </w:rPr>
              <w:t>2020: 0.11</w:t>
            </w:r>
          </w:p>
          <w:p w14:paraId="11769645" w14:textId="77777777" w:rsidR="003D7A86" w:rsidRDefault="003D7A86" w:rsidP="007F346F">
            <w:pPr>
              <w:jc w:val="center"/>
              <w:rPr>
                <w:sz w:val="18"/>
                <w:szCs w:val="18"/>
              </w:rPr>
            </w:pPr>
            <w:r>
              <w:rPr>
                <w:sz w:val="18"/>
                <w:szCs w:val="18"/>
              </w:rPr>
              <w:t>2021: 0.5</w:t>
            </w:r>
          </w:p>
          <w:p w14:paraId="0D6F9402" w14:textId="77777777" w:rsidR="003D7A86" w:rsidRDefault="003D7A86" w:rsidP="007F346F">
            <w:pPr>
              <w:jc w:val="center"/>
              <w:rPr>
                <w:sz w:val="18"/>
                <w:szCs w:val="18"/>
              </w:rPr>
            </w:pPr>
            <w:r>
              <w:rPr>
                <w:sz w:val="18"/>
                <w:szCs w:val="18"/>
              </w:rPr>
              <w:t>2022: 0.3</w:t>
            </w:r>
          </w:p>
          <w:p w14:paraId="0C8DDA62" w14:textId="77777777" w:rsidR="003D7A86" w:rsidRPr="00AB491A" w:rsidRDefault="003D7A86" w:rsidP="007F346F">
            <w:pPr>
              <w:jc w:val="center"/>
              <w:rPr>
                <w:sz w:val="18"/>
                <w:szCs w:val="18"/>
              </w:rPr>
            </w:pPr>
            <w:r>
              <w:rPr>
                <w:sz w:val="18"/>
                <w:szCs w:val="18"/>
              </w:rPr>
              <w:t>2023-2030: 0.3</w:t>
            </w:r>
          </w:p>
        </w:tc>
        <w:tc>
          <w:tcPr>
            <w:tcW w:w="4110" w:type="dxa"/>
            <w:tcBorders>
              <w:left w:val="single" w:sz="4" w:space="0" w:color="auto"/>
              <w:bottom w:val="single" w:sz="4" w:space="0" w:color="auto"/>
            </w:tcBorders>
          </w:tcPr>
          <w:p w14:paraId="38FFAA48" w14:textId="596B8C76" w:rsidR="003D7A86" w:rsidRPr="00AB491A" w:rsidRDefault="003D7A86" w:rsidP="007F346F">
            <w:pPr>
              <w:rPr>
                <w:sz w:val="18"/>
                <w:szCs w:val="18"/>
              </w:rPr>
            </w:pPr>
            <w:r w:rsidRPr="00C74FFD">
              <w:rPr>
                <w:sz w:val="18"/>
                <w:szCs w:val="18"/>
              </w:rPr>
              <w:t>Increased access to vocational training through Job Maker Program and additional research funding</w:t>
            </w:r>
            <w:r>
              <w:rPr>
                <w:sz w:val="18"/>
                <w:szCs w:val="18"/>
              </w:rPr>
              <w:t xml:space="preserve"> during COVID. </w:t>
            </w:r>
            <w:r w:rsidR="00E909E9">
              <w:rPr>
                <w:sz w:val="18"/>
                <w:szCs w:val="18"/>
              </w:rPr>
              <w:t>SWT</w:t>
            </w:r>
            <w:r>
              <w:rPr>
                <w:sz w:val="18"/>
                <w:szCs w:val="18"/>
              </w:rPr>
              <w:t xml:space="preserve"> assumes further investment in education for job retention. ABS government finance statistics and Australian Government budget </w:t>
            </w:r>
            <w:r>
              <w:rPr>
                <w:sz w:val="18"/>
                <w:szCs w:val="18"/>
              </w:rPr>
              <w:fldChar w:fldCharType="begin"/>
            </w:r>
            <w:r w:rsidR="00A20B3F">
              <w:rPr>
                <w:sz w:val="18"/>
                <w:szCs w:val="18"/>
              </w:rPr>
              <w:instrText xml:space="preserve"> ADDIN EN.CITE &lt;EndNote&gt;&lt;Cite&gt;&lt;Author&gt;Australian Treasury&lt;/Author&gt;&lt;Year&gt;2022&lt;/Year&gt;&lt;RecNum&gt;2710&lt;/RecNum&gt;&lt;DisplayText&gt;(Australian Treasury, 2022, Australian Treasury, 2020, ABS, 2021b)&lt;/DisplayText&gt;&lt;record&gt;&lt;rec-number&gt;2710&lt;/rec-number&gt;&lt;foreign-keys&gt;&lt;key app="EN" db-id="9vsrvaat7fadwtesfsrpw5w5t0x5v500ef25" timestamp="1663120345"&gt;2710&lt;/key&gt;&lt;/foreign-keys&gt;&lt;ref-type name="Generic"&gt;13&lt;/ref-type&gt;&lt;contributors&gt;&lt;authors&gt;&lt;author&gt;Australian Treasury,&lt;/author&gt;&lt;/authors&gt;&lt;/contributors&gt;&lt;titles&gt;&lt;title&gt;Economic Response to COVID-19&lt;/title&gt;&lt;/titles&gt;&lt;dates&gt;&lt;year&gt;2022&lt;/year&gt;&lt;/dates&gt;&lt;pub-location&gt;Canberra&lt;/pub-location&gt;&lt;publisher&gt;Australian Government&lt;/publisher&gt;&lt;urls&gt;&lt;related-urls&gt;&lt;url&gt;https://treasury.gov.au/coronavirus&lt;/url&gt;&lt;/related-urls&gt;&lt;/urls&gt;&lt;/record&gt;&lt;/Cite&gt;&lt;Cite&gt;&lt;Author&gt;Australian Treasury&lt;/Author&gt;&lt;Year&gt;2020&lt;/Year&gt;&lt;RecNum&gt;1501&lt;/RecNum&gt;&lt;record&gt;&lt;rec-number&gt;1501&lt;/rec-number&gt;&lt;foreign-keys&gt;&lt;key app="EN" db-id="9vsrvaat7fadwtesfsrpw5w5t0x5v500ef25" timestamp="1603463871"&gt;1501&lt;/key&gt;&lt;/foreign-keys&gt;&lt;ref-type name="Generic"&gt;13&lt;/ref-type&gt;&lt;contributors&gt;&lt;authors&gt;&lt;author&gt;Australian Treasury,&lt;/author&gt;&lt;/authors&gt;&lt;/contributors&gt;&lt;titles&gt;&lt;title&gt;Budget 2020-21: Budget Strategy and Outlook&lt;/title&gt;&lt;/titles&gt;&lt;dates&gt;&lt;year&gt;2020&lt;/year&gt;&lt;/dates&gt;&lt;pub-location&gt;Canberra&lt;/pub-location&gt;&lt;publisher&gt;Australian Government&lt;/publisher&gt;&lt;urls&gt;&lt;/urls&gt;&lt;/record&gt;&lt;/Cite&gt;&lt;Cite&gt;&lt;Author&gt;ABS&lt;/Author&gt;&lt;Year&gt;2021&lt;/Year&gt;&lt;RecNum&gt;1042&lt;/RecNum&gt;&lt;record&gt;&lt;rec-number&gt;1042&lt;/rec-number&gt;&lt;foreign-keys&gt;&lt;key app="EN" db-id="9vsrvaat7fadwtesfsrpw5w5t0x5v500ef25" timestamp="1565083323"&gt;1042&lt;/key&gt;&lt;/foreign-keys&gt;&lt;ref-type name="Dataset"&gt;59&lt;/ref-type&gt;&lt;contributors&gt;&lt;authors&gt;&lt;author&gt;ABS,&lt;/author&gt;&lt;/authors&gt;&lt;/contributors&gt;&lt;titles&gt;&lt;title&gt;5512.0 - Government Finance Statistics, Australia&lt;/title&gt;&lt;/titles&gt;&lt;dates&gt;&lt;year&gt;2021&lt;/year&gt;&lt;/dates&gt;&lt;pub-location&gt;Canberra, Australia&lt;/pub-location&gt;&lt;publisher&gt;Australian Bureau of Statistics&lt;/publisher&gt;&lt;urls&gt;&lt;related-urls&gt;&lt;url&gt;https://www.abs.gov.au/AUSSTATS/abs@.nsf/mf/5512.0&lt;/url&gt;&lt;/related-urls&gt;&lt;/urls&gt;&lt;access-date&gt;11/12/17&lt;/access-date&gt;&lt;/record&gt;&lt;/Cite&gt;&lt;/EndNote&gt;</w:instrText>
            </w:r>
            <w:r>
              <w:rPr>
                <w:sz w:val="18"/>
                <w:szCs w:val="18"/>
              </w:rPr>
              <w:fldChar w:fldCharType="separate"/>
            </w:r>
            <w:r w:rsidR="00A20B3F">
              <w:rPr>
                <w:noProof/>
                <w:sz w:val="18"/>
                <w:szCs w:val="18"/>
              </w:rPr>
              <w:t>(Australian Treasury, 2022, Australian Treasury, 2020, ABS, 2021b)</w:t>
            </w:r>
            <w:r>
              <w:rPr>
                <w:sz w:val="18"/>
                <w:szCs w:val="18"/>
              </w:rPr>
              <w:fldChar w:fldCharType="end"/>
            </w:r>
          </w:p>
        </w:tc>
      </w:tr>
      <w:tr w:rsidR="003D7A86" w:rsidRPr="00AB491A" w14:paraId="0FA93FC2" w14:textId="77777777" w:rsidTr="002D17A6">
        <w:tc>
          <w:tcPr>
            <w:tcW w:w="2263" w:type="dxa"/>
            <w:tcBorders>
              <w:top w:val="single" w:sz="4" w:space="0" w:color="auto"/>
              <w:bottom w:val="single" w:sz="4" w:space="0" w:color="auto"/>
              <w:right w:val="single" w:sz="4" w:space="0" w:color="auto"/>
            </w:tcBorders>
          </w:tcPr>
          <w:p w14:paraId="4D536CA2"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147B6E60" w14:textId="77777777" w:rsidR="003D7A86" w:rsidRPr="00AB491A" w:rsidRDefault="003D7A86" w:rsidP="007F346F">
            <w:pPr>
              <w:rPr>
                <w:sz w:val="18"/>
                <w:szCs w:val="18"/>
              </w:rPr>
            </w:pPr>
            <w:r>
              <w:rPr>
                <w:sz w:val="18"/>
                <w:szCs w:val="18"/>
              </w:rPr>
              <w:t>Additional health expenditure as % GDP</w:t>
            </w:r>
          </w:p>
        </w:tc>
        <w:tc>
          <w:tcPr>
            <w:tcW w:w="2693" w:type="dxa"/>
            <w:tcBorders>
              <w:top w:val="single" w:sz="4" w:space="0" w:color="auto"/>
              <w:left w:val="single" w:sz="4" w:space="0" w:color="auto"/>
              <w:bottom w:val="single" w:sz="4" w:space="0" w:color="auto"/>
              <w:right w:val="single" w:sz="4" w:space="0" w:color="auto"/>
            </w:tcBorders>
          </w:tcPr>
          <w:p w14:paraId="34C6D657" w14:textId="7D4976C5" w:rsidR="0075300C" w:rsidRDefault="0075300C" w:rsidP="007F346F">
            <w:pPr>
              <w:jc w:val="center"/>
              <w:rPr>
                <w:sz w:val="18"/>
                <w:szCs w:val="18"/>
              </w:rPr>
            </w:pPr>
            <w:r>
              <w:rPr>
                <w:sz w:val="18"/>
                <w:szCs w:val="18"/>
              </w:rPr>
              <w:t>Return to Pre-COVID</w:t>
            </w:r>
          </w:p>
          <w:p w14:paraId="5E462573" w14:textId="0EFDAC47" w:rsidR="003D7A86" w:rsidRDefault="003D7A86" w:rsidP="007F346F">
            <w:pPr>
              <w:jc w:val="center"/>
              <w:rPr>
                <w:sz w:val="18"/>
                <w:szCs w:val="18"/>
              </w:rPr>
            </w:pPr>
            <w:r>
              <w:rPr>
                <w:sz w:val="18"/>
                <w:szCs w:val="18"/>
              </w:rPr>
              <w:t>2020: 0.695</w:t>
            </w:r>
          </w:p>
          <w:p w14:paraId="44179F0B" w14:textId="77777777" w:rsidR="003D7A86" w:rsidRDefault="003D7A86" w:rsidP="007F346F">
            <w:pPr>
              <w:jc w:val="center"/>
              <w:rPr>
                <w:sz w:val="18"/>
                <w:szCs w:val="18"/>
              </w:rPr>
            </w:pPr>
            <w:r>
              <w:rPr>
                <w:sz w:val="18"/>
                <w:szCs w:val="18"/>
              </w:rPr>
              <w:t>2021: 0.04</w:t>
            </w:r>
          </w:p>
          <w:p w14:paraId="593D42E9" w14:textId="77777777" w:rsidR="003D7A86" w:rsidRDefault="003D7A86" w:rsidP="007F346F">
            <w:pPr>
              <w:jc w:val="center"/>
              <w:rPr>
                <w:sz w:val="18"/>
                <w:szCs w:val="18"/>
              </w:rPr>
            </w:pPr>
            <w:r>
              <w:rPr>
                <w:sz w:val="18"/>
                <w:szCs w:val="18"/>
              </w:rPr>
              <w:t>2022: 0</w:t>
            </w:r>
          </w:p>
          <w:p w14:paraId="1E3CBD49" w14:textId="77777777" w:rsidR="003D7A86" w:rsidRPr="00AB491A" w:rsidRDefault="003D7A86" w:rsidP="007F346F">
            <w:pPr>
              <w:jc w:val="center"/>
              <w:rPr>
                <w:sz w:val="18"/>
                <w:szCs w:val="18"/>
              </w:rPr>
            </w:pPr>
            <w:r>
              <w:rPr>
                <w:sz w:val="18"/>
                <w:szCs w:val="18"/>
              </w:rPr>
              <w:t>2023-2030: 0</w:t>
            </w:r>
          </w:p>
        </w:tc>
        <w:tc>
          <w:tcPr>
            <w:tcW w:w="2552" w:type="dxa"/>
            <w:tcBorders>
              <w:top w:val="single" w:sz="4" w:space="0" w:color="auto"/>
              <w:left w:val="single" w:sz="4" w:space="0" w:color="auto"/>
              <w:bottom w:val="single" w:sz="4" w:space="0" w:color="auto"/>
              <w:right w:val="single" w:sz="4" w:space="0" w:color="auto"/>
            </w:tcBorders>
          </w:tcPr>
          <w:p w14:paraId="6B7D0D09" w14:textId="5CD4B891" w:rsidR="0075300C" w:rsidRDefault="0075300C" w:rsidP="007F346F">
            <w:pPr>
              <w:jc w:val="center"/>
              <w:rPr>
                <w:sz w:val="18"/>
                <w:szCs w:val="18"/>
              </w:rPr>
            </w:pPr>
            <w:r>
              <w:rPr>
                <w:sz w:val="18"/>
                <w:szCs w:val="18"/>
              </w:rPr>
              <w:t>Increase to 2030</w:t>
            </w:r>
          </w:p>
          <w:p w14:paraId="1B366ECA" w14:textId="065E5204" w:rsidR="003D7A86" w:rsidRDefault="003D7A86" w:rsidP="007F346F">
            <w:pPr>
              <w:jc w:val="center"/>
              <w:rPr>
                <w:sz w:val="18"/>
                <w:szCs w:val="18"/>
              </w:rPr>
            </w:pPr>
            <w:r>
              <w:rPr>
                <w:sz w:val="18"/>
                <w:szCs w:val="18"/>
              </w:rPr>
              <w:t>2020: 0.695</w:t>
            </w:r>
          </w:p>
          <w:p w14:paraId="124509FC" w14:textId="77777777" w:rsidR="003D7A86" w:rsidRDefault="003D7A86" w:rsidP="007F346F">
            <w:pPr>
              <w:jc w:val="center"/>
              <w:rPr>
                <w:sz w:val="18"/>
                <w:szCs w:val="18"/>
              </w:rPr>
            </w:pPr>
            <w:r>
              <w:rPr>
                <w:sz w:val="18"/>
                <w:szCs w:val="18"/>
              </w:rPr>
              <w:t>2021: 0.5</w:t>
            </w:r>
          </w:p>
          <w:p w14:paraId="7D9CD0C6" w14:textId="77777777" w:rsidR="003D7A86" w:rsidRDefault="003D7A86" w:rsidP="007F346F">
            <w:pPr>
              <w:jc w:val="center"/>
              <w:rPr>
                <w:sz w:val="18"/>
                <w:szCs w:val="18"/>
              </w:rPr>
            </w:pPr>
            <w:r>
              <w:rPr>
                <w:sz w:val="18"/>
                <w:szCs w:val="18"/>
              </w:rPr>
              <w:t>2022: 0.3</w:t>
            </w:r>
          </w:p>
          <w:p w14:paraId="04024008" w14:textId="77777777" w:rsidR="003D7A86" w:rsidRPr="00AB491A" w:rsidRDefault="003D7A86" w:rsidP="007F346F">
            <w:pPr>
              <w:jc w:val="center"/>
              <w:rPr>
                <w:sz w:val="18"/>
                <w:szCs w:val="18"/>
              </w:rPr>
            </w:pPr>
            <w:r>
              <w:rPr>
                <w:sz w:val="18"/>
                <w:szCs w:val="18"/>
              </w:rPr>
              <w:t>2023-2030: 0.3</w:t>
            </w:r>
          </w:p>
        </w:tc>
        <w:tc>
          <w:tcPr>
            <w:tcW w:w="4110" w:type="dxa"/>
            <w:tcBorders>
              <w:top w:val="single" w:sz="4" w:space="0" w:color="auto"/>
              <w:left w:val="single" w:sz="4" w:space="0" w:color="auto"/>
              <w:bottom w:val="single" w:sz="4" w:space="0" w:color="auto"/>
            </w:tcBorders>
          </w:tcPr>
          <w:p w14:paraId="655F2F5F" w14:textId="0CEBC90D" w:rsidR="003D7A86" w:rsidRPr="00AB491A" w:rsidRDefault="003D7A86" w:rsidP="007F346F">
            <w:pPr>
              <w:rPr>
                <w:sz w:val="18"/>
                <w:szCs w:val="18"/>
              </w:rPr>
            </w:pPr>
            <w:r w:rsidRPr="00405813">
              <w:rPr>
                <w:sz w:val="18"/>
                <w:szCs w:val="18"/>
              </w:rPr>
              <w:t>Increased expenditure on vaccine availability,</w:t>
            </w:r>
            <w:r>
              <w:rPr>
                <w:sz w:val="18"/>
                <w:szCs w:val="18"/>
              </w:rPr>
              <w:t xml:space="preserve"> rollout and</w:t>
            </w:r>
            <w:r w:rsidRPr="00405813">
              <w:rPr>
                <w:sz w:val="18"/>
                <w:szCs w:val="18"/>
              </w:rPr>
              <w:t xml:space="preserve"> preparing hospitals for pandemic</w:t>
            </w:r>
            <w:r>
              <w:rPr>
                <w:sz w:val="18"/>
                <w:szCs w:val="18"/>
              </w:rPr>
              <w:t xml:space="preserve">. </w:t>
            </w:r>
            <w:r w:rsidR="00E909E9">
              <w:rPr>
                <w:sz w:val="18"/>
                <w:szCs w:val="18"/>
              </w:rPr>
              <w:t>SWT</w:t>
            </w:r>
            <w:r>
              <w:rPr>
                <w:sz w:val="18"/>
                <w:szCs w:val="18"/>
              </w:rPr>
              <w:t xml:space="preserve"> with ongoing investment into health industries, particularly </w:t>
            </w:r>
            <w:proofErr w:type="gramStart"/>
            <w:r>
              <w:rPr>
                <w:sz w:val="18"/>
                <w:szCs w:val="18"/>
              </w:rPr>
              <w:t>as a result of</w:t>
            </w:r>
            <w:proofErr w:type="gramEnd"/>
            <w:r>
              <w:rPr>
                <w:sz w:val="18"/>
                <w:szCs w:val="18"/>
              </w:rPr>
              <w:t xml:space="preserve"> age care inquest.</w:t>
            </w:r>
            <w:r w:rsidR="00975375">
              <w:rPr>
                <w:sz w:val="18"/>
                <w:szCs w:val="18"/>
              </w:rPr>
              <w:t xml:space="preserve"> Government education expenditure from</w:t>
            </w:r>
            <w:r>
              <w:rPr>
                <w:sz w:val="18"/>
                <w:szCs w:val="18"/>
              </w:rPr>
              <w:t xml:space="preserve"> ABS government finance statistics and Australian Government budget </w:t>
            </w:r>
            <w:r>
              <w:rPr>
                <w:sz w:val="18"/>
                <w:szCs w:val="18"/>
              </w:rPr>
              <w:fldChar w:fldCharType="begin"/>
            </w:r>
            <w:r w:rsidR="00A20B3F">
              <w:rPr>
                <w:sz w:val="18"/>
                <w:szCs w:val="18"/>
              </w:rPr>
              <w:instrText xml:space="preserve"> ADDIN EN.CITE &lt;EndNote&gt;&lt;Cite&gt;&lt;Author&gt;Australian Treasury&lt;/Author&gt;&lt;Year&gt;2022&lt;/Year&gt;&lt;RecNum&gt;2710&lt;/RecNum&gt;&lt;DisplayText&gt;(Australian Treasury, 2022, Australian Treasury, 2020, ABS, 2021b)&lt;/DisplayText&gt;&lt;record&gt;&lt;rec-number&gt;2710&lt;/rec-number&gt;&lt;foreign-keys&gt;&lt;key app="EN" db-id="9vsrvaat7fadwtesfsrpw5w5t0x5v500ef25" timestamp="1663120345"&gt;2710&lt;/key&gt;&lt;/foreign-keys&gt;&lt;ref-type name="Generic"&gt;13&lt;/ref-type&gt;&lt;contributors&gt;&lt;authors&gt;&lt;author&gt;Australian Treasury,&lt;/author&gt;&lt;/authors&gt;&lt;/contributors&gt;&lt;titles&gt;&lt;title&gt;Economic Response to COVID-19&lt;/title&gt;&lt;/titles&gt;&lt;dates&gt;&lt;year&gt;2022&lt;/year&gt;&lt;/dates&gt;&lt;pub-location&gt;Canberra&lt;/pub-location&gt;&lt;publisher&gt;Australian Government&lt;/publisher&gt;&lt;urls&gt;&lt;related-urls&gt;&lt;url&gt;https://treasury.gov.au/coronavirus&lt;/url&gt;&lt;/related-urls&gt;&lt;/urls&gt;&lt;/record&gt;&lt;/Cite&gt;&lt;Cite&gt;&lt;Author&gt;Australian Treasury&lt;/Author&gt;&lt;Year&gt;2020&lt;/Year&gt;&lt;RecNum&gt;1501&lt;/RecNum&gt;&lt;record&gt;&lt;rec-number&gt;1501&lt;/rec-number&gt;&lt;foreign-keys&gt;&lt;key app="EN" db-id="9vsrvaat7fadwtesfsrpw5w5t0x5v500ef25" timestamp="1603463871"&gt;1501&lt;/key&gt;&lt;/foreign-keys&gt;&lt;ref-type name="Generic"&gt;13&lt;/ref-type&gt;&lt;contributors&gt;&lt;authors&gt;&lt;author&gt;Australian Treasury,&lt;/author&gt;&lt;/authors&gt;&lt;/contributors&gt;&lt;titles&gt;&lt;title&gt;Budget 2020-21: Budget Strategy and Outlook&lt;/title&gt;&lt;/titles&gt;&lt;dates&gt;&lt;year&gt;2020&lt;/year&gt;&lt;/dates&gt;&lt;pub-location&gt;Canberra&lt;/pub-location&gt;&lt;publisher&gt;Australian Government&lt;/publisher&gt;&lt;urls&gt;&lt;/urls&gt;&lt;/record&gt;&lt;/Cite&gt;&lt;Cite&gt;&lt;Author&gt;ABS&lt;/Author&gt;&lt;Year&gt;2021&lt;/Year&gt;&lt;RecNum&gt;1042&lt;/RecNum&gt;&lt;record&gt;&lt;rec-number&gt;1042&lt;/rec-number&gt;&lt;foreign-keys&gt;&lt;key app="EN" db-id="9vsrvaat7fadwtesfsrpw5w5t0x5v500ef25" timestamp="1565083323"&gt;1042&lt;/key&gt;&lt;/foreign-keys&gt;&lt;ref-type name="Dataset"&gt;59&lt;/ref-type&gt;&lt;contributors&gt;&lt;authors&gt;&lt;author&gt;ABS,&lt;/author&gt;&lt;/authors&gt;&lt;/contributors&gt;&lt;titles&gt;&lt;title&gt;5512.0 - Government Finance Statistics, Australia&lt;/title&gt;&lt;/titles&gt;&lt;dates&gt;&lt;year&gt;2021&lt;/year&gt;&lt;/dates&gt;&lt;pub-location&gt;Canberra, Australia&lt;/pub-location&gt;&lt;publisher&gt;Australian Bureau of Statistics&lt;/publisher&gt;&lt;urls&gt;&lt;related-urls&gt;&lt;url&gt;https://www.abs.gov.au/AUSSTATS/abs@.nsf/mf/5512.0&lt;/url&gt;&lt;/related-urls&gt;&lt;/urls&gt;&lt;access-date&gt;11/12/17&lt;/access-date&gt;&lt;/record&gt;&lt;/Cite&gt;&lt;/EndNote&gt;</w:instrText>
            </w:r>
            <w:r>
              <w:rPr>
                <w:sz w:val="18"/>
                <w:szCs w:val="18"/>
              </w:rPr>
              <w:fldChar w:fldCharType="separate"/>
            </w:r>
            <w:r w:rsidR="00A20B3F">
              <w:rPr>
                <w:noProof/>
                <w:sz w:val="18"/>
                <w:szCs w:val="18"/>
              </w:rPr>
              <w:t>(Australian Treasury, 2022, Australian Treasury, 2020, ABS, 2021b)</w:t>
            </w:r>
            <w:r>
              <w:rPr>
                <w:sz w:val="18"/>
                <w:szCs w:val="18"/>
              </w:rPr>
              <w:fldChar w:fldCharType="end"/>
            </w:r>
            <w:r w:rsidR="00975375">
              <w:rPr>
                <w:sz w:val="18"/>
                <w:szCs w:val="18"/>
              </w:rPr>
              <w:t xml:space="preserve"> and </w:t>
            </w:r>
            <w:r w:rsidR="00975375">
              <w:rPr>
                <w:sz w:val="18"/>
                <w:szCs w:val="18"/>
              </w:rPr>
              <w:lastRenderedPageBreak/>
              <w:t>benchmarked on OECD</w:t>
            </w:r>
            <w:r w:rsidR="009C729F">
              <w:rPr>
                <w:sz w:val="18"/>
                <w:szCs w:val="18"/>
              </w:rPr>
              <w:t xml:space="preserve"> data for general government expenditure </w:t>
            </w:r>
            <w:r w:rsidR="004806DC">
              <w:rPr>
                <w:sz w:val="18"/>
                <w:szCs w:val="18"/>
              </w:rPr>
              <w:fldChar w:fldCharType="begin"/>
            </w:r>
            <w:r w:rsidR="00001528">
              <w:rPr>
                <w:sz w:val="18"/>
                <w:szCs w:val="18"/>
              </w:rPr>
              <w:instrText xml:space="preserve"> ADDIN EN.CITE &lt;EndNote&gt;&lt;Cite&gt;&lt;Author&gt;OECD&lt;/Author&gt;&lt;Year&gt;2019&lt;/Year&gt;&lt;RecNum&gt;1044&lt;/RecNum&gt;&lt;DisplayText&gt;(OECD, 2019)&lt;/DisplayText&gt;&lt;record&gt;&lt;rec-number&gt;1044&lt;/rec-number&gt;&lt;foreign-keys&gt;&lt;key app="EN" db-id="9vsrvaat7fadwtesfsrpw5w5t0x5v500ef25" timestamp="1565083762"&gt;1044&lt;/key&gt;&lt;/foreign-keys&gt;&lt;ref-type name="Dataset"&gt;59&lt;/ref-type&gt;&lt;contributors&gt;&lt;authors&gt;&lt;author&gt;OECD,&lt;/author&gt;&lt;/authors&gt;&lt;/contributors&gt;&lt;titles&gt;&lt;title&gt;OECD National Accounts Statistics: General government spending&lt;/title&gt;&lt;/titles&gt;&lt;dates&gt;&lt;year&gt;2019&lt;/year&gt;&lt;/dates&gt;&lt;pub-location&gt;Paris, France&lt;/pub-location&gt;&lt;urls&gt;&lt;related-urls&gt;&lt;url&gt;https://data.oecd.org/gga/general-government-spending.htm&lt;/url&gt;&lt;/related-urls&gt;&lt;/urls&gt;&lt;access-date&gt;03/04/18&lt;/access-date&gt;&lt;/record&gt;&lt;/Cite&gt;&lt;/EndNote&gt;</w:instrText>
            </w:r>
            <w:r w:rsidR="004806DC">
              <w:rPr>
                <w:sz w:val="18"/>
                <w:szCs w:val="18"/>
              </w:rPr>
              <w:fldChar w:fldCharType="separate"/>
            </w:r>
            <w:r w:rsidR="00001528">
              <w:rPr>
                <w:noProof/>
                <w:sz w:val="18"/>
                <w:szCs w:val="18"/>
              </w:rPr>
              <w:t>(OECD, 2019)</w:t>
            </w:r>
            <w:r w:rsidR="004806DC">
              <w:rPr>
                <w:sz w:val="18"/>
                <w:szCs w:val="18"/>
              </w:rPr>
              <w:fldChar w:fldCharType="end"/>
            </w:r>
          </w:p>
        </w:tc>
      </w:tr>
      <w:tr w:rsidR="003D7A86" w:rsidRPr="00AB491A" w14:paraId="75BCC24D" w14:textId="77777777" w:rsidTr="002D17A6">
        <w:tc>
          <w:tcPr>
            <w:tcW w:w="2263" w:type="dxa"/>
            <w:tcBorders>
              <w:top w:val="single" w:sz="4" w:space="0" w:color="auto"/>
              <w:bottom w:val="single" w:sz="4" w:space="0" w:color="auto"/>
              <w:right w:val="single" w:sz="4" w:space="0" w:color="auto"/>
            </w:tcBorders>
          </w:tcPr>
          <w:p w14:paraId="6AFFACB2"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6D9123D8" w14:textId="77777777" w:rsidR="003D7A86" w:rsidRPr="00AB491A" w:rsidRDefault="003D7A86" w:rsidP="007F346F">
            <w:pPr>
              <w:rPr>
                <w:sz w:val="18"/>
                <w:szCs w:val="18"/>
              </w:rPr>
            </w:pPr>
            <w:r>
              <w:rPr>
                <w:sz w:val="18"/>
                <w:szCs w:val="18"/>
              </w:rPr>
              <w:t>Additional adaptation expenditure as % GDP</w:t>
            </w:r>
          </w:p>
        </w:tc>
        <w:tc>
          <w:tcPr>
            <w:tcW w:w="2693" w:type="dxa"/>
            <w:tcBorders>
              <w:top w:val="single" w:sz="4" w:space="0" w:color="auto"/>
              <w:left w:val="single" w:sz="4" w:space="0" w:color="auto"/>
              <w:bottom w:val="single" w:sz="4" w:space="0" w:color="auto"/>
              <w:right w:val="single" w:sz="4" w:space="0" w:color="auto"/>
            </w:tcBorders>
          </w:tcPr>
          <w:p w14:paraId="1892FBD9" w14:textId="60337CF9" w:rsidR="0075300C" w:rsidRDefault="007E5E6C" w:rsidP="007E5E6C">
            <w:pPr>
              <w:jc w:val="center"/>
              <w:rPr>
                <w:sz w:val="18"/>
                <w:szCs w:val="18"/>
              </w:rPr>
            </w:pPr>
            <w:r>
              <w:rPr>
                <w:sz w:val="18"/>
                <w:szCs w:val="18"/>
              </w:rPr>
              <w:t>Baseline investment to 2050</w:t>
            </w:r>
          </w:p>
          <w:p w14:paraId="741906FB" w14:textId="65DADE67" w:rsidR="003D7A86" w:rsidRDefault="003D7A86" w:rsidP="007F346F">
            <w:pPr>
              <w:jc w:val="center"/>
              <w:rPr>
                <w:sz w:val="18"/>
                <w:szCs w:val="18"/>
              </w:rPr>
            </w:pPr>
            <w:r>
              <w:rPr>
                <w:sz w:val="18"/>
                <w:szCs w:val="18"/>
              </w:rPr>
              <w:t>2020: 0.008</w:t>
            </w:r>
          </w:p>
          <w:p w14:paraId="7F2DD293" w14:textId="77777777" w:rsidR="003D7A86" w:rsidRDefault="003D7A86" w:rsidP="007F346F">
            <w:pPr>
              <w:jc w:val="center"/>
              <w:rPr>
                <w:sz w:val="18"/>
                <w:szCs w:val="18"/>
              </w:rPr>
            </w:pPr>
            <w:r>
              <w:rPr>
                <w:sz w:val="18"/>
                <w:szCs w:val="18"/>
              </w:rPr>
              <w:t>2021: 0.01</w:t>
            </w:r>
          </w:p>
          <w:p w14:paraId="1BF45A4D" w14:textId="77777777" w:rsidR="003D7A86" w:rsidRDefault="003D7A86" w:rsidP="007F346F">
            <w:pPr>
              <w:jc w:val="center"/>
              <w:rPr>
                <w:sz w:val="18"/>
                <w:szCs w:val="18"/>
              </w:rPr>
            </w:pPr>
            <w:r>
              <w:rPr>
                <w:sz w:val="18"/>
                <w:szCs w:val="18"/>
              </w:rPr>
              <w:t>2022: 0.01</w:t>
            </w:r>
          </w:p>
          <w:p w14:paraId="0838EA0F" w14:textId="77777777" w:rsidR="003D7A86" w:rsidRDefault="003D7A86" w:rsidP="007F346F">
            <w:pPr>
              <w:jc w:val="center"/>
              <w:rPr>
                <w:sz w:val="18"/>
                <w:szCs w:val="18"/>
              </w:rPr>
            </w:pPr>
            <w:r>
              <w:rPr>
                <w:sz w:val="18"/>
                <w:szCs w:val="18"/>
              </w:rPr>
              <w:t>2023-2030: 0.01</w:t>
            </w:r>
          </w:p>
          <w:p w14:paraId="0A77E9C4" w14:textId="77777777" w:rsidR="003D7A86" w:rsidRPr="00AB491A" w:rsidRDefault="003D7A86" w:rsidP="007F346F">
            <w:pPr>
              <w:jc w:val="center"/>
              <w:rPr>
                <w:sz w:val="18"/>
                <w:szCs w:val="18"/>
              </w:rPr>
            </w:pPr>
            <w:r>
              <w:rPr>
                <w:sz w:val="18"/>
                <w:szCs w:val="18"/>
              </w:rPr>
              <w:t>2050: 0.01</w:t>
            </w:r>
          </w:p>
        </w:tc>
        <w:tc>
          <w:tcPr>
            <w:tcW w:w="2552" w:type="dxa"/>
            <w:tcBorders>
              <w:top w:val="single" w:sz="4" w:space="0" w:color="auto"/>
              <w:left w:val="single" w:sz="4" w:space="0" w:color="auto"/>
              <w:bottom w:val="single" w:sz="4" w:space="0" w:color="auto"/>
              <w:right w:val="single" w:sz="4" w:space="0" w:color="auto"/>
            </w:tcBorders>
          </w:tcPr>
          <w:p w14:paraId="1909BF87" w14:textId="573693F8" w:rsidR="0075300C" w:rsidRDefault="007E5E6C" w:rsidP="007F346F">
            <w:pPr>
              <w:jc w:val="center"/>
              <w:rPr>
                <w:sz w:val="18"/>
                <w:szCs w:val="18"/>
              </w:rPr>
            </w:pPr>
            <w:r>
              <w:rPr>
                <w:sz w:val="18"/>
                <w:szCs w:val="18"/>
              </w:rPr>
              <w:t>Increased investment to 2050</w:t>
            </w:r>
          </w:p>
          <w:p w14:paraId="354FAD0A" w14:textId="4E511E71" w:rsidR="003D7A86" w:rsidRDefault="003D7A86" w:rsidP="007F346F">
            <w:pPr>
              <w:jc w:val="center"/>
              <w:rPr>
                <w:sz w:val="18"/>
                <w:szCs w:val="18"/>
              </w:rPr>
            </w:pPr>
            <w:r>
              <w:rPr>
                <w:sz w:val="18"/>
                <w:szCs w:val="18"/>
              </w:rPr>
              <w:t>2020: 0.008</w:t>
            </w:r>
          </w:p>
          <w:p w14:paraId="4CAE323F" w14:textId="77777777" w:rsidR="003D7A86" w:rsidRDefault="003D7A86" w:rsidP="007F346F">
            <w:pPr>
              <w:jc w:val="center"/>
              <w:rPr>
                <w:sz w:val="18"/>
                <w:szCs w:val="18"/>
              </w:rPr>
            </w:pPr>
            <w:r>
              <w:rPr>
                <w:sz w:val="18"/>
                <w:szCs w:val="18"/>
              </w:rPr>
              <w:t>2021: 0.1</w:t>
            </w:r>
          </w:p>
          <w:p w14:paraId="51CA7E04" w14:textId="77777777" w:rsidR="003D7A86" w:rsidRDefault="003D7A86" w:rsidP="007F346F">
            <w:pPr>
              <w:jc w:val="center"/>
              <w:rPr>
                <w:sz w:val="18"/>
                <w:szCs w:val="18"/>
              </w:rPr>
            </w:pPr>
            <w:r>
              <w:rPr>
                <w:sz w:val="18"/>
                <w:szCs w:val="18"/>
              </w:rPr>
              <w:t>2022: 0.1</w:t>
            </w:r>
          </w:p>
          <w:p w14:paraId="60514534" w14:textId="77777777" w:rsidR="003D7A86" w:rsidRDefault="003D7A86" w:rsidP="007F346F">
            <w:pPr>
              <w:jc w:val="center"/>
              <w:rPr>
                <w:sz w:val="18"/>
                <w:szCs w:val="18"/>
              </w:rPr>
            </w:pPr>
            <w:r>
              <w:rPr>
                <w:sz w:val="18"/>
                <w:szCs w:val="18"/>
              </w:rPr>
              <w:t>2023-2030: 0.1</w:t>
            </w:r>
          </w:p>
          <w:p w14:paraId="28D8CF5B" w14:textId="77777777" w:rsidR="003D7A86" w:rsidRPr="00AB491A" w:rsidRDefault="003D7A86" w:rsidP="007F346F">
            <w:pPr>
              <w:jc w:val="center"/>
              <w:rPr>
                <w:sz w:val="18"/>
                <w:szCs w:val="18"/>
              </w:rPr>
            </w:pPr>
            <w:r>
              <w:rPr>
                <w:sz w:val="18"/>
                <w:szCs w:val="18"/>
              </w:rPr>
              <w:t xml:space="preserve">2050: 0.1 </w:t>
            </w:r>
          </w:p>
        </w:tc>
        <w:tc>
          <w:tcPr>
            <w:tcW w:w="4110" w:type="dxa"/>
            <w:tcBorders>
              <w:top w:val="single" w:sz="4" w:space="0" w:color="auto"/>
              <w:left w:val="single" w:sz="4" w:space="0" w:color="auto"/>
              <w:bottom w:val="single" w:sz="4" w:space="0" w:color="auto"/>
            </w:tcBorders>
          </w:tcPr>
          <w:p w14:paraId="2097AC61" w14:textId="4B8AD575" w:rsidR="003D7A86" w:rsidRPr="00AB491A" w:rsidRDefault="00E909E9" w:rsidP="007F346F">
            <w:pPr>
              <w:rPr>
                <w:sz w:val="18"/>
                <w:szCs w:val="18"/>
              </w:rPr>
            </w:pPr>
            <w:r>
              <w:rPr>
                <w:sz w:val="18"/>
                <w:szCs w:val="18"/>
              </w:rPr>
              <w:t>SWT</w:t>
            </w:r>
            <w:r w:rsidR="003D7A86">
              <w:rPr>
                <w:sz w:val="18"/>
                <w:szCs w:val="18"/>
              </w:rPr>
              <w:t xml:space="preserve"> assumes increased investment. </w:t>
            </w:r>
            <w:r w:rsidR="00001528" w:rsidRPr="00310491">
              <w:rPr>
                <w:sz w:val="18"/>
                <w:szCs w:val="18"/>
              </w:rPr>
              <w:t xml:space="preserve">Adaptation costs estimates </w:t>
            </w:r>
            <w:r w:rsidR="00001528" w:rsidRPr="00310491">
              <w:rPr>
                <w:sz w:val="18"/>
                <w:szCs w:val="18"/>
              </w:rPr>
              <w:fldChar w:fldCharType="begin">
                <w:fldData xml:space="preserve">PEVuZE5vdGU+PENpdGU+PEF1dGhvcj5DbGltYXRlIENvdW5jaWw8L0F1dGhvcj48WWVhcj4yMDE5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==
</w:fldData>
              </w:fldChar>
            </w:r>
            <w:r w:rsidR="00001528">
              <w:rPr>
                <w:sz w:val="18"/>
                <w:szCs w:val="18"/>
              </w:rPr>
              <w:instrText xml:space="preserve"> ADDIN EN.CITE </w:instrText>
            </w:r>
            <w:r w:rsidR="00001528">
              <w:rPr>
                <w:sz w:val="18"/>
                <w:szCs w:val="18"/>
              </w:rPr>
              <w:fldChar w:fldCharType="begin">
                <w:fldData xml:space="preserve">PEVuZE5vdGU+PENpdGU+PEF1dGhvcj5DbGltYXRlIENvdW5jaWw8L0F1dGhvcj48WWVhcj4yMDE5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==
</w:fldData>
              </w:fldChar>
            </w:r>
            <w:r w:rsidR="00001528">
              <w:rPr>
                <w:sz w:val="18"/>
                <w:szCs w:val="18"/>
              </w:rPr>
              <w:instrText xml:space="preserve"> ADDIN EN.CITE.DATA </w:instrText>
            </w:r>
            <w:r w:rsidR="00001528">
              <w:rPr>
                <w:sz w:val="18"/>
                <w:szCs w:val="18"/>
              </w:rPr>
            </w:r>
            <w:r w:rsidR="00001528">
              <w:rPr>
                <w:sz w:val="18"/>
                <w:szCs w:val="18"/>
              </w:rPr>
              <w:fldChar w:fldCharType="end"/>
            </w:r>
            <w:r w:rsidR="00001528" w:rsidRPr="00310491">
              <w:rPr>
                <w:sz w:val="18"/>
                <w:szCs w:val="18"/>
              </w:rPr>
            </w:r>
            <w:r w:rsidR="00001528" w:rsidRPr="00310491">
              <w:rPr>
                <w:sz w:val="18"/>
                <w:szCs w:val="18"/>
              </w:rPr>
              <w:fldChar w:fldCharType="separate"/>
            </w:r>
            <w:r w:rsidR="00001528">
              <w:rPr>
                <w:noProof/>
                <w:sz w:val="18"/>
                <w:szCs w:val="18"/>
              </w:rPr>
              <w:t>(Climate Council, 2019, Deloitte, 2021, Climate Council, 2021)</w:t>
            </w:r>
            <w:r w:rsidR="00001528" w:rsidRPr="00310491">
              <w:rPr>
                <w:sz w:val="18"/>
                <w:szCs w:val="18"/>
              </w:rPr>
              <w:fldChar w:fldCharType="end"/>
            </w:r>
            <w:r w:rsidR="00001528">
              <w:rPr>
                <w:sz w:val="18"/>
                <w:szCs w:val="18"/>
              </w:rPr>
              <w:t>.</w:t>
            </w:r>
          </w:p>
        </w:tc>
      </w:tr>
      <w:tr w:rsidR="003D7A86" w:rsidRPr="00AB491A" w14:paraId="640A84A0" w14:textId="77777777" w:rsidTr="002D17A6">
        <w:tc>
          <w:tcPr>
            <w:tcW w:w="2263" w:type="dxa"/>
            <w:tcBorders>
              <w:top w:val="single" w:sz="4" w:space="0" w:color="auto"/>
              <w:bottom w:val="single" w:sz="4" w:space="0" w:color="auto"/>
              <w:right w:val="single" w:sz="4" w:space="0" w:color="auto"/>
            </w:tcBorders>
            <w:shd w:val="clear" w:color="auto" w:fill="D9D9D9" w:themeFill="background1" w:themeFillShade="D9"/>
          </w:tcPr>
          <w:p w14:paraId="65770599"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21EA1B7" w14:textId="77777777" w:rsidR="003D7A86" w:rsidRDefault="003D7A86" w:rsidP="007F346F">
            <w:pPr>
              <w:rPr>
                <w:sz w:val="18"/>
                <w:szCs w:val="18"/>
              </w:rPr>
            </w:pP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C2EA8E0" w14:textId="77777777" w:rsidR="003D7A86" w:rsidRPr="00AB491A" w:rsidRDefault="003D7A86" w:rsidP="007F346F">
            <w:pPr>
              <w:jc w:val="center"/>
              <w:rPr>
                <w:sz w:val="18"/>
                <w:szCs w:val="18"/>
              </w:rPr>
            </w:pP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511401C" w14:textId="77777777" w:rsidR="003D7A86" w:rsidRPr="00AB491A" w:rsidRDefault="003D7A86" w:rsidP="007F346F">
            <w:pPr>
              <w:jc w:val="center"/>
              <w:rPr>
                <w:sz w:val="18"/>
                <w:szCs w:val="18"/>
              </w:rPr>
            </w:pPr>
          </w:p>
        </w:tc>
        <w:tc>
          <w:tcPr>
            <w:tcW w:w="4110" w:type="dxa"/>
            <w:tcBorders>
              <w:top w:val="single" w:sz="4" w:space="0" w:color="auto"/>
              <w:left w:val="single" w:sz="4" w:space="0" w:color="auto"/>
              <w:bottom w:val="single" w:sz="4" w:space="0" w:color="auto"/>
            </w:tcBorders>
            <w:shd w:val="clear" w:color="auto" w:fill="D9D9D9" w:themeFill="background1" w:themeFillShade="D9"/>
          </w:tcPr>
          <w:p w14:paraId="31D56EDB" w14:textId="77777777" w:rsidR="003D7A86" w:rsidRPr="00AB491A" w:rsidRDefault="003D7A86" w:rsidP="007F346F">
            <w:pPr>
              <w:rPr>
                <w:sz w:val="18"/>
                <w:szCs w:val="18"/>
              </w:rPr>
            </w:pPr>
          </w:p>
        </w:tc>
      </w:tr>
      <w:tr w:rsidR="003D7A86" w:rsidRPr="00AB491A" w14:paraId="302C55DC" w14:textId="77777777" w:rsidTr="002D17A6">
        <w:tc>
          <w:tcPr>
            <w:tcW w:w="2263" w:type="dxa"/>
            <w:tcBorders>
              <w:top w:val="single" w:sz="4" w:space="0" w:color="auto"/>
              <w:bottom w:val="single" w:sz="4" w:space="0" w:color="auto"/>
              <w:right w:val="single" w:sz="4" w:space="0" w:color="auto"/>
            </w:tcBorders>
          </w:tcPr>
          <w:p w14:paraId="028EC964" w14:textId="77777777" w:rsidR="003D7A86" w:rsidRPr="00AB491A" w:rsidRDefault="003D7A86" w:rsidP="007F346F">
            <w:pPr>
              <w:rPr>
                <w:sz w:val="18"/>
                <w:szCs w:val="18"/>
              </w:rPr>
            </w:pPr>
            <w:r>
              <w:rPr>
                <w:sz w:val="18"/>
                <w:szCs w:val="18"/>
              </w:rPr>
              <w:t>2. Sustainable and Just Economies</w:t>
            </w:r>
          </w:p>
        </w:tc>
        <w:tc>
          <w:tcPr>
            <w:tcW w:w="2557" w:type="dxa"/>
            <w:tcBorders>
              <w:top w:val="single" w:sz="4" w:space="0" w:color="auto"/>
              <w:left w:val="single" w:sz="4" w:space="0" w:color="auto"/>
              <w:bottom w:val="single" w:sz="4" w:space="0" w:color="auto"/>
              <w:right w:val="single" w:sz="4" w:space="0" w:color="auto"/>
            </w:tcBorders>
          </w:tcPr>
          <w:p w14:paraId="3AD0BDF2" w14:textId="77777777" w:rsidR="003D7A86" w:rsidRPr="00AB491A" w:rsidRDefault="003D7A86" w:rsidP="007F346F">
            <w:pPr>
              <w:rPr>
                <w:sz w:val="18"/>
                <w:szCs w:val="18"/>
              </w:rPr>
            </w:pPr>
            <w:r>
              <w:rPr>
                <w:sz w:val="18"/>
                <w:szCs w:val="18"/>
              </w:rPr>
              <w:t>Additional expenditure on subsidies and transfers as % GDP</w:t>
            </w:r>
          </w:p>
        </w:tc>
        <w:tc>
          <w:tcPr>
            <w:tcW w:w="2693" w:type="dxa"/>
            <w:tcBorders>
              <w:top w:val="single" w:sz="4" w:space="0" w:color="auto"/>
              <w:left w:val="single" w:sz="4" w:space="0" w:color="auto"/>
              <w:bottom w:val="single" w:sz="4" w:space="0" w:color="auto"/>
              <w:right w:val="single" w:sz="4" w:space="0" w:color="auto"/>
            </w:tcBorders>
          </w:tcPr>
          <w:p w14:paraId="5AA9BEEF" w14:textId="01D9E673" w:rsidR="007E5E6C" w:rsidRDefault="00E23927" w:rsidP="007F346F">
            <w:pPr>
              <w:jc w:val="center"/>
              <w:rPr>
                <w:sz w:val="18"/>
                <w:szCs w:val="18"/>
              </w:rPr>
            </w:pPr>
            <w:r>
              <w:rPr>
                <w:sz w:val="18"/>
                <w:szCs w:val="18"/>
              </w:rPr>
              <w:t>Some continued allocation to 2030</w:t>
            </w:r>
          </w:p>
          <w:p w14:paraId="7513C4BB" w14:textId="63D76E27" w:rsidR="003D7A86" w:rsidRDefault="003D7A86" w:rsidP="007F346F">
            <w:pPr>
              <w:jc w:val="center"/>
              <w:rPr>
                <w:sz w:val="18"/>
                <w:szCs w:val="18"/>
              </w:rPr>
            </w:pPr>
            <w:r>
              <w:rPr>
                <w:sz w:val="18"/>
                <w:szCs w:val="18"/>
              </w:rPr>
              <w:t>2020: 9.4</w:t>
            </w:r>
          </w:p>
          <w:p w14:paraId="126F2648" w14:textId="77777777" w:rsidR="003D7A86" w:rsidRDefault="003D7A86" w:rsidP="007F346F">
            <w:pPr>
              <w:jc w:val="center"/>
              <w:rPr>
                <w:sz w:val="18"/>
                <w:szCs w:val="18"/>
              </w:rPr>
            </w:pPr>
            <w:r>
              <w:rPr>
                <w:sz w:val="18"/>
                <w:szCs w:val="18"/>
              </w:rPr>
              <w:t>2021: 0.605</w:t>
            </w:r>
          </w:p>
          <w:p w14:paraId="4D1C64CF" w14:textId="77777777" w:rsidR="003D7A86" w:rsidRDefault="003D7A86" w:rsidP="007F346F">
            <w:pPr>
              <w:jc w:val="center"/>
              <w:rPr>
                <w:sz w:val="18"/>
                <w:szCs w:val="18"/>
              </w:rPr>
            </w:pPr>
            <w:r>
              <w:rPr>
                <w:sz w:val="18"/>
                <w:szCs w:val="18"/>
              </w:rPr>
              <w:t>2022: 0.1172</w:t>
            </w:r>
          </w:p>
          <w:p w14:paraId="55542C12" w14:textId="77777777" w:rsidR="003D7A86" w:rsidRPr="00AB491A" w:rsidRDefault="003D7A86" w:rsidP="007F346F">
            <w:pPr>
              <w:jc w:val="center"/>
              <w:rPr>
                <w:sz w:val="18"/>
                <w:szCs w:val="18"/>
              </w:rPr>
            </w:pPr>
            <w:r>
              <w:rPr>
                <w:sz w:val="18"/>
                <w:szCs w:val="18"/>
              </w:rPr>
              <w:t>2023-2030: 0.115</w:t>
            </w:r>
          </w:p>
        </w:tc>
        <w:tc>
          <w:tcPr>
            <w:tcW w:w="2552" w:type="dxa"/>
            <w:tcBorders>
              <w:top w:val="single" w:sz="4" w:space="0" w:color="auto"/>
              <w:left w:val="single" w:sz="4" w:space="0" w:color="auto"/>
              <w:bottom w:val="single" w:sz="4" w:space="0" w:color="auto"/>
              <w:right w:val="single" w:sz="4" w:space="0" w:color="auto"/>
            </w:tcBorders>
          </w:tcPr>
          <w:p w14:paraId="2AFAAAD0" w14:textId="6E9A72CF" w:rsidR="00E23927" w:rsidRDefault="00E23927" w:rsidP="007F346F">
            <w:pPr>
              <w:jc w:val="center"/>
              <w:rPr>
                <w:sz w:val="18"/>
                <w:szCs w:val="18"/>
              </w:rPr>
            </w:pPr>
            <w:r>
              <w:rPr>
                <w:sz w:val="18"/>
                <w:szCs w:val="18"/>
              </w:rPr>
              <w:t>Large increase post-COVID to 2030</w:t>
            </w:r>
          </w:p>
          <w:p w14:paraId="192B8456" w14:textId="02A910EB" w:rsidR="003D7A86" w:rsidRDefault="003D7A86" w:rsidP="007F346F">
            <w:pPr>
              <w:jc w:val="center"/>
              <w:rPr>
                <w:sz w:val="18"/>
                <w:szCs w:val="18"/>
              </w:rPr>
            </w:pPr>
            <w:r>
              <w:rPr>
                <w:sz w:val="18"/>
                <w:szCs w:val="18"/>
              </w:rPr>
              <w:t>2020: 9.4</w:t>
            </w:r>
          </w:p>
          <w:p w14:paraId="358089E5" w14:textId="77777777" w:rsidR="003D7A86" w:rsidRDefault="003D7A86" w:rsidP="007F346F">
            <w:pPr>
              <w:jc w:val="center"/>
              <w:rPr>
                <w:sz w:val="18"/>
                <w:szCs w:val="18"/>
              </w:rPr>
            </w:pPr>
            <w:r>
              <w:rPr>
                <w:sz w:val="18"/>
                <w:szCs w:val="18"/>
              </w:rPr>
              <w:t>2021: 1</w:t>
            </w:r>
          </w:p>
          <w:p w14:paraId="1F36E7F1" w14:textId="77777777" w:rsidR="003D7A86" w:rsidRDefault="003D7A86" w:rsidP="007F346F">
            <w:pPr>
              <w:jc w:val="center"/>
              <w:rPr>
                <w:sz w:val="18"/>
                <w:szCs w:val="18"/>
              </w:rPr>
            </w:pPr>
            <w:r>
              <w:rPr>
                <w:sz w:val="18"/>
                <w:szCs w:val="18"/>
              </w:rPr>
              <w:t>2022: 0.5</w:t>
            </w:r>
          </w:p>
          <w:p w14:paraId="186CC28C" w14:textId="77777777" w:rsidR="003D7A86" w:rsidRPr="00AB491A" w:rsidRDefault="003D7A86" w:rsidP="007F346F">
            <w:pPr>
              <w:jc w:val="center"/>
              <w:rPr>
                <w:sz w:val="18"/>
                <w:szCs w:val="18"/>
              </w:rPr>
            </w:pPr>
            <w:r>
              <w:rPr>
                <w:sz w:val="18"/>
                <w:szCs w:val="18"/>
              </w:rPr>
              <w:t>2023-2030: 0.5</w:t>
            </w:r>
          </w:p>
        </w:tc>
        <w:tc>
          <w:tcPr>
            <w:tcW w:w="4110" w:type="dxa"/>
            <w:tcBorders>
              <w:top w:val="single" w:sz="4" w:space="0" w:color="auto"/>
              <w:left w:val="single" w:sz="4" w:space="0" w:color="auto"/>
              <w:bottom w:val="single" w:sz="4" w:space="0" w:color="auto"/>
            </w:tcBorders>
          </w:tcPr>
          <w:p w14:paraId="1F703EF7" w14:textId="6DCE62B8" w:rsidR="003D7A86" w:rsidRPr="00AB491A" w:rsidRDefault="003D7A86" w:rsidP="007F346F">
            <w:pPr>
              <w:rPr>
                <w:sz w:val="18"/>
                <w:szCs w:val="18"/>
              </w:rPr>
            </w:pPr>
            <w:r w:rsidRPr="00764EB1">
              <w:rPr>
                <w:sz w:val="18"/>
                <w:szCs w:val="18"/>
              </w:rPr>
              <w:t>Including both government fiscal policy (job Keeper, job Seeker &amp; Covid-19 supplements)</w:t>
            </w:r>
            <w:r>
              <w:rPr>
                <w:sz w:val="18"/>
                <w:szCs w:val="18"/>
              </w:rPr>
              <w:t xml:space="preserve">. Some continued injection through job seeker supplements over </w:t>
            </w:r>
            <w:r w:rsidR="001B62FE">
              <w:rPr>
                <w:sz w:val="18"/>
                <w:szCs w:val="18"/>
              </w:rPr>
              <w:t>forward</w:t>
            </w:r>
            <w:r>
              <w:rPr>
                <w:sz w:val="18"/>
                <w:szCs w:val="18"/>
              </w:rPr>
              <w:t xml:space="preserve"> years.  </w:t>
            </w:r>
            <w:r w:rsidR="0033080D">
              <w:rPr>
                <w:sz w:val="18"/>
                <w:szCs w:val="18"/>
              </w:rPr>
              <w:t>Government general expenditure data from</w:t>
            </w:r>
            <w:r w:rsidRPr="00563008">
              <w:rPr>
                <w:sz w:val="18"/>
                <w:szCs w:val="18"/>
              </w:rPr>
              <w:t xml:space="preserve"> </w:t>
            </w:r>
            <w:r w:rsidRPr="00764EB1">
              <w:rPr>
                <w:sz w:val="18"/>
                <w:szCs w:val="18"/>
              </w:rPr>
              <w:t xml:space="preserve"> </w:t>
            </w:r>
            <w:r>
              <w:rPr>
                <w:sz w:val="18"/>
                <w:szCs w:val="18"/>
              </w:rPr>
              <w:t xml:space="preserve">ABS government finance statistics and Australian Government budget </w:t>
            </w:r>
            <w:r>
              <w:rPr>
                <w:sz w:val="18"/>
                <w:szCs w:val="18"/>
              </w:rPr>
              <w:fldChar w:fldCharType="begin"/>
            </w:r>
            <w:r w:rsidR="00A20B3F">
              <w:rPr>
                <w:sz w:val="18"/>
                <w:szCs w:val="18"/>
              </w:rPr>
              <w:instrText xml:space="preserve"> ADDIN EN.CITE &lt;EndNote&gt;&lt;Cite&gt;&lt;Author&gt;Australian Treasury&lt;/Author&gt;&lt;Year&gt;2022&lt;/Year&gt;&lt;RecNum&gt;2710&lt;/RecNum&gt;&lt;DisplayText&gt;(Australian Treasury, 2022, Australian Treasury, 2020, ABS, 2021b)&lt;/DisplayText&gt;&lt;record&gt;&lt;rec-number&gt;2710&lt;/rec-number&gt;&lt;foreign-keys&gt;&lt;key app="EN" db-id="9vsrvaat7fadwtesfsrpw5w5t0x5v500ef25" timestamp="1663120345"&gt;2710&lt;/key&gt;&lt;/foreign-keys&gt;&lt;ref-type name="Generic"&gt;13&lt;/ref-type&gt;&lt;contributors&gt;&lt;authors&gt;&lt;author&gt;Australian Treasury,&lt;/author&gt;&lt;/authors&gt;&lt;/contributors&gt;&lt;titles&gt;&lt;title&gt;Economic Response to COVID-19&lt;/title&gt;&lt;/titles&gt;&lt;dates&gt;&lt;year&gt;2022&lt;/year&gt;&lt;/dates&gt;&lt;pub-location&gt;Canberra&lt;/pub-location&gt;&lt;publisher&gt;Australian Government&lt;/publisher&gt;&lt;urls&gt;&lt;related-urls&gt;&lt;url&gt;https://treasury.gov.au/coronavirus&lt;/url&gt;&lt;/related-urls&gt;&lt;/urls&gt;&lt;/record&gt;&lt;/Cite&gt;&lt;Cite&gt;&lt;Author&gt;Australian Treasury&lt;/Author&gt;&lt;Year&gt;2020&lt;/Year&gt;&lt;RecNum&gt;1501&lt;/RecNum&gt;&lt;record&gt;&lt;rec-number&gt;1501&lt;/rec-number&gt;&lt;foreign-keys&gt;&lt;key app="EN" db-id="9vsrvaat7fadwtesfsrpw5w5t0x5v500ef25" timestamp="1603463871"&gt;1501&lt;/key&gt;&lt;/foreign-keys&gt;&lt;ref-type name="Generic"&gt;13&lt;/ref-type&gt;&lt;contributors&gt;&lt;authors&gt;&lt;author&gt;Australian Treasury,&lt;/author&gt;&lt;/authors&gt;&lt;/contributors&gt;&lt;titles&gt;&lt;title&gt;Budget 2020-21: Budget Strategy and Outlook&lt;/title&gt;&lt;/titles&gt;&lt;dates&gt;&lt;year&gt;2020&lt;/year&gt;&lt;/dates&gt;&lt;pub-location&gt;Canberra&lt;/pub-location&gt;&lt;publisher&gt;Australian Government&lt;/publisher&gt;&lt;urls&gt;&lt;/urls&gt;&lt;/record&gt;&lt;/Cite&gt;&lt;Cite&gt;&lt;Author&gt;ABS&lt;/Author&gt;&lt;Year&gt;2021&lt;/Year&gt;&lt;RecNum&gt;1042&lt;/RecNum&gt;&lt;record&gt;&lt;rec-number&gt;1042&lt;/rec-number&gt;&lt;foreign-keys&gt;&lt;key app="EN" db-id="9vsrvaat7fadwtesfsrpw5w5t0x5v500ef25" timestamp="1565083323"&gt;1042&lt;/key&gt;&lt;/foreign-keys&gt;&lt;ref-type name="Dataset"&gt;59&lt;/ref-type&gt;&lt;contributors&gt;&lt;authors&gt;&lt;author&gt;ABS,&lt;/author&gt;&lt;/authors&gt;&lt;/contributors&gt;&lt;titles&gt;&lt;title&gt;5512.0 - Government Finance Statistics, Australia&lt;/title&gt;&lt;/titles&gt;&lt;dates&gt;&lt;year&gt;2021&lt;/year&gt;&lt;/dates&gt;&lt;pub-location&gt;Canberra, Australia&lt;/pub-location&gt;&lt;publisher&gt;Australian Bureau of Statistics&lt;/publisher&gt;&lt;urls&gt;&lt;related-urls&gt;&lt;url&gt;https://www.abs.gov.au/AUSSTATS/abs@.nsf/mf/5512.0&lt;/url&gt;&lt;/related-urls&gt;&lt;/urls&gt;&lt;access-date&gt;11/12/17&lt;/access-date&gt;&lt;/record&gt;&lt;/Cite&gt;&lt;/EndNote&gt;</w:instrText>
            </w:r>
            <w:r>
              <w:rPr>
                <w:sz w:val="18"/>
                <w:szCs w:val="18"/>
              </w:rPr>
              <w:fldChar w:fldCharType="separate"/>
            </w:r>
            <w:r w:rsidR="00A20B3F">
              <w:rPr>
                <w:noProof/>
                <w:sz w:val="18"/>
                <w:szCs w:val="18"/>
              </w:rPr>
              <w:t>(Australian Treasury, 2022, Australian Treasury, 2020, ABS, 2021b)</w:t>
            </w:r>
            <w:r>
              <w:rPr>
                <w:sz w:val="18"/>
                <w:szCs w:val="18"/>
              </w:rPr>
              <w:fldChar w:fldCharType="end"/>
            </w:r>
            <w:r w:rsidR="00695152">
              <w:rPr>
                <w:sz w:val="18"/>
                <w:szCs w:val="18"/>
              </w:rPr>
              <w:t xml:space="preserve"> and benchmarked on OECD social transfers data </w:t>
            </w:r>
            <w:r w:rsidR="00695152">
              <w:rPr>
                <w:sz w:val="18"/>
                <w:szCs w:val="18"/>
              </w:rPr>
              <w:fldChar w:fldCharType="begin"/>
            </w:r>
            <w:r w:rsidR="00695152">
              <w:rPr>
                <w:sz w:val="18"/>
                <w:szCs w:val="18"/>
              </w:rPr>
              <w:instrText xml:space="preserve"> ADDIN EN.CITE &lt;EndNote&gt;&lt;Cite&gt;&lt;Author&gt;OECD&lt;/Author&gt;&lt;Year&gt;2018&lt;/Year&gt;&lt;RecNum&gt;1142&lt;/RecNum&gt;&lt;DisplayText&gt;(OECD, 2018a)&lt;/DisplayText&gt;&lt;record&gt;&lt;rec-number&gt;1142&lt;/rec-number&gt;&lt;foreign-keys&gt;&lt;key app="EN" db-id="9vsrvaat7fadwtesfsrpw5w5t0x5v500ef25" timestamp="1565842530"&gt;1142&lt;/key&gt;&lt;/foreign-keys&gt;&lt;ref-type name="Dataset"&gt;59&lt;/ref-type&gt;&lt;contributors&gt;&lt;authors&gt;&lt;author&gt;OECD,&lt;/author&gt;&lt;/authors&gt;&lt;secondary-authors&gt;&lt;author&gt;Organisation for Economic Cooperation and Development&lt;/author&gt;&lt;/secondary-authors&gt;&lt;/contributors&gt;&lt;titles&gt;&lt;title&gt;OECD Social and Welfare Statistics&lt;/title&gt;&lt;/titles&gt;&lt;dates&gt;&lt;year&gt;2018&lt;/year&gt;&lt;/dates&gt;&lt;pub-location&gt;Paris, France&lt;/pub-location&gt;&lt;urls&gt;&lt;related-urls&gt;&lt;url&gt;https://www.oecd-ilibrary.org/social-issues-migration-health/data/social-expenditure/aggregated-data_data-00166-en&lt;/url&gt;&lt;/related-urls&gt;&lt;/urls&gt;&lt;access-date&gt;12/06/18&lt;/access-date&gt;&lt;/record&gt;&lt;/Cite&gt;&lt;/EndNote&gt;</w:instrText>
            </w:r>
            <w:r w:rsidR="00695152">
              <w:rPr>
                <w:sz w:val="18"/>
                <w:szCs w:val="18"/>
              </w:rPr>
              <w:fldChar w:fldCharType="separate"/>
            </w:r>
            <w:r w:rsidR="00695152">
              <w:rPr>
                <w:noProof/>
                <w:sz w:val="18"/>
                <w:szCs w:val="18"/>
              </w:rPr>
              <w:t>(OECD, 2018a)</w:t>
            </w:r>
            <w:r w:rsidR="00695152">
              <w:rPr>
                <w:sz w:val="18"/>
                <w:szCs w:val="18"/>
              </w:rPr>
              <w:fldChar w:fldCharType="end"/>
            </w:r>
          </w:p>
        </w:tc>
      </w:tr>
      <w:tr w:rsidR="003D7A86" w:rsidRPr="00AB491A" w14:paraId="068C41C1" w14:textId="77777777" w:rsidTr="002D17A6">
        <w:tc>
          <w:tcPr>
            <w:tcW w:w="2263" w:type="dxa"/>
            <w:tcBorders>
              <w:top w:val="single" w:sz="4" w:space="0" w:color="auto"/>
              <w:bottom w:val="single" w:sz="4" w:space="0" w:color="auto"/>
              <w:right w:val="single" w:sz="4" w:space="0" w:color="auto"/>
            </w:tcBorders>
          </w:tcPr>
          <w:p w14:paraId="2FE6A161"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3DC9D284" w14:textId="77777777" w:rsidR="003D7A86" w:rsidRPr="00AB491A" w:rsidRDefault="003D7A86" w:rsidP="007F346F">
            <w:pPr>
              <w:rPr>
                <w:sz w:val="18"/>
                <w:szCs w:val="18"/>
              </w:rPr>
            </w:pPr>
            <w:r>
              <w:rPr>
                <w:sz w:val="18"/>
                <w:szCs w:val="18"/>
              </w:rPr>
              <w:t>Relative fiscal pressure by percentile future</w:t>
            </w:r>
          </w:p>
        </w:tc>
        <w:tc>
          <w:tcPr>
            <w:tcW w:w="2693" w:type="dxa"/>
            <w:tcBorders>
              <w:top w:val="single" w:sz="4" w:space="0" w:color="auto"/>
              <w:left w:val="single" w:sz="4" w:space="0" w:color="auto"/>
              <w:bottom w:val="single" w:sz="4" w:space="0" w:color="auto"/>
              <w:right w:val="single" w:sz="4" w:space="0" w:color="auto"/>
            </w:tcBorders>
          </w:tcPr>
          <w:p w14:paraId="029DE859" w14:textId="77777777" w:rsidR="003D7A86" w:rsidRDefault="003D7A86" w:rsidP="007F346F">
            <w:pPr>
              <w:jc w:val="center"/>
              <w:rPr>
                <w:sz w:val="18"/>
                <w:szCs w:val="18"/>
              </w:rPr>
            </w:pPr>
            <w:r>
              <w:rPr>
                <w:sz w:val="18"/>
                <w:szCs w:val="18"/>
              </w:rPr>
              <w:t xml:space="preserve">Existing trend </w:t>
            </w:r>
          </w:p>
          <w:p w14:paraId="7EE7625D" w14:textId="77777777" w:rsidR="003D7A86" w:rsidRPr="00AB491A" w:rsidRDefault="003D7A86" w:rsidP="007F346F">
            <w:pPr>
              <w:jc w:val="center"/>
              <w:rPr>
                <w:sz w:val="18"/>
                <w:szCs w:val="18"/>
              </w:rPr>
            </w:pPr>
            <w:r>
              <w:rPr>
                <w:sz w:val="18"/>
                <w:szCs w:val="18"/>
              </w:rPr>
              <w:t>0.8,0.9,1,1.4,0.4</w:t>
            </w:r>
          </w:p>
        </w:tc>
        <w:tc>
          <w:tcPr>
            <w:tcW w:w="2552" w:type="dxa"/>
            <w:tcBorders>
              <w:top w:val="single" w:sz="4" w:space="0" w:color="auto"/>
              <w:left w:val="single" w:sz="4" w:space="0" w:color="auto"/>
              <w:bottom w:val="single" w:sz="4" w:space="0" w:color="auto"/>
              <w:right w:val="single" w:sz="4" w:space="0" w:color="auto"/>
            </w:tcBorders>
          </w:tcPr>
          <w:p w14:paraId="4858A851" w14:textId="0C8C8D0C" w:rsidR="00FD68D0" w:rsidRPr="00FD68D0" w:rsidRDefault="00FD68D0" w:rsidP="00FD68D0">
            <w:pPr>
              <w:jc w:val="center"/>
              <w:rPr>
                <w:sz w:val="18"/>
                <w:szCs w:val="18"/>
              </w:rPr>
            </w:pPr>
            <w:r w:rsidRPr="00FD68D0">
              <w:rPr>
                <w:sz w:val="18"/>
                <w:szCs w:val="18"/>
              </w:rPr>
              <w:t xml:space="preserve">Increased for high/ decreased for </w:t>
            </w:r>
            <w:r w:rsidR="00914643" w:rsidRPr="00FD68D0">
              <w:rPr>
                <w:sz w:val="18"/>
                <w:szCs w:val="18"/>
              </w:rPr>
              <w:t>low-income</w:t>
            </w:r>
            <w:r w:rsidRPr="00FD68D0">
              <w:rPr>
                <w:sz w:val="18"/>
                <w:szCs w:val="18"/>
              </w:rPr>
              <w:t xml:space="preserve"> earners</w:t>
            </w:r>
          </w:p>
          <w:p w14:paraId="0DB5874C" w14:textId="4134565D" w:rsidR="003D7A86" w:rsidRPr="00AB491A" w:rsidRDefault="003D7A86" w:rsidP="007F346F">
            <w:pPr>
              <w:jc w:val="center"/>
              <w:rPr>
                <w:sz w:val="18"/>
                <w:szCs w:val="18"/>
              </w:rPr>
            </w:pPr>
            <w:r>
              <w:rPr>
                <w:sz w:val="18"/>
                <w:szCs w:val="18"/>
              </w:rPr>
              <w:t>0.8,0.9,1,1.2,1</w:t>
            </w:r>
          </w:p>
        </w:tc>
        <w:tc>
          <w:tcPr>
            <w:tcW w:w="4110" w:type="dxa"/>
            <w:tcBorders>
              <w:top w:val="single" w:sz="4" w:space="0" w:color="auto"/>
              <w:left w:val="single" w:sz="4" w:space="0" w:color="auto"/>
              <w:bottom w:val="single" w:sz="4" w:space="0" w:color="auto"/>
            </w:tcBorders>
          </w:tcPr>
          <w:p w14:paraId="08141C3F" w14:textId="331CCB31" w:rsidR="003D7A86" w:rsidRPr="00AB491A" w:rsidRDefault="00E909E9" w:rsidP="00C93C2A">
            <w:pPr>
              <w:rPr>
                <w:sz w:val="18"/>
                <w:szCs w:val="18"/>
              </w:rPr>
            </w:pPr>
            <w:r>
              <w:rPr>
                <w:sz w:val="18"/>
                <w:szCs w:val="18"/>
              </w:rPr>
              <w:t>SWT</w:t>
            </w:r>
            <w:r w:rsidR="00AF336E">
              <w:rPr>
                <w:sz w:val="18"/>
                <w:szCs w:val="18"/>
              </w:rPr>
              <w:t xml:space="preserve"> assumes a s</w:t>
            </w:r>
            <w:r w:rsidR="003D7A86">
              <w:rPr>
                <w:sz w:val="18"/>
                <w:szCs w:val="18"/>
              </w:rPr>
              <w:t xml:space="preserve">hift in tax burden to higher income earner quintiles </w:t>
            </w:r>
            <w:r w:rsidR="00AF336E">
              <w:rPr>
                <w:sz w:val="18"/>
                <w:szCs w:val="18"/>
              </w:rPr>
              <w:t>and</w:t>
            </w:r>
            <w:r w:rsidR="003D7A86">
              <w:rPr>
                <w:sz w:val="18"/>
                <w:szCs w:val="18"/>
              </w:rPr>
              <w:t xml:space="preserve"> abandon</w:t>
            </w:r>
            <w:r w:rsidR="00AF336E">
              <w:rPr>
                <w:sz w:val="18"/>
                <w:szCs w:val="18"/>
              </w:rPr>
              <w:t xml:space="preserve">ing Stage 3 </w:t>
            </w:r>
            <w:r w:rsidR="003D7A86">
              <w:rPr>
                <w:sz w:val="18"/>
                <w:szCs w:val="18"/>
              </w:rPr>
              <w:t>tax cuts</w:t>
            </w:r>
            <w:r w:rsidR="00AF336E">
              <w:rPr>
                <w:sz w:val="18"/>
                <w:szCs w:val="18"/>
              </w:rPr>
              <w:t xml:space="preserve">. </w:t>
            </w:r>
            <w:r w:rsidR="00AF336E" w:rsidRPr="00AF336E">
              <w:rPr>
                <w:sz w:val="18"/>
                <w:szCs w:val="18"/>
              </w:rPr>
              <w:t xml:space="preserve">Parameters based on </w:t>
            </w:r>
            <w:proofErr w:type="spellStart"/>
            <w:r w:rsidR="00AF336E" w:rsidRPr="00AF336E">
              <w:rPr>
                <w:sz w:val="18"/>
                <w:szCs w:val="18"/>
              </w:rPr>
              <w:t>i</w:t>
            </w:r>
            <w:r w:rsidR="00AF336E" w:rsidRPr="00AF336E">
              <w:rPr>
                <w:i/>
                <w:iCs/>
                <w:sz w:val="18"/>
                <w:szCs w:val="18"/>
              </w:rPr>
              <w:t>SDG</w:t>
            </w:r>
            <w:proofErr w:type="spellEnd"/>
            <w:r w:rsidR="00AF336E" w:rsidRPr="00AF336E">
              <w:rPr>
                <w:sz w:val="18"/>
                <w:szCs w:val="18"/>
              </w:rPr>
              <w:t xml:space="preserve"> model settings </w:t>
            </w:r>
            <w:r w:rsidR="00AF336E" w:rsidRPr="00AF336E">
              <w:rPr>
                <w:sz w:val="18"/>
                <w:szCs w:val="18"/>
              </w:rPr>
              <w:fldChar w:fldCharType="begin"/>
            </w:r>
            <w:r w:rsidR="00AF336E" w:rsidRPr="00AF336E">
              <w:rPr>
                <w:sz w:val="18"/>
                <w:szCs w:val="18"/>
              </w:rPr>
              <w:instrText xml:space="preserve"> ADDIN EN.CITE &lt;EndNote&gt;&lt;Cite&gt;&lt;Author&gt;Millennium Institute&lt;/Author&gt;&lt;Year&gt;2017&lt;/Year&gt;&lt;RecNum&gt;993&lt;/RecNum&gt;&lt;DisplayText&gt;(Millennium Institute, 2017)&lt;/DisplayText&gt;&lt;record&gt;&lt;rec-number&gt;993&lt;/rec-number&gt;&lt;foreign-keys&gt;&lt;key app="EN" db-id="9vsrvaat7fadwtesfsrpw5w5t0x5v500ef25" timestamp="1554175499"&gt;993&lt;/key&gt;&lt;/foreign-keys&gt;&lt;ref-type name="Generic"&gt;13&lt;/ref-type&gt;&lt;contributors&gt;&lt;authors&gt;&lt;author&gt;Millennium Institute,&lt;/author&gt;&lt;/authors&gt;&lt;/contributors&gt;&lt;titles&gt;&lt;title&gt;iSDG Model Documentation&lt;/title&gt;&lt;/titles&gt;&lt;dates&gt;&lt;year&gt;2017&lt;/year&gt;&lt;/dates&gt;&lt;pub-location&gt;Washington D.C.&lt;/pub-location&gt;&lt;publisher&gt;Millennium Institute&lt;/publisher&gt;&lt;urls&gt;&lt;related-urls&gt;&lt;url&gt;https://www.millennium-institute.org/documentation &lt;/url&gt;&lt;/related-urls&gt;&lt;/urls&gt;&lt;/record&gt;&lt;/Cite&gt;&lt;/EndNote&gt;</w:instrText>
            </w:r>
            <w:r w:rsidR="00AF336E" w:rsidRPr="00AF336E">
              <w:rPr>
                <w:sz w:val="18"/>
                <w:szCs w:val="18"/>
              </w:rPr>
              <w:fldChar w:fldCharType="separate"/>
            </w:r>
            <w:r w:rsidR="00AF336E" w:rsidRPr="00AF336E">
              <w:rPr>
                <w:sz w:val="18"/>
                <w:szCs w:val="18"/>
              </w:rPr>
              <w:t>(Millennium Institute, 2017)</w:t>
            </w:r>
            <w:r w:rsidR="00AF336E" w:rsidRPr="00AF336E">
              <w:rPr>
                <w:sz w:val="18"/>
                <w:szCs w:val="18"/>
              </w:rPr>
              <w:fldChar w:fldCharType="end"/>
            </w:r>
            <w:r w:rsidR="00AF336E" w:rsidRPr="00AF336E">
              <w:rPr>
                <w:sz w:val="18"/>
                <w:szCs w:val="18"/>
              </w:rPr>
              <w:t xml:space="preserve"> calibrated on income distribution and poverty data from ABS household income and wealth data</w:t>
            </w:r>
            <w:r w:rsidR="00AF336E">
              <w:rPr>
                <w:sz w:val="18"/>
                <w:szCs w:val="18"/>
              </w:rPr>
              <w:t xml:space="preserve"> </w:t>
            </w:r>
            <w:r w:rsidR="006C5257">
              <w:rPr>
                <w:sz w:val="18"/>
                <w:szCs w:val="18"/>
              </w:rPr>
              <w:fldChar w:fldCharType="begin"/>
            </w:r>
            <w:r w:rsidR="006C5257">
              <w:rPr>
                <w:sz w:val="18"/>
                <w:szCs w:val="18"/>
              </w:rPr>
              <w:instrText xml:space="preserve"> ADDIN EN.CITE &lt;EndNote&gt;&lt;Cite&gt;&lt;Author&gt;ABS&lt;/Author&gt;&lt;Year&gt;2018&lt;/Year&gt;&lt;RecNum&gt;1046&lt;/RecNum&gt;&lt;DisplayText&gt;(ABS, 2018b)&lt;/DisplayText&gt;&lt;record&gt;&lt;rec-number&gt;1046&lt;/rec-number&gt;&lt;foreign-keys&gt;&lt;key app="EN" db-id="9vsrvaat7fadwtesfsrpw5w5t0x5v500ef25" timestamp="1565084684"&gt;1046&lt;/key&gt;&lt;/foreign-keys&gt;&lt;ref-type name="Dataset"&gt;59&lt;/ref-type&gt;&lt;contributors&gt;&lt;authors&gt;&lt;author&gt;ABS,&lt;/author&gt;&lt;/authors&gt;&lt;/contributors&gt;&lt;titles&gt;&lt;title&gt;6523.0 - Household Income and Wealth, Australia&lt;/title&gt;&lt;/titles&gt;&lt;dates&gt;&lt;year&gt;2018&lt;/year&gt;&lt;/dates&gt;&lt;pub-location&gt;Canberra, Australia&lt;/pub-location&gt;&lt;publisher&gt;Australian Bureau of Statistics&lt;/publisher&gt;&lt;urls&gt;&lt;related-urls&gt;&lt;url&gt;https://www.abs.gov.au/AUSSTATS/abs@.nsf/allprimarymainfeatures/B3AB9C8CD32F7CA6CA2584340018A13B?opendocument&lt;/url&gt;&lt;/related-urls&gt;&lt;/urls&gt;&lt;access-date&gt;01/02/18&lt;/access-date&gt;&lt;/record&gt;&lt;/Cite&gt;&lt;/EndNote&gt;</w:instrText>
            </w:r>
            <w:r w:rsidR="006C5257">
              <w:rPr>
                <w:sz w:val="18"/>
                <w:szCs w:val="18"/>
              </w:rPr>
              <w:fldChar w:fldCharType="separate"/>
            </w:r>
            <w:r w:rsidR="006C5257">
              <w:rPr>
                <w:noProof/>
                <w:sz w:val="18"/>
                <w:szCs w:val="18"/>
              </w:rPr>
              <w:t>(ABS, 2018b)</w:t>
            </w:r>
            <w:r w:rsidR="006C5257">
              <w:rPr>
                <w:sz w:val="18"/>
                <w:szCs w:val="18"/>
              </w:rPr>
              <w:fldChar w:fldCharType="end"/>
            </w:r>
            <w:r w:rsidR="006C5257">
              <w:rPr>
                <w:sz w:val="18"/>
                <w:szCs w:val="18"/>
              </w:rPr>
              <w:t xml:space="preserve"> </w:t>
            </w:r>
            <w:r w:rsidR="00AF336E" w:rsidRPr="00AF336E">
              <w:rPr>
                <w:sz w:val="18"/>
                <w:szCs w:val="18"/>
              </w:rPr>
              <w:t>and HILDA survey data</w:t>
            </w:r>
            <w:r w:rsidR="00C93C2A">
              <w:rPr>
                <w:sz w:val="18"/>
                <w:szCs w:val="18"/>
              </w:rPr>
              <w:t xml:space="preserve"> </w:t>
            </w:r>
            <w:r w:rsidR="00AF336E" w:rsidRPr="00AF336E">
              <w:rPr>
                <w:sz w:val="18"/>
                <w:szCs w:val="18"/>
              </w:rPr>
              <w:t xml:space="preserve"> </w:t>
            </w:r>
            <w:r w:rsidR="00AF336E" w:rsidRPr="00AF336E">
              <w:rPr>
                <w:sz w:val="18"/>
                <w:szCs w:val="18"/>
              </w:rPr>
              <w:fldChar w:fldCharType="begin"/>
            </w:r>
            <w:r w:rsidR="00AF336E" w:rsidRPr="00AF336E">
              <w:rPr>
                <w:sz w:val="18"/>
                <w:szCs w:val="18"/>
              </w:rPr>
              <w:instrText xml:space="preserve"> ADDIN EN.CITE &lt;EndNote&gt;&lt;Cite&gt;&lt;Author&gt;Melbourne Institute&lt;/Author&gt;&lt;Year&gt;2018&lt;/Year&gt;&lt;RecNum&gt;1047&lt;/RecNum&gt;&lt;DisplayText&gt;(Melbourne Institute, 2018)&lt;/DisplayText&gt;&lt;record&gt;&lt;rec-number&gt;1047&lt;/rec-number&gt;&lt;foreign-keys&gt;&lt;key app="EN" db-id="9vsrvaat7fadwtesfsrpw5w5t0x5v500ef25" timestamp="1565084922"&gt;1047&lt;/key&gt;&lt;/foreign-keys&gt;&lt;ref-type name="Generic"&gt;13&lt;/ref-type&gt;&lt;contributors&gt;&lt;authors&gt;&lt;author&gt;Melbourne Institute,&lt;/author&gt;&lt;/authors&gt;&lt;/contributors&gt;&lt;titles&gt;&lt;title&gt;The Household, Income and Labour Dynamics in Australia (HILDA) Survey: Selected Findings from Waves 1 to 16&lt;/title&gt;&lt;/titles&gt;&lt;dates&gt;&lt;year&gt;2018&lt;/year&gt;&lt;/dates&gt;&lt;pub-location&gt;Melbourne, Australia&lt;/pub-location&gt;&lt;publisher&gt;Melbourne Institute&lt;/publisher&gt;&lt;urls&gt;&lt;related-urls&gt;&lt;url&gt;https://melbourneinstitute.unimelb.edu.au/__data/assets/pdf_file/0009/2874177/HILDA-report_Low-Res_10.10.18.pdf&lt;/url&gt;&lt;/related-urls&gt;&lt;/urls&gt;&lt;/record&gt;&lt;/Cite&gt;&lt;/EndNote&gt;</w:instrText>
            </w:r>
            <w:r w:rsidR="00AF336E" w:rsidRPr="00AF336E">
              <w:rPr>
                <w:sz w:val="18"/>
                <w:szCs w:val="18"/>
              </w:rPr>
              <w:fldChar w:fldCharType="separate"/>
            </w:r>
            <w:r w:rsidR="00AF336E" w:rsidRPr="00AF336E">
              <w:rPr>
                <w:sz w:val="18"/>
                <w:szCs w:val="18"/>
              </w:rPr>
              <w:t>(Melbourne Institute, 2018)</w:t>
            </w:r>
            <w:r w:rsidR="00AF336E" w:rsidRPr="00AF336E">
              <w:rPr>
                <w:sz w:val="18"/>
                <w:szCs w:val="18"/>
              </w:rPr>
              <w:fldChar w:fldCharType="end"/>
            </w:r>
            <w:r w:rsidR="00AF336E" w:rsidRPr="00AF336E">
              <w:rPr>
                <w:sz w:val="18"/>
                <w:szCs w:val="18"/>
              </w:rPr>
              <w:t>. Adjusted for additional fiscal pressure on high/</w:t>
            </w:r>
            <w:proofErr w:type="gramStart"/>
            <w:r w:rsidR="00AF336E" w:rsidRPr="00AF336E">
              <w:rPr>
                <w:sz w:val="18"/>
                <w:szCs w:val="18"/>
              </w:rPr>
              <w:t>low income</w:t>
            </w:r>
            <w:proofErr w:type="gramEnd"/>
            <w:r w:rsidR="00AF336E" w:rsidRPr="00AF336E">
              <w:rPr>
                <w:sz w:val="18"/>
                <w:szCs w:val="18"/>
              </w:rPr>
              <w:t xml:space="preserve"> quintiles</w:t>
            </w:r>
            <w:r w:rsidR="003A13E9">
              <w:rPr>
                <w:sz w:val="18"/>
                <w:szCs w:val="18"/>
              </w:rPr>
              <w:t>.</w:t>
            </w:r>
          </w:p>
        </w:tc>
      </w:tr>
      <w:tr w:rsidR="003D7A86" w:rsidRPr="00AB491A" w14:paraId="6C551335" w14:textId="77777777" w:rsidTr="002D17A6">
        <w:tc>
          <w:tcPr>
            <w:tcW w:w="2263" w:type="dxa"/>
            <w:tcBorders>
              <w:top w:val="single" w:sz="4" w:space="0" w:color="auto"/>
              <w:bottom w:val="single" w:sz="4" w:space="0" w:color="auto"/>
              <w:right w:val="single" w:sz="4" w:space="0" w:color="auto"/>
            </w:tcBorders>
          </w:tcPr>
          <w:p w14:paraId="4DC34AAD"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5814A637" w14:textId="77777777" w:rsidR="003D7A86" w:rsidRPr="00AB491A" w:rsidRDefault="003D7A86" w:rsidP="007F346F">
            <w:pPr>
              <w:rPr>
                <w:sz w:val="18"/>
                <w:szCs w:val="18"/>
              </w:rPr>
            </w:pPr>
            <w:r>
              <w:rPr>
                <w:sz w:val="18"/>
                <w:szCs w:val="18"/>
              </w:rPr>
              <w:t>Target subsidies and transfers distribution</w:t>
            </w:r>
          </w:p>
        </w:tc>
        <w:tc>
          <w:tcPr>
            <w:tcW w:w="2693" w:type="dxa"/>
            <w:tcBorders>
              <w:top w:val="single" w:sz="4" w:space="0" w:color="auto"/>
              <w:left w:val="single" w:sz="4" w:space="0" w:color="auto"/>
              <w:bottom w:val="single" w:sz="4" w:space="0" w:color="auto"/>
              <w:right w:val="single" w:sz="4" w:space="0" w:color="auto"/>
            </w:tcBorders>
          </w:tcPr>
          <w:p w14:paraId="2B395DE1" w14:textId="77777777" w:rsidR="003D7A86" w:rsidRPr="00AB491A" w:rsidRDefault="003D7A86" w:rsidP="007F346F">
            <w:pPr>
              <w:jc w:val="center"/>
              <w:rPr>
                <w:sz w:val="18"/>
                <w:szCs w:val="18"/>
              </w:rPr>
            </w:pPr>
            <w:r>
              <w:rPr>
                <w:sz w:val="18"/>
                <w:szCs w:val="18"/>
              </w:rPr>
              <w:t>Existing trend</w:t>
            </w:r>
          </w:p>
        </w:tc>
        <w:tc>
          <w:tcPr>
            <w:tcW w:w="2552" w:type="dxa"/>
            <w:tcBorders>
              <w:top w:val="single" w:sz="4" w:space="0" w:color="auto"/>
              <w:left w:val="single" w:sz="4" w:space="0" w:color="auto"/>
              <w:bottom w:val="single" w:sz="4" w:space="0" w:color="auto"/>
              <w:right w:val="single" w:sz="4" w:space="0" w:color="auto"/>
            </w:tcBorders>
          </w:tcPr>
          <w:p w14:paraId="7B206950" w14:textId="3264FC29" w:rsidR="00725431" w:rsidRDefault="00914643" w:rsidP="007F346F">
            <w:pPr>
              <w:jc w:val="center"/>
              <w:rPr>
                <w:sz w:val="18"/>
                <w:szCs w:val="18"/>
              </w:rPr>
            </w:pPr>
            <w:r>
              <w:rPr>
                <w:sz w:val="18"/>
                <w:szCs w:val="18"/>
              </w:rPr>
              <w:t>More targeted at lower</w:t>
            </w:r>
            <w:r w:rsidR="00725431">
              <w:rPr>
                <w:sz w:val="18"/>
                <w:szCs w:val="18"/>
              </w:rPr>
              <w:t xml:space="preserve"> income</w:t>
            </w:r>
            <w:r>
              <w:rPr>
                <w:sz w:val="18"/>
                <w:szCs w:val="18"/>
              </w:rPr>
              <w:t>s</w:t>
            </w:r>
          </w:p>
          <w:p w14:paraId="52D348AB" w14:textId="020E56B1" w:rsidR="003D7A86" w:rsidRPr="00AB491A" w:rsidRDefault="003D7A86" w:rsidP="007F346F">
            <w:pPr>
              <w:jc w:val="center"/>
              <w:rPr>
                <w:sz w:val="18"/>
                <w:szCs w:val="18"/>
              </w:rPr>
            </w:pPr>
            <w:r w:rsidRPr="0075677C">
              <w:rPr>
                <w:sz w:val="18"/>
                <w:szCs w:val="18"/>
              </w:rPr>
              <w:t>[(0,</w:t>
            </w:r>
            <w:proofErr w:type="gramStart"/>
            <w:r w:rsidRPr="0075677C">
              <w:rPr>
                <w:sz w:val="18"/>
                <w:szCs w:val="18"/>
              </w:rPr>
              <w:t>0)-(</w:t>
            </w:r>
            <w:proofErr w:type="gramEnd"/>
            <w:r w:rsidRPr="0075677C">
              <w:rPr>
                <w:sz w:val="18"/>
                <w:szCs w:val="18"/>
              </w:rPr>
              <w:t>100,10)],(1,1.2),(100,0.9)</w:t>
            </w:r>
          </w:p>
        </w:tc>
        <w:tc>
          <w:tcPr>
            <w:tcW w:w="4110" w:type="dxa"/>
            <w:tcBorders>
              <w:top w:val="single" w:sz="4" w:space="0" w:color="auto"/>
              <w:left w:val="single" w:sz="4" w:space="0" w:color="auto"/>
              <w:bottom w:val="single" w:sz="4" w:space="0" w:color="auto"/>
            </w:tcBorders>
          </w:tcPr>
          <w:p w14:paraId="0E97B05A" w14:textId="482D6168" w:rsidR="003D7A86" w:rsidRPr="00AB491A" w:rsidRDefault="00725431" w:rsidP="007F346F">
            <w:pPr>
              <w:rPr>
                <w:sz w:val="18"/>
                <w:szCs w:val="18"/>
              </w:rPr>
            </w:pPr>
            <w:r w:rsidRPr="00725431">
              <w:rPr>
                <w:sz w:val="18"/>
                <w:szCs w:val="18"/>
              </w:rPr>
              <w:t xml:space="preserve">Parameterised based on </w:t>
            </w:r>
            <w:proofErr w:type="spellStart"/>
            <w:r w:rsidRPr="00725431">
              <w:rPr>
                <w:sz w:val="18"/>
                <w:szCs w:val="18"/>
              </w:rPr>
              <w:t>iSDG</w:t>
            </w:r>
            <w:proofErr w:type="spellEnd"/>
            <w:r w:rsidRPr="00725431">
              <w:rPr>
                <w:sz w:val="18"/>
                <w:szCs w:val="18"/>
              </w:rPr>
              <w:t xml:space="preserve"> model settings </w:t>
            </w:r>
            <w:r w:rsidRPr="00725431">
              <w:rPr>
                <w:sz w:val="18"/>
                <w:szCs w:val="18"/>
              </w:rPr>
              <w:fldChar w:fldCharType="begin"/>
            </w:r>
            <w:r w:rsidRPr="00725431">
              <w:rPr>
                <w:sz w:val="18"/>
                <w:szCs w:val="18"/>
              </w:rPr>
              <w:instrText xml:space="preserve"> ADDIN EN.CITE &lt;EndNote&gt;&lt;Cite&gt;&lt;Author&gt;Millennium Institute&lt;/Author&gt;&lt;Year&gt;2017&lt;/Year&gt;&lt;RecNum&gt;993&lt;/RecNum&gt;&lt;DisplayText&gt;(Millennium Institute, 2017)&lt;/DisplayText&gt;&lt;record&gt;&lt;rec-number&gt;993&lt;/rec-number&gt;&lt;foreign-keys&gt;&lt;key app="EN" db-id="9vsrvaat7fadwtesfsrpw5w5t0x5v500ef25" timestamp="1554175499"&gt;993&lt;/key&gt;&lt;/foreign-keys&gt;&lt;ref-type name="Generic"&gt;13&lt;/ref-type&gt;&lt;contributors&gt;&lt;authors&gt;&lt;author&gt;Millennium Institute,&lt;/author&gt;&lt;/authors&gt;&lt;/contributors&gt;&lt;titles&gt;&lt;title&gt;iSDG Model Documentation&lt;/title&gt;&lt;/titles&gt;&lt;dates&gt;&lt;year&gt;2017&lt;/year&gt;&lt;/dates&gt;&lt;pub-location&gt;Washington D.C.&lt;/pub-location&gt;&lt;publisher&gt;Millennium Institute&lt;/publisher&gt;&lt;urls&gt;&lt;related-urls&gt;&lt;url&gt;https://www.millennium-institute.org/documentation &lt;/url&gt;&lt;/related-urls&gt;&lt;/urls&gt;&lt;/record&gt;&lt;/Cite&gt;&lt;/EndNote&gt;</w:instrText>
            </w:r>
            <w:r w:rsidRPr="00725431">
              <w:rPr>
                <w:sz w:val="18"/>
                <w:szCs w:val="18"/>
              </w:rPr>
              <w:fldChar w:fldCharType="separate"/>
            </w:r>
            <w:r w:rsidRPr="00725431">
              <w:rPr>
                <w:sz w:val="18"/>
                <w:szCs w:val="18"/>
              </w:rPr>
              <w:t>(Millennium Institute, 2017)</w:t>
            </w:r>
            <w:r w:rsidRPr="00725431">
              <w:rPr>
                <w:sz w:val="18"/>
                <w:szCs w:val="18"/>
              </w:rPr>
              <w:fldChar w:fldCharType="end"/>
            </w:r>
            <w:r w:rsidRPr="00725431">
              <w:rPr>
                <w:sz w:val="18"/>
                <w:szCs w:val="18"/>
              </w:rPr>
              <w:t xml:space="preserve"> with adjustments </w:t>
            </w:r>
            <w:r>
              <w:rPr>
                <w:sz w:val="18"/>
                <w:szCs w:val="18"/>
              </w:rPr>
              <w:t>in favour of</w:t>
            </w:r>
            <w:r w:rsidRPr="00725431">
              <w:rPr>
                <w:sz w:val="18"/>
                <w:szCs w:val="18"/>
              </w:rPr>
              <w:t xml:space="preserve"> low-income earners</w:t>
            </w:r>
            <w:r>
              <w:rPr>
                <w:sz w:val="18"/>
                <w:szCs w:val="18"/>
              </w:rPr>
              <w:t xml:space="preserve"> for the </w:t>
            </w:r>
            <w:r w:rsidR="00E909E9">
              <w:rPr>
                <w:sz w:val="18"/>
                <w:szCs w:val="18"/>
              </w:rPr>
              <w:t>SWT</w:t>
            </w:r>
            <w:r>
              <w:rPr>
                <w:sz w:val="18"/>
                <w:szCs w:val="18"/>
              </w:rPr>
              <w:t xml:space="preserve"> trajectory</w:t>
            </w:r>
          </w:p>
        </w:tc>
      </w:tr>
      <w:tr w:rsidR="003D7A86" w:rsidRPr="00AB491A" w14:paraId="0ABDE932" w14:textId="77777777" w:rsidTr="002D17A6">
        <w:tc>
          <w:tcPr>
            <w:tcW w:w="2263" w:type="dxa"/>
            <w:tcBorders>
              <w:top w:val="single" w:sz="4" w:space="0" w:color="auto"/>
              <w:bottom w:val="single" w:sz="4" w:space="0" w:color="auto"/>
              <w:right w:val="single" w:sz="4" w:space="0" w:color="auto"/>
            </w:tcBorders>
          </w:tcPr>
          <w:p w14:paraId="16CEC008"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14A9BC6A" w14:textId="77777777" w:rsidR="003D7A86" w:rsidRDefault="003D7A86" w:rsidP="007F346F">
            <w:pPr>
              <w:rPr>
                <w:sz w:val="18"/>
                <w:szCs w:val="18"/>
              </w:rPr>
            </w:pPr>
            <w:r>
              <w:rPr>
                <w:sz w:val="18"/>
                <w:szCs w:val="18"/>
              </w:rPr>
              <w:t>Gender employment gap target effect</w:t>
            </w:r>
          </w:p>
        </w:tc>
        <w:tc>
          <w:tcPr>
            <w:tcW w:w="2693" w:type="dxa"/>
            <w:tcBorders>
              <w:top w:val="single" w:sz="4" w:space="0" w:color="auto"/>
              <w:left w:val="single" w:sz="4" w:space="0" w:color="auto"/>
              <w:bottom w:val="single" w:sz="4" w:space="0" w:color="auto"/>
              <w:right w:val="single" w:sz="4" w:space="0" w:color="auto"/>
            </w:tcBorders>
          </w:tcPr>
          <w:p w14:paraId="4EADE940" w14:textId="77777777" w:rsidR="003D7A86" w:rsidRPr="00AB491A" w:rsidRDefault="003D7A86" w:rsidP="007F346F">
            <w:pPr>
              <w:jc w:val="center"/>
              <w:rPr>
                <w:sz w:val="18"/>
                <w:szCs w:val="18"/>
              </w:rPr>
            </w:pPr>
            <w:r>
              <w:rPr>
                <w:sz w:val="18"/>
                <w:szCs w:val="18"/>
              </w:rPr>
              <w:t>No change (0.08)</w:t>
            </w:r>
          </w:p>
        </w:tc>
        <w:tc>
          <w:tcPr>
            <w:tcW w:w="2552" w:type="dxa"/>
            <w:tcBorders>
              <w:top w:val="single" w:sz="4" w:space="0" w:color="auto"/>
              <w:left w:val="single" w:sz="4" w:space="0" w:color="auto"/>
              <w:bottom w:val="single" w:sz="4" w:space="0" w:color="auto"/>
              <w:right w:val="single" w:sz="4" w:space="0" w:color="auto"/>
            </w:tcBorders>
          </w:tcPr>
          <w:p w14:paraId="00DA25AE" w14:textId="3633AD55" w:rsidR="003D7A86" w:rsidRPr="00AB491A" w:rsidRDefault="003D7A86" w:rsidP="007F346F">
            <w:pPr>
              <w:jc w:val="center"/>
              <w:rPr>
                <w:sz w:val="18"/>
                <w:szCs w:val="18"/>
              </w:rPr>
            </w:pPr>
            <w:r>
              <w:rPr>
                <w:sz w:val="18"/>
                <w:szCs w:val="18"/>
              </w:rPr>
              <w:t>Improve</w:t>
            </w:r>
            <w:r w:rsidR="00EA0572">
              <w:rPr>
                <w:sz w:val="18"/>
                <w:szCs w:val="18"/>
              </w:rPr>
              <w:t>d gender equality</w:t>
            </w:r>
            <w:r>
              <w:rPr>
                <w:sz w:val="18"/>
                <w:szCs w:val="18"/>
              </w:rPr>
              <w:t xml:space="preserve"> from 2021 (0.06)</w:t>
            </w:r>
          </w:p>
        </w:tc>
        <w:tc>
          <w:tcPr>
            <w:tcW w:w="4110" w:type="dxa"/>
            <w:tcBorders>
              <w:top w:val="single" w:sz="4" w:space="0" w:color="auto"/>
              <w:left w:val="single" w:sz="4" w:space="0" w:color="auto"/>
              <w:bottom w:val="single" w:sz="4" w:space="0" w:color="auto"/>
            </w:tcBorders>
          </w:tcPr>
          <w:p w14:paraId="4BE42721" w14:textId="38AF9BBE" w:rsidR="003D7A86" w:rsidRPr="00AB491A" w:rsidRDefault="00FE33C6" w:rsidP="007F346F">
            <w:pPr>
              <w:rPr>
                <w:sz w:val="18"/>
                <w:szCs w:val="18"/>
              </w:rPr>
            </w:pPr>
            <w:r>
              <w:rPr>
                <w:sz w:val="18"/>
                <w:szCs w:val="18"/>
              </w:rPr>
              <w:t xml:space="preserve">Improvement in </w:t>
            </w:r>
            <w:r w:rsidR="00E909E9">
              <w:rPr>
                <w:sz w:val="18"/>
                <w:szCs w:val="18"/>
              </w:rPr>
              <w:t>SWT</w:t>
            </w:r>
            <w:r>
              <w:rPr>
                <w:sz w:val="18"/>
                <w:szCs w:val="18"/>
              </w:rPr>
              <w:t xml:space="preserve"> b</w:t>
            </w:r>
            <w:r w:rsidR="003D7A86" w:rsidRPr="00747C79">
              <w:rPr>
                <w:sz w:val="18"/>
                <w:szCs w:val="18"/>
              </w:rPr>
              <w:t xml:space="preserve">ased on policy proposal within </w:t>
            </w:r>
            <w:proofErr w:type="spellStart"/>
            <w:r w:rsidR="003D7A86" w:rsidRPr="00747C79">
              <w:rPr>
                <w:sz w:val="18"/>
                <w:szCs w:val="18"/>
              </w:rPr>
              <w:t>Labor</w:t>
            </w:r>
            <w:proofErr w:type="spellEnd"/>
            <w:r w:rsidR="003D7A86" w:rsidRPr="00747C79">
              <w:rPr>
                <w:sz w:val="18"/>
                <w:szCs w:val="18"/>
              </w:rPr>
              <w:t xml:space="preserve"> policies which would include an enhanced childcare system, with coverage reaching more people</w:t>
            </w:r>
            <w:r w:rsidR="00AB4EAD">
              <w:rPr>
                <w:sz w:val="18"/>
                <w:szCs w:val="18"/>
              </w:rPr>
              <w:t>:</w:t>
            </w:r>
            <w:r w:rsidR="003D7A86" w:rsidRPr="00747C79">
              <w:rPr>
                <w:sz w:val="18"/>
                <w:szCs w:val="18"/>
              </w:rPr>
              <w:t xml:space="preserve"> 6.2 billion over 4 years cost estimate</w:t>
            </w:r>
            <w:r w:rsidR="00AB4EAD">
              <w:rPr>
                <w:sz w:val="18"/>
                <w:szCs w:val="18"/>
              </w:rPr>
              <w:t xml:space="preserve"> </w:t>
            </w:r>
            <w:r w:rsidR="00AB4EAD">
              <w:rPr>
                <w:sz w:val="18"/>
                <w:szCs w:val="18"/>
              </w:rPr>
              <w:fldChar w:fldCharType="begin"/>
            </w:r>
            <w:r w:rsidR="00AB4EAD">
              <w:rPr>
                <w:sz w:val="18"/>
                <w:szCs w:val="18"/>
              </w:rPr>
              <w:instrText xml:space="preserve"> ADDIN EN.CITE &lt;EndNote&gt;&lt;Cite&gt;&lt;Author&gt;Australian Treasury&lt;/Author&gt;&lt;Year&gt;2020&lt;/Year&gt;&lt;RecNum&gt;1501&lt;/RecNum&gt;&lt;DisplayText&gt;(Australian Treasury, 2020)&lt;/DisplayText&gt;&lt;record&gt;&lt;rec-number&gt;1501&lt;/rec-number&gt;&lt;foreign-keys&gt;&lt;key app="EN" db-id="9vsrvaat7fadwtesfsrpw5w5t0x5v500ef25" timestamp="1603463871"&gt;1501&lt;/key&gt;&lt;/foreign-keys&gt;&lt;ref-type name="Generic"&gt;13&lt;/ref-type&gt;&lt;contributors&gt;&lt;authors&gt;&lt;author&gt;Australian Treasury,&lt;/author&gt;&lt;/authors&gt;&lt;/contributors&gt;&lt;titles&gt;&lt;title&gt;Budget 2020-21: Budget Strategy and Outlook&lt;/title&gt;&lt;/titles&gt;&lt;dates&gt;&lt;year&gt;2020&lt;/year&gt;&lt;/dates&gt;&lt;pub-location&gt;Canberra&lt;/pub-location&gt;&lt;publisher&gt;Australian Government&lt;/publisher&gt;&lt;urls&gt;&lt;/urls&gt;&lt;/record&gt;&lt;/Cite&gt;&lt;/EndNote&gt;</w:instrText>
            </w:r>
            <w:r w:rsidR="00AB4EAD">
              <w:rPr>
                <w:sz w:val="18"/>
                <w:szCs w:val="18"/>
              </w:rPr>
              <w:fldChar w:fldCharType="separate"/>
            </w:r>
            <w:r w:rsidR="00AB4EAD">
              <w:rPr>
                <w:noProof/>
                <w:sz w:val="18"/>
                <w:szCs w:val="18"/>
              </w:rPr>
              <w:t>(Australian Treasury, 2020)</w:t>
            </w:r>
            <w:r w:rsidR="00AB4EAD">
              <w:rPr>
                <w:sz w:val="18"/>
                <w:szCs w:val="18"/>
              </w:rPr>
              <w:fldChar w:fldCharType="end"/>
            </w:r>
            <w:r w:rsidR="005059B4">
              <w:rPr>
                <w:sz w:val="18"/>
                <w:szCs w:val="18"/>
              </w:rPr>
              <w:t xml:space="preserve">. </w:t>
            </w:r>
          </w:p>
        </w:tc>
      </w:tr>
      <w:tr w:rsidR="003D7A86" w:rsidRPr="00AB491A" w14:paraId="6FB42D69" w14:textId="77777777" w:rsidTr="002D17A6">
        <w:tc>
          <w:tcPr>
            <w:tcW w:w="2263" w:type="dxa"/>
            <w:tcBorders>
              <w:top w:val="single" w:sz="4" w:space="0" w:color="auto"/>
              <w:bottom w:val="single" w:sz="4" w:space="0" w:color="auto"/>
              <w:right w:val="single" w:sz="4" w:space="0" w:color="auto"/>
            </w:tcBorders>
          </w:tcPr>
          <w:p w14:paraId="32A7D7B1"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6C0A6170" w14:textId="77777777" w:rsidR="003D7A86" w:rsidRDefault="003D7A86" w:rsidP="007F346F">
            <w:pPr>
              <w:rPr>
                <w:sz w:val="18"/>
                <w:szCs w:val="18"/>
              </w:rPr>
            </w:pPr>
            <w:r>
              <w:rPr>
                <w:sz w:val="18"/>
                <w:szCs w:val="18"/>
              </w:rPr>
              <w:t>Additional tax rate on international trade as % GDP</w:t>
            </w:r>
          </w:p>
        </w:tc>
        <w:tc>
          <w:tcPr>
            <w:tcW w:w="2693" w:type="dxa"/>
            <w:tcBorders>
              <w:top w:val="single" w:sz="4" w:space="0" w:color="auto"/>
              <w:left w:val="single" w:sz="4" w:space="0" w:color="auto"/>
              <w:bottom w:val="single" w:sz="4" w:space="0" w:color="auto"/>
              <w:right w:val="single" w:sz="4" w:space="0" w:color="auto"/>
            </w:tcBorders>
          </w:tcPr>
          <w:p w14:paraId="6548F21B" w14:textId="77777777" w:rsidR="003D7A86" w:rsidRDefault="003D7A86" w:rsidP="007F346F">
            <w:pPr>
              <w:jc w:val="center"/>
              <w:rPr>
                <w:sz w:val="18"/>
                <w:szCs w:val="18"/>
              </w:rPr>
            </w:pPr>
            <w:r>
              <w:rPr>
                <w:sz w:val="18"/>
                <w:szCs w:val="18"/>
              </w:rPr>
              <w:t>No change</w:t>
            </w:r>
          </w:p>
        </w:tc>
        <w:tc>
          <w:tcPr>
            <w:tcW w:w="2552" w:type="dxa"/>
            <w:tcBorders>
              <w:top w:val="single" w:sz="4" w:space="0" w:color="auto"/>
              <w:left w:val="single" w:sz="4" w:space="0" w:color="auto"/>
              <w:bottom w:val="single" w:sz="4" w:space="0" w:color="auto"/>
              <w:right w:val="single" w:sz="4" w:space="0" w:color="auto"/>
            </w:tcBorders>
          </w:tcPr>
          <w:p w14:paraId="1805ECA1" w14:textId="7E2C943E" w:rsidR="00C576D2" w:rsidRDefault="00C576D2" w:rsidP="007F346F">
            <w:pPr>
              <w:jc w:val="center"/>
              <w:rPr>
                <w:sz w:val="18"/>
                <w:szCs w:val="18"/>
              </w:rPr>
            </w:pPr>
            <w:r>
              <w:rPr>
                <w:sz w:val="18"/>
                <w:szCs w:val="18"/>
              </w:rPr>
              <w:t>Increased tax rate</w:t>
            </w:r>
          </w:p>
          <w:p w14:paraId="3A7CEFB8" w14:textId="2B1321D7" w:rsidR="003D7A86" w:rsidRDefault="003D7A86" w:rsidP="007F346F">
            <w:pPr>
              <w:jc w:val="center"/>
              <w:rPr>
                <w:sz w:val="18"/>
                <w:szCs w:val="18"/>
              </w:rPr>
            </w:pPr>
            <w:r>
              <w:rPr>
                <w:sz w:val="18"/>
                <w:szCs w:val="18"/>
              </w:rPr>
              <w:t>+0.13%</w:t>
            </w:r>
          </w:p>
        </w:tc>
        <w:tc>
          <w:tcPr>
            <w:tcW w:w="4110" w:type="dxa"/>
            <w:tcBorders>
              <w:top w:val="single" w:sz="4" w:space="0" w:color="auto"/>
              <w:left w:val="single" w:sz="4" w:space="0" w:color="auto"/>
              <w:bottom w:val="single" w:sz="4" w:space="0" w:color="auto"/>
            </w:tcBorders>
          </w:tcPr>
          <w:p w14:paraId="542A0164" w14:textId="692D9BA0" w:rsidR="003D7A86" w:rsidRDefault="00E909E9" w:rsidP="007F346F">
            <w:pPr>
              <w:rPr>
                <w:sz w:val="18"/>
                <w:szCs w:val="18"/>
              </w:rPr>
            </w:pPr>
            <w:r>
              <w:rPr>
                <w:sz w:val="18"/>
                <w:szCs w:val="18"/>
              </w:rPr>
              <w:t>SWT</w:t>
            </w:r>
            <w:r w:rsidR="003D7A86">
              <w:rPr>
                <w:sz w:val="18"/>
                <w:szCs w:val="18"/>
              </w:rPr>
              <w:t xml:space="preserve"> – Equivalent to increase in tax by ~15%.</w:t>
            </w:r>
          </w:p>
          <w:p w14:paraId="66052DA0" w14:textId="1C8639A5" w:rsidR="006C5BF1" w:rsidRPr="00747C79" w:rsidRDefault="006C5BF1" w:rsidP="007F346F">
            <w:pPr>
              <w:rPr>
                <w:sz w:val="18"/>
                <w:szCs w:val="18"/>
              </w:rPr>
            </w:pPr>
            <w:r w:rsidRPr="006C5BF1">
              <w:rPr>
                <w:sz w:val="18"/>
                <w:szCs w:val="18"/>
              </w:rPr>
              <w:t>International trade tax rates based on IMF data for Australia 1990-201</w:t>
            </w:r>
            <w:r w:rsidR="00294E74">
              <w:rPr>
                <w:sz w:val="18"/>
                <w:szCs w:val="18"/>
              </w:rPr>
              <w:t>8</w:t>
            </w:r>
            <w:r w:rsidRPr="006C5BF1">
              <w:rPr>
                <w:sz w:val="18"/>
                <w:szCs w:val="18"/>
              </w:rPr>
              <w:t xml:space="preserve"> </w:t>
            </w:r>
            <w:r w:rsidRPr="006C5BF1">
              <w:rPr>
                <w:sz w:val="18"/>
                <w:szCs w:val="18"/>
              </w:rPr>
              <w:fldChar w:fldCharType="begin"/>
            </w:r>
            <w:r w:rsidR="006B083C">
              <w:rPr>
                <w:sz w:val="18"/>
                <w:szCs w:val="18"/>
              </w:rPr>
              <w:instrText xml:space="preserve"> ADDIN EN.CITE &lt;EndNote&gt;&lt;Cite&gt;&lt;Author&gt;IMF&lt;/Author&gt;&lt;Year&gt;2019&lt;/Year&gt;&lt;RecNum&gt;1053&lt;/RecNum&gt;&lt;DisplayText&gt;(IMF, 2019)&lt;/DisplayText&gt;&lt;record&gt;&lt;rec-number&gt;1053&lt;/rec-number&gt;&lt;foreign-keys&gt;&lt;key app="EN" db-id="9vsrvaat7fadwtesfsrpw5w5t0x5v500ef25" timestamp="1565086952"&gt;1053&lt;/key&gt;&lt;/foreign-keys&gt;&lt;ref-type name="Dataset"&gt;59&lt;/ref-type&gt;&lt;contributors&gt;&lt;authors&gt;&lt;author&gt;IMF&lt;/author&gt;&lt;/authors&gt;&lt;secondary-authors&gt;&lt;author&gt;International Monetary Fund&lt;/author&gt;&lt;/secondary-authors&gt;&lt;/contributors&gt;&lt;titles&gt;&lt;title&gt;Government Finance Statistics&lt;/title&gt;&lt;/titles&gt;&lt;dates&gt;&lt;year&gt;2019&lt;/year&gt;&lt;/dates&gt;&lt;pub-location&gt;Washington, USA&lt;/pub-location&gt;&lt;urls&gt;&lt;related-urls&gt;&lt;url&gt;http://data.imf.org/?sk=a0867067-d23c-4ebc-ad23-d3b015045405&lt;/url&gt;&lt;/related-urls&gt;&lt;/urls&gt;&lt;access-date&gt;15/02/18&lt;/access-date&gt;&lt;/record&gt;&lt;/Cite&gt;&lt;/EndNote&gt;</w:instrText>
            </w:r>
            <w:r w:rsidRPr="006C5BF1">
              <w:rPr>
                <w:sz w:val="18"/>
                <w:szCs w:val="18"/>
              </w:rPr>
              <w:fldChar w:fldCharType="separate"/>
            </w:r>
            <w:r w:rsidR="006B083C">
              <w:rPr>
                <w:noProof/>
                <w:sz w:val="18"/>
                <w:szCs w:val="18"/>
              </w:rPr>
              <w:t>(IMF, 2019)</w:t>
            </w:r>
            <w:r w:rsidRPr="006C5BF1">
              <w:rPr>
                <w:sz w:val="18"/>
                <w:szCs w:val="18"/>
              </w:rPr>
              <w:fldChar w:fldCharType="end"/>
            </w:r>
            <w:r w:rsidRPr="006C5BF1">
              <w:rPr>
                <w:sz w:val="18"/>
                <w:szCs w:val="18"/>
              </w:rPr>
              <w:t>.  Low-medium parameters estimated based on BAU and timeseries data</w:t>
            </w:r>
            <w:r>
              <w:rPr>
                <w:sz w:val="18"/>
                <w:szCs w:val="18"/>
              </w:rPr>
              <w:t xml:space="preserve">. </w:t>
            </w:r>
          </w:p>
        </w:tc>
      </w:tr>
      <w:tr w:rsidR="003D7A86" w:rsidRPr="00AB491A" w14:paraId="759A4418" w14:textId="77777777" w:rsidTr="002D17A6">
        <w:tc>
          <w:tcPr>
            <w:tcW w:w="2263" w:type="dxa"/>
            <w:tcBorders>
              <w:top w:val="single" w:sz="4" w:space="0" w:color="auto"/>
              <w:bottom w:val="single" w:sz="4" w:space="0" w:color="auto"/>
              <w:right w:val="single" w:sz="4" w:space="0" w:color="auto"/>
            </w:tcBorders>
          </w:tcPr>
          <w:p w14:paraId="6E3F10A0"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046DB128" w14:textId="77777777" w:rsidR="003D7A86" w:rsidRDefault="003D7A86" w:rsidP="007F346F">
            <w:pPr>
              <w:rPr>
                <w:sz w:val="18"/>
                <w:szCs w:val="18"/>
              </w:rPr>
            </w:pPr>
            <w:r>
              <w:rPr>
                <w:sz w:val="18"/>
                <w:szCs w:val="18"/>
              </w:rPr>
              <w:t>Tax rate on income and profits as % GDP</w:t>
            </w:r>
          </w:p>
        </w:tc>
        <w:tc>
          <w:tcPr>
            <w:tcW w:w="2693" w:type="dxa"/>
            <w:tcBorders>
              <w:top w:val="single" w:sz="4" w:space="0" w:color="auto"/>
              <w:left w:val="single" w:sz="4" w:space="0" w:color="auto"/>
              <w:bottom w:val="single" w:sz="4" w:space="0" w:color="auto"/>
              <w:right w:val="single" w:sz="4" w:space="0" w:color="auto"/>
            </w:tcBorders>
          </w:tcPr>
          <w:p w14:paraId="7021B778" w14:textId="5C4B09DE" w:rsidR="00496BD0" w:rsidRDefault="00496BD0" w:rsidP="007F346F">
            <w:pPr>
              <w:jc w:val="center"/>
              <w:rPr>
                <w:sz w:val="18"/>
                <w:szCs w:val="18"/>
              </w:rPr>
            </w:pPr>
            <w:r>
              <w:rPr>
                <w:sz w:val="18"/>
                <w:szCs w:val="18"/>
              </w:rPr>
              <w:t>Decrease</w:t>
            </w:r>
            <w:r w:rsidR="00F32D57">
              <w:rPr>
                <w:sz w:val="18"/>
                <w:szCs w:val="18"/>
              </w:rPr>
              <w:t>d</w:t>
            </w:r>
          </w:p>
          <w:p w14:paraId="7F31F5B6" w14:textId="32227CFD" w:rsidR="003D7A86" w:rsidRDefault="003D7A86" w:rsidP="007F346F">
            <w:pPr>
              <w:jc w:val="center"/>
              <w:rPr>
                <w:sz w:val="18"/>
                <w:szCs w:val="18"/>
              </w:rPr>
            </w:pPr>
            <w:r>
              <w:rPr>
                <w:sz w:val="18"/>
                <w:szCs w:val="18"/>
              </w:rPr>
              <w:t>2020: -0.43</w:t>
            </w:r>
          </w:p>
          <w:p w14:paraId="3AAC516F" w14:textId="77777777" w:rsidR="003D7A86" w:rsidRDefault="003D7A86" w:rsidP="007F346F">
            <w:pPr>
              <w:jc w:val="center"/>
              <w:rPr>
                <w:sz w:val="18"/>
                <w:szCs w:val="18"/>
              </w:rPr>
            </w:pPr>
            <w:r>
              <w:rPr>
                <w:sz w:val="18"/>
                <w:szCs w:val="18"/>
              </w:rPr>
              <w:t>2021:  -1.6</w:t>
            </w:r>
          </w:p>
          <w:p w14:paraId="7FBCF526" w14:textId="77777777" w:rsidR="003D7A86" w:rsidRDefault="003D7A86" w:rsidP="007F346F">
            <w:pPr>
              <w:jc w:val="center"/>
              <w:rPr>
                <w:sz w:val="18"/>
                <w:szCs w:val="18"/>
              </w:rPr>
            </w:pPr>
            <w:r>
              <w:rPr>
                <w:sz w:val="18"/>
                <w:szCs w:val="18"/>
              </w:rPr>
              <w:t>2022: -0.75</w:t>
            </w:r>
          </w:p>
          <w:p w14:paraId="0F15AD3E" w14:textId="77777777" w:rsidR="003D7A86" w:rsidRDefault="003D7A86" w:rsidP="007F346F">
            <w:pPr>
              <w:jc w:val="center"/>
              <w:rPr>
                <w:sz w:val="18"/>
                <w:szCs w:val="18"/>
              </w:rPr>
            </w:pPr>
            <w:r>
              <w:rPr>
                <w:sz w:val="18"/>
                <w:szCs w:val="18"/>
              </w:rPr>
              <w:t>2023-2030: -0.75</w:t>
            </w:r>
          </w:p>
          <w:p w14:paraId="4DA3CF81" w14:textId="77777777" w:rsidR="003D7A86" w:rsidRDefault="003D7A86" w:rsidP="007F346F">
            <w:pPr>
              <w:jc w:val="center"/>
              <w:rPr>
                <w:sz w:val="18"/>
                <w:szCs w:val="18"/>
              </w:rPr>
            </w:pPr>
            <w:r>
              <w:rPr>
                <w:sz w:val="18"/>
                <w:szCs w:val="18"/>
              </w:rPr>
              <w:t>2050: -0.75</w:t>
            </w:r>
          </w:p>
        </w:tc>
        <w:tc>
          <w:tcPr>
            <w:tcW w:w="2552" w:type="dxa"/>
            <w:tcBorders>
              <w:top w:val="single" w:sz="4" w:space="0" w:color="auto"/>
              <w:left w:val="single" w:sz="4" w:space="0" w:color="auto"/>
              <w:bottom w:val="single" w:sz="4" w:space="0" w:color="auto"/>
              <w:right w:val="single" w:sz="4" w:space="0" w:color="auto"/>
            </w:tcBorders>
          </w:tcPr>
          <w:p w14:paraId="22D82B59" w14:textId="5B531B90" w:rsidR="00496BD0" w:rsidRDefault="00496BD0" w:rsidP="007F346F">
            <w:pPr>
              <w:jc w:val="center"/>
              <w:rPr>
                <w:sz w:val="18"/>
                <w:szCs w:val="18"/>
              </w:rPr>
            </w:pPr>
            <w:r>
              <w:rPr>
                <w:sz w:val="18"/>
                <w:szCs w:val="18"/>
              </w:rPr>
              <w:t>Increased</w:t>
            </w:r>
            <w:r w:rsidR="00C576D2">
              <w:rPr>
                <w:sz w:val="18"/>
                <w:szCs w:val="18"/>
              </w:rPr>
              <w:t xml:space="preserve"> tax rate</w:t>
            </w:r>
          </w:p>
          <w:p w14:paraId="205C799B" w14:textId="4B414A9C" w:rsidR="003D7A86" w:rsidRPr="004C0BB7" w:rsidRDefault="003D7A86" w:rsidP="007F346F">
            <w:pPr>
              <w:jc w:val="center"/>
              <w:rPr>
                <w:sz w:val="18"/>
                <w:szCs w:val="18"/>
              </w:rPr>
            </w:pPr>
            <w:r w:rsidRPr="004C0BB7">
              <w:rPr>
                <w:sz w:val="18"/>
                <w:szCs w:val="18"/>
              </w:rPr>
              <w:t>2020: -0.43</w:t>
            </w:r>
          </w:p>
          <w:p w14:paraId="16B1FECF" w14:textId="77777777" w:rsidR="003D7A86" w:rsidRPr="004C0BB7" w:rsidRDefault="003D7A86" w:rsidP="007F346F">
            <w:pPr>
              <w:jc w:val="center"/>
              <w:rPr>
                <w:sz w:val="18"/>
                <w:szCs w:val="18"/>
              </w:rPr>
            </w:pPr>
            <w:r w:rsidRPr="004C0BB7">
              <w:rPr>
                <w:sz w:val="18"/>
                <w:szCs w:val="18"/>
              </w:rPr>
              <w:t>2021: 2.6</w:t>
            </w:r>
          </w:p>
          <w:p w14:paraId="45891A53" w14:textId="77777777" w:rsidR="003D7A86" w:rsidRPr="004C0BB7" w:rsidRDefault="003D7A86" w:rsidP="007F346F">
            <w:pPr>
              <w:jc w:val="center"/>
              <w:rPr>
                <w:sz w:val="18"/>
                <w:szCs w:val="18"/>
              </w:rPr>
            </w:pPr>
            <w:r w:rsidRPr="004C0BB7">
              <w:rPr>
                <w:sz w:val="18"/>
                <w:szCs w:val="18"/>
              </w:rPr>
              <w:t>2022:  2.6</w:t>
            </w:r>
          </w:p>
          <w:p w14:paraId="37C3B4CD" w14:textId="77777777" w:rsidR="003D7A86" w:rsidRPr="004C0BB7" w:rsidRDefault="003D7A86" w:rsidP="007F346F">
            <w:pPr>
              <w:jc w:val="center"/>
              <w:rPr>
                <w:sz w:val="18"/>
                <w:szCs w:val="18"/>
              </w:rPr>
            </w:pPr>
            <w:r w:rsidRPr="004C0BB7">
              <w:rPr>
                <w:sz w:val="18"/>
                <w:szCs w:val="18"/>
              </w:rPr>
              <w:t>2023-2030: 2.6</w:t>
            </w:r>
          </w:p>
          <w:p w14:paraId="69FBDD5C" w14:textId="77777777" w:rsidR="003D7A86" w:rsidRPr="004C0BB7" w:rsidRDefault="003D7A86" w:rsidP="007F346F">
            <w:pPr>
              <w:jc w:val="center"/>
              <w:rPr>
                <w:sz w:val="18"/>
                <w:szCs w:val="18"/>
              </w:rPr>
            </w:pPr>
            <w:r w:rsidRPr="004C0BB7">
              <w:rPr>
                <w:sz w:val="18"/>
                <w:szCs w:val="18"/>
              </w:rPr>
              <w:t>2050: 2.6</w:t>
            </w:r>
          </w:p>
        </w:tc>
        <w:tc>
          <w:tcPr>
            <w:tcW w:w="4110" w:type="dxa"/>
            <w:tcBorders>
              <w:top w:val="single" w:sz="4" w:space="0" w:color="auto"/>
              <w:left w:val="single" w:sz="4" w:space="0" w:color="auto"/>
              <w:bottom w:val="single" w:sz="4" w:space="0" w:color="auto"/>
            </w:tcBorders>
          </w:tcPr>
          <w:p w14:paraId="7E67F7CC" w14:textId="578C0816" w:rsidR="003D7A86" w:rsidRPr="00747C79" w:rsidRDefault="003D7A86" w:rsidP="007F346F">
            <w:pPr>
              <w:rPr>
                <w:sz w:val="18"/>
                <w:szCs w:val="18"/>
              </w:rPr>
            </w:pPr>
            <w:r>
              <w:rPr>
                <w:sz w:val="18"/>
                <w:szCs w:val="18"/>
              </w:rPr>
              <w:t xml:space="preserve">Government stage 1 and 2 tax cuts and write offs reduce income. </w:t>
            </w:r>
            <w:r w:rsidR="00E909E9">
              <w:rPr>
                <w:sz w:val="18"/>
                <w:szCs w:val="18"/>
              </w:rPr>
              <w:t>SWT</w:t>
            </w:r>
            <w:r>
              <w:rPr>
                <w:sz w:val="18"/>
                <w:szCs w:val="18"/>
              </w:rPr>
              <w:t xml:space="preserve"> – government drops stage 3 tax cuts and increases revenue to cover additional spending. Increase is</w:t>
            </w:r>
            <w:r w:rsidRPr="000A6C38">
              <w:rPr>
                <w:sz w:val="18"/>
                <w:szCs w:val="18"/>
              </w:rPr>
              <w:t xml:space="preserve"> equivalent to a 15% increase on the existing tax revenue, this would equate to a total average tax rate of 27.3% </w:t>
            </w:r>
            <w:r w:rsidR="009A6350">
              <w:rPr>
                <w:sz w:val="18"/>
                <w:szCs w:val="18"/>
              </w:rPr>
              <w:t>which is</w:t>
            </w:r>
            <w:r w:rsidRPr="000A6C38">
              <w:rPr>
                <w:sz w:val="18"/>
                <w:szCs w:val="18"/>
              </w:rPr>
              <w:t xml:space="preserve"> </w:t>
            </w:r>
            <w:proofErr w:type="gramStart"/>
            <w:r w:rsidRPr="000A6C38">
              <w:rPr>
                <w:sz w:val="18"/>
                <w:szCs w:val="18"/>
              </w:rPr>
              <w:t>similar to</w:t>
            </w:r>
            <w:proofErr w:type="gramEnd"/>
            <w:r w:rsidRPr="000A6C38">
              <w:rPr>
                <w:sz w:val="18"/>
                <w:szCs w:val="18"/>
              </w:rPr>
              <w:t xml:space="preserve"> Norway (OECD)</w:t>
            </w:r>
            <w:r w:rsidR="009A6350">
              <w:rPr>
                <w:sz w:val="18"/>
                <w:szCs w:val="18"/>
              </w:rPr>
              <w:t xml:space="preserve">. </w:t>
            </w:r>
            <w:r w:rsidR="00DA2B53">
              <w:rPr>
                <w:sz w:val="18"/>
                <w:szCs w:val="18"/>
              </w:rPr>
              <w:t>B</w:t>
            </w:r>
            <w:r w:rsidR="00DA2B53" w:rsidRPr="00DA2B53">
              <w:rPr>
                <w:sz w:val="18"/>
                <w:szCs w:val="18"/>
              </w:rPr>
              <w:t xml:space="preserve">ased on IMF data </w:t>
            </w:r>
            <w:r w:rsidR="00DA2B53">
              <w:rPr>
                <w:sz w:val="18"/>
                <w:szCs w:val="18"/>
              </w:rPr>
              <w:t xml:space="preserve"> </w:t>
            </w:r>
            <w:r w:rsidR="00DA2B53" w:rsidRPr="00DA2B53">
              <w:rPr>
                <w:sz w:val="18"/>
                <w:szCs w:val="18"/>
              </w:rPr>
              <w:fldChar w:fldCharType="begin"/>
            </w:r>
            <w:r w:rsidR="006B083C">
              <w:rPr>
                <w:sz w:val="18"/>
                <w:szCs w:val="18"/>
              </w:rPr>
              <w:instrText xml:space="preserve"> ADDIN EN.CITE &lt;EndNote&gt;&lt;Cite&gt;&lt;Author&gt;IMF&lt;/Author&gt;&lt;Year&gt;2019&lt;/Year&gt;&lt;RecNum&gt;1053&lt;/RecNum&gt;&lt;DisplayText&gt;(IMF, 2019)&lt;/DisplayText&gt;&lt;record&gt;&lt;rec-number&gt;1053&lt;/rec-number&gt;&lt;foreign-keys&gt;&lt;key app="EN" db-id="9vsrvaat7fadwtesfsrpw5w5t0x5v500ef25" timestamp="1565086952"&gt;1053&lt;/key&gt;&lt;/foreign-keys&gt;&lt;ref-type name="Dataset"&gt;59&lt;/ref-type&gt;&lt;contributors&gt;&lt;authors&gt;&lt;author&gt;IMF&lt;/author&gt;&lt;/authors&gt;&lt;secondary-authors&gt;&lt;author&gt;International Monetary Fund&lt;/author&gt;&lt;/secondary-authors&gt;&lt;/contributors&gt;&lt;titles&gt;&lt;title&gt;Government Finance Statistics&lt;/title&gt;&lt;/titles&gt;&lt;dates&gt;&lt;year&gt;2019&lt;/year&gt;&lt;/dates&gt;&lt;pub-location&gt;Washington, USA&lt;/pub-location&gt;&lt;urls&gt;&lt;related-urls&gt;&lt;url&gt;http://data.imf.org/?sk=a0867067-d23c-4ebc-ad23-d3b015045405&lt;/url&gt;&lt;/related-urls&gt;&lt;/urls&gt;&lt;access-date&gt;15/02/18&lt;/access-date&gt;&lt;/record&gt;&lt;/Cite&gt;&lt;/EndNote&gt;</w:instrText>
            </w:r>
            <w:r w:rsidR="00DA2B53" w:rsidRPr="00DA2B53">
              <w:rPr>
                <w:sz w:val="18"/>
                <w:szCs w:val="18"/>
              </w:rPr>
              <w:fldChar w:fldCharType="separate"/>
            </w:r>
            <w:r w:rsidR="006B083C">
              <w:rPr>
                <w:noProof/>
                <w:sz w:val="18"/>
                <w:szCs w:val="18"/>
              </w:rPr>
              <w:t>(IMF, 2019)</w:t>
            </w:r>
            <w:r w:rsidR="00DA2B53" w:rsidRPr="00DA2B53">
              <w:rPr>
                <w:sz w:val="18"/>
                <w:szCs w:val="18"/>
              </w:rPr>
              <w:fldChar w:fldCharType="end"/>
            </w:r>
            <w:r w:rsidR="00DA2B53" w:rsidRPr="00DA2B53">
              <w:rPr>
                <w:sz w:val="18"/>
                <w:szCs w:val="18"/>
              </w:rPr>
              <w:t xml:space="preserve">.  </w:t>
            </w:r>
          </w:p>
        </w:tc>
      </w:tr>
      <w:tr w:rsidR="003D7A86" w:rsidRPr="00AB491A" w14:paraId="6A8112B0" w14:textId="77777777" w:rsidTr="002D17A6">
        <w:tc>
          <w:tcPr>
            <w:tcW w:w="2263" w:type="dxa"/>
            <w:tcBorders>
              <w:top w:val="single" w:sz="4" w:space="0" w:color="auto"/>
              <w:bottom w:val="single" w:sz="4" w:space="0" w:color="auto"/>
              <w:right w:val="single" w:sz="4" w:space="0" w:color="auto"/>
            </w:tcBorders>
          </w:tcPr>
          <w:p w14:paraId="3A3337A4"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59EA7035" w14:textId="77777777" w:rsidR="003D7A86" w:rsidRDefault="003D7A86" w:rsidP="007F346F">
            <w:pPr>
              <w:rPr>
                <w:sz w:val="18"/>
                <w:szCs w:val="18"/>
              </w:rPr>
            </w:pPr>
            <w:r>
              <w:rPr>
                <w:sz w:val="18"/>
                <w:szCs w:val="18"/>
              </w:rPr>
              <w:t>Additional tax rate on consumption (GST)</w:t>
            </w:r>
          </w:p>
        </w:tc>
        <w:tc>
          <w:tcPr>
            <w:tcW w:w="2693" w:type="dxa"/>
            <w:tcBorders>
              <w:top w:val="single" w:sz="4" w:space="0" w:color="auto"/>
              <w:left w:val="single" w:sz="4" w:space="0" w:color="auto"/>
              <w:bottom w:val="single" w:sz="4" w:space="0" w:color="auto"/>
              <w:right w:val="single" w:sz="4" w:space="0" w:color="auto"/>
            </w:tcBorders>
          </w:tcPr>
          <w:p w14:paraId="11DF9519" w14:textId="77777777" w:rsidR="003D7A86" w:rsidRDefault="003D7A86" w:rsidP="007F346F">
            <w:pPr>
              <w:jc w:val="center"/>
              <w:rPr>
                <w:sz w:val="18"/>
                <w:szCs w:val="18"/>
              </w:rPr>
            </w:pPr>
            <w:r>
              <w:rPr>
                <w:sz w:val="18"/>
                <w:szCs w:val="18"/>
              </w:rPr>
              <w:t>No Change</w:t>
            </w:r>
          </w:p>
        </w:tc>
        <w:tc>
          <w:tcPr>
            <w:tcW w:w="2552" w:type="dxa"/>
            <w:tcBorders>
              <w:top w:val="single" w:sz="4" w:space="0" w:color="auto"/>
              <w:left w:val="single" w:sz="4" w:space="0" w:color="auto"/>
              <w:bottom w:val="single" w:sz="4" w:space="0" w:color="auto"/>
              <w:right w:val="single" w:sz="4" w:space="0" w:color="auto"/>
            </w:tcBorders>
          </w:tcPr>
          <w:p w14:paraId="7F20CA37" w14:textId="74205081" w:rsidR="00F32D57" w:rsidRDefault="00F32D57" w:rsidP="007F346F">
            <w:pPr>
              <w:jc w:val="center"/>
              <w:rPr>
                <w:sz w:val="18"/>
                <w:szCs w:val="18"/>
              </w:rPr>
            </w:pPr>
            <w:r>
              <w:rPr>
                <w:sz w:val="18"/>
                <w:szCs w:val="18"/>
              </w:rPr>
              <w:t>Increased</w:t>
            </w:r>
            <w:r w:rsidR="00C576D2">
              <w:rPr>
                <w:sz w:val="18"/>
                <w:szCs w:val="18"/>
              </w:rPr>
              <w:t xml:space="preserve"> tax rate</w:t>
            </w:r>
          </w:p>
          <w:p w14:paraId="49678C84" w14:textId="20E15258" w:rsidR="003D7A86" w:rsidRPr="004C0BB7" w:rsidRDefault="003D7A86" w:rsidP="007F346F">
            <w:pPr>
              <w:jc w:val="center"/>
              <w:rPr>
                <w:sz w:val="18"/>
                <w:szCs w:val="18"/>
              </w:rPr>
            </w:pPr>
            <w:r w:rsidRPr="004C0BB7">
              <w:rPr>
                <w:sz w:val="18"/>
                <w:szCs w:val="18"/>
              </w:rPr>
              <w:t>2020: 0</w:t>
            </w:r>
          </w:p>
          <w:p w14:paraId="248672C8" w14:textId="77777777" w:rsidR="003D7A86" w:rsidRPr="004C0BB7" w:rsidRDefault="003D7A86" w:rsidP="007F346F">
            <w:pPr>
              <w:jc w:val="center"/>
              <w:rPr>
                <w:sz w:val="18"/>
                <w:szCs w:val="18"/>
              </w:rPr>
            </w:pPr>
            <w:r w:rsidRPr="004C0BB7">
              <w:rPr>
                <w:sz w:val="18"/>
                <w:szCs w:val="18"/>
              </w:rPr>
              <w:t>2021: 0.77</w:t>
            </w:r>
          </w:p>
          <w:p w14:paraId="54EE196E" w14:textId="77777777" w:rsidR="003D7A86" w:rsidRPr="004C0BB7" w:rsidRDefault="003D7A86" w:rsidP="007F346F">
            <w:pPr>
              <w:jc w:val="center"/>
              <w:rPr>
                <w:sz w:val="18"/>
                <w:szCs w:val="18"/>
              </w:rPr>
            </w:pPr>
            <w:r w:rsidRPr="004C0BB7">
              <w:rPr>
                <w:sz w:val="18"/>
                <w:szCs w:val="18"/>
              </w:rPr>
              <w:t>2022: 0.77</w:t>
            </w:r>
          </w:p>
          <w:p w14:paraId="4D526255" w14:textId="77777777" w:rsidR="003D7A86" w:rsidRPr="004C0BB7" w:rsidRDefault="003D7A86" w:rsidP="007F346F">
            <w:pPr>
              <w:jc w:val="center"/>
              <w:rPr>
                <w:sz w:val="18"/>
                <w:szCs w:val="18"/>
              </w:rPr>
            </w:pPr>
            <w:r w:rsidRPr="004C0BB7">
              <w:rPr>
                <w:sz w:val="18"/>
                <w:szCs w:val="18"/>
              </w:rPr>
              <w:t>2023-2030: 0.77</w:t>
            </w:r>
          </w:p>
          <w:p w14:paraId="6C933AC2" w14:textId="77777777" w:rsidR="003D7A86" w:rsidRPr="004C0BB7" w:rsidRDefault="003D7A86" w:rsidP="007F346F">
            <w:pPr>
              <w:jc w:val="center"/>
              <w:rPr>
                <w:sz w:val="18"/>
                <w:szCs w:val="18"/>
              </w:rPr>
            </w:pPr>
            <w:r w:rsidRPr="004C0BB7">
              <w:rPr>
                <w:sz w:val="18"/>
                <w:szCs w:val="18"/>
              </w:rPr>
              <w:t>2050: 0.77</w:t>
            </w:r>
          </w:p>
        </w:tc>
        <w:tc>
          <w:tcPr>
            <w:tcW w:w="4110" w:type="dxa"/>
            <w:tcBorders>
              <w:top w:val="single" w:sz="4" w:space="0" w:color="auto"/>
              <w:left w:val="single" w:sz="4" w:space="0" w:color="auto"/>
              <w:bottom w:val="single" w:sz="4" w:space="0" w:color="auto"/>
            </w:tcBorders>
          </w:tcPr>
          <w:p w14:paraId="6742032F" w14:textId="6E4B2010" w:rsidR="003D7A86" w:rsidRDefault="00CC0368" w:rsidP="007F346F">
            <w:pPr>
              <w:rPr>
                <w:sz w:val="18"/>
                <w:szCs w:val="18"/>
              </w:rPr>
            </w:pPr>
            <w:r>
              <w:rPr>
                <w:sz w:val="18"/>
                <w:szCs w:val="18"/>
              </w:rPr>
              <w:t xml:space="preserve">For </w:t>
            </w:r>
            <w:r w:rsidR="00E909E9">
              <w:rPr>
                <w:sz w:val="18"/>
                <w:szCs w:val="18"/>
              </w:rPr>
              <w:t>SWT</w:t>
            </w:r>
            <w:r>
              <w:rPr>
                <w:sz w:val="18"/>
                <w:szCs w:val="18"/>
              </w:rPr>
              <w:t>, i</w:t>
            </w:r>
            <w:r w:rsidR="003D7A86">
              <w:rPr>
                <w:sz w:val="18"/>
                <w:szCs w:val="18"/>
              </w:rPr>
              <w:t xml:space="preserve">ncrease to 11.5% GST. Outcome of tax reform </w:t>
            </w:r>
            <w:r w:rsidR="006B083C">
              <w:rPr>
                <w:sz w:val="18"/>
                <w:szCs w:val="18"/>
              </w:rPr>
              <w:t>and</w:t>
            </w:r>
            <w:r w:rsidR="003D7A86">
              <w:rPr>
                <w:sz w:val="18"/>
                <w:szCs w:val="18"/>
              </w:rPr>
              <w:t xml:space="preserve"> Government Tax Summit. </w:t>
            </w:r>
            <w:r w:rsidR="006B083C">
              <w:rPr>
                <w:sz w:val="18"/>
                <w:szCs w:val="18"/>
              </w:rPr>
              <w:t>B</w:t>
            </w:r>
            <w:r w:rsidR="006B083C" w:rsidRPr="00DA2B53">
              <w:rPr>
                <w:sz w:val="18"/>
                <w:szCs w:val="18"/>
              </w:rPr>
              <w:t xml:space="preserve">ased on IMF data </w:t>
            </w:r>
            <w:r w:rsidR="006B083C">
              <w:rPr>
                <w:sz w:val="18"/>
                <w:szCs w:val="18"/>
              </w:rPr>
              <w:t xml:space="preserve"> </w:t>
            </w:r>
            <w:r w:rsidR="006B083C" w:rsidRPr="00DA2B53">
              <w:rPr>
                <w:sz w:val="18"/>
                <w:szCs w:val="18"/>
              </w:rPr>
              <w:fldChar w:fldCharType="begin"/>
            </w:r>
            <w:r w:rsidR="006B083C">
              <w:rPr>
                <w:sz w:val="18"/>
                <w:szCs w:val="18"/>
              </w:rPr>
              <w:instrText xml:space="preserve"> ADDIN EN.CITE &lt;EndNote&gt;&lt;Cite&gt;&lt;Author&gt;IMF&lt;/Author&gt;&lt;Year&gt;2019&lt;/Year&gt;&lt;RecNum&gt;1053&lt;/RecNum&gt;&lt;DisplayText&gt;(IMF, 2019)&lt;/DisplayText&gt;&lt;record&gt;&lt;rec-number&gt;1053&lt;/rec-number&gt;&lt;foreign-keys&gt;&lt;key app="EN" db-id="9vsrvaat7fadwtesfsrpw5w5t0x5v500ef25" timestamp="1565086952"&gt;1053&lt;/key&gt;&lt;/foreign-keys&gt;&lt;ref-type name="Dataset"&gt;59&lt;/ref-type&gt;&lt;contributors&gt;&lt;authors&gt;&lt;author&gt;IMF&lt;/author&gt;&lt;/authors&gt;&lt;secondary-authors&gt;&lt;author&gt;International Monetary Fund&lt;/author&gt;&lt;/secondary-authors&gt;&lt;/contributors&gt;&lt;titles&gt;&lt;title&gt;Government Finance Statistics&lt;/title&gt;&lt;/titles&gt;&lt;dates&gt;&lt;year&gt;2019&lt;/year&gt;&lt;/dates&gt;&lt;pub-location&gt;Washington, USA&lt;/pub-location&gt;&lt;urls&gt;&lt;related-urls&gt;&lt;url&gt;http://data.imf.org/?sk=a0867067-d23c-4ebc-ad23-d3b015045405&lt;/url&gt;&lt;/related-urls&gt;&lt;/urls&gt;&lt;access-date&gt;15/02/18&lt;/access-date&gt;&lt;/record&gt;&lt;/Cite&gt;&lt;/EndNote&gt;</w:instrText>
            </w:r>
            <w:r w:rsidR="006B083C" w:rsidRPr="00DA2B53">
              <w:rPr>
                <w:sz w:val="18"/>
                <w:szCs w:val="18"/>
              </w:rPr>
              <w:fldChar w:fldCharType="separate"/>
            </w:r>
            <w:r w:rsidR="006B083C">
              <w:rPr>
                <w:noProof/>
                <w:sz w:val="18"/>
                <w:szCs w:val="18"/>
              </w:rPr>
              <w:t>(IMF, 2019)</w:t>
            </w:r>
            <w:r w:rsidR="006B083C" w:rsidRPr="00DA2B53">
              <w:rPr>
                <w:sz w:val="18"/>
                <w:szCs w:val="18"/>
              </w:rPr>
              <w:fldChar w:fldCharType="end"/>
            </w:r>
            <w:r w:rsidR="006B083C" w:rsidRPr="00DA2B53">
              <w:rPr>
                <w:sz w:val="18"/>
                <w:szCs w:val="18"/>
              </w:rPr>
              <w:t xml:space="preserve">.  </w:t>
            </w:r>
          </w:p>
        </w:tc>
      </w:tr>
      <w:tr w:rsidR="003D7A86" w:rsidRPr="00AB491A" w14:paraId="622596FB" w14:textId="77777777" w:rsidTr="002D17A6">
        <w:tc>
          <w:tcPr>
            <w:tcW w:w="2263" w:type="dxa"/>
            <w:tcBorders>
              <w:top w:val="single" w:sz="4" w:space="0" w:color="auto"/>
              <w:bottom w:val="single" w:sz="4" w:space="0" w:color="auto"/>
              <w:right w:val="single" w:sz="4" w:space="0" w:color="auto"/>
            </w:tcBorders>
          </w:tcPr>
          <w:p w14:paraId="74B6EA5D"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2849D85D" w14:textId="5EAE6B42" w:rsidR="003D7A86" w:rsidRPr="00AB491A" w:rsidRDefault="003D7A86" w:rsidP="007F346F">
            <w:pPr>
              <w:rPr>
                <w:sz w:val="18"/>
                <w:szCs w:val="18"/>
              </w:rPr>
            </w:pPr>
            <w:r>
              <w:rPr>
                <w:sz w:val="18"/>
                <w:szCs w:val="18"/>
              </w:rPr>
              <w:t xml:space="preserve">Additional </w:t>
            </w:r>
            <w:r w:rsidR="006B083C">
              <w:rPr>
                <w:sz w:val="18"/>
                <w:szCs w:val="18"/>
              </w:rPr>
              <w:t>infrastructure (</w:t>
            </w:r>
            <w:r>
              <w:rPr>
                <w:sz w:val="18"/>
                <w:szCs w:val="18"/>
              </w:rPr>
              <w:t>paved road and railway</w:t>
            </w:r>
            <w:r w:rsidR="006B083C">
              <w:rPr>
                <w:sz w:val="18"/>
                <w:szCs w:val="18"/>
              </w:rPr>
              <w:t>)</w:t>
            </w:r>
            <w:r>
              <w:rPr>
                <w:sz w:val="18"/>
                <w:szCs w:val="18"/>
              </w:rPr>
              <w:t xml:space="preserve"> expenditure as % GDP</w:t>
            </w:r>
          </w:p>
        </w:tc>
        <w:tc>
          <w:tcPr>
            <w:tcW w:w="2693" w:type="dxa"/>
            <w:tcBorders>
              <w:top w:val="single" w:sz="4" w:space="0" w:color="auto"/>
              <w:left w:val="single" w:sz="4" w:space="0" w:color="auto"/>
              <w:bottom w:val="single" w:sz="4" w:space="0" w:color="auto"/>
              <w:right w:val="single" w:sz="4" w:space="0" w:color="auto"/>
            </w:tcBorders>
          </w:tcPr>
          <w:p w14:paraId="4469493E" w14:textId="3C7319F4" w:rsidR="00617F70" w:rsidRDefault="00617F70" w:rsidP="007F346F">
            <w:pPr>
              <w:jc w:val="center"/>
              <w:rPr>
                <w:sz w:val="18"/>
                <w:szCs w:val="18"/>
              </w:rPr>
            </w:pPr>
            <w:r>
              <w:rPr>
                <w:sz w:val="18"/>
                <w:szCs w:val="18"/>
              </w:rPr>
              <w:t>Continued investment to 2030 (mainly roads)</w:t>
            </w:r>
          </w:p>
          <w:p w14:paraId="33FE34E3" w14:textId="4DA169EB" w:rsidR="003D7A86" w:rsidRDefault="003D7A86" w:rsidP="007F346F">
            <w:pPr>
              <w:jc w:val="center"/>
              <w:rPr>
                <w:sz w:val="18"/>
                <w:szCs w:val="18"/>
              </w:rPr>
            </w:pPr>
            <w:r>
              <w:rPr>
                <w:sz w:val="18"/>
                <w:szCs w:val="18"/>
              </w:rPr>
              <w:t>2020: 0.145; 0.066</w:t>
            </w:r>
          </w:p>
          <w:p w14:paraId="3A3FBEC8" w14:textId="77777777" w:rsidR="003D7A86" w:rsidRDefault="003D7A86" w:rsidP="007F346F">
            <w:pPr>
              <w:jc w:val="center"/>
              <w:rPr>
                <w:sz w:val="18"/>
                <w:szCs w:val="18"/>
              </w:rPr>
            </w:pPr>
            <w:r>
              <w:rPr>
                <w:sz w:val="18"/>
                <w:szCs w:val="18"/>
              </w:rPr>
              <w:t>2021: 0.23; 0.1</w:t>
            </w:r>
          </w:p>
          <w:p w14:paraId="3A86E216" w14:textId="77777777" w:rsidR="003D7A86" w:rsidRDefault="003D7A86" w:rsidP="007F346F">
            <w:pPr>
              <w:jc w:val="center"/>
              <w:rPr>
                <w:sz w:val="18"/>
                <w:szCs w:val="18"/>
              </w:rPr>
            </w:pPr>
            <w:r>
              <w:rPr>
                <w:sz w:val="18"/>
                <w:szCs w:val="18"/>
              </w:rPr>
              <w:t>2022: 0.24; 0.11</w:t>
            </w:r>
          </w:p>
          <w:p w14:paraId="639C4141" w14:textId="77777777" w:rsidR="003D7A86" w:rsidRPr="00AB491A" w:rsidRDefault="003D7A86" w:rsidP="007F346F">
            <w:pPr>
              <w:jc w:val="center"/>
              <w:rPr>
                <w:sz w:val="18"/>
                <w:szCs w:val="18"/>
              </w:rPr>
            </w:pPr>
            <w:r>
              <w:rPr>
                <w:sz w:val="18"/>
                <w:szCs w:val="18"/>
              </w:rPr>
              <w:t>2023-2030: 0.23; 0.1</w:t>
            </w:r>
          </w:p>
        </w:tc>
        <w:tc>
          <w:tcPr>
            <w:tcW w:w="2552" w:type="dxa"/>
            <w:tcBorders>
              <w:top w:val="single" w:sz="4" w:space="0" w:color="auto"/>
              <w:left w:val="single" w:sz="4" w:space="0" w:color="auto"/>
              <w:bottom w:val="single" w:sz="4" w:space="0" w:color="auto"/>
              <w:right w:val="single" w:sz="4" w:space="0" w:color="auto"/>
            </w:tcBorders>
          </w:tcPr>
          <w:p w14:paraId="6674BC71" w14:textId="7FD8CBB2" w:rsidR="00617F70" w:rsidRDefault="00617F70" w:rsidP="007F346F">
            <w:pPr>
              <w:jc w:val="center"/>
              <w:rPr>
                <w:sz w:val="18"/>
                <w:szCs w:val="18"/>
              </w:rPr>
            </w:pPr>
            <w:r>
              <w:rPr>
                <w:sz w:val="18"/>
                <w:szCs w:val="18"/>
              </w:rPr>
              <w:t>Increased investment to 2030</w:t>
            </w:r>
          </w:p>
          <w:p w14:paraId="7C803D97" w14:textId="26B770F2" w:rsidR="003D7A86" w:rsidRPr="004C0BB7" w:rsidRDefault="003D7A86" w:rsidP="007F346F">
            <w:pPr>
              <w:jc w:val="center"/>
              <w:rPr>
                <w:sz w:val="18"/>
                <w:szCs w:val="18"/>
              </w:rPr>
            </w:pPr>
            <w:r w:rsidRPr="004C0BB7">
              <w:rPr>
                <w:sz w:val="18"/>
                <w:szCs w:val="18"/>
              </w:rPr>
              <w:t>2020: 0.145; 0.066</w:t>
            </w:r>
          </w:p>
          <w:p w14:paraId="5EC7C808" w14:textId="77777777" w:rsidR="003D7A86" w:rsidRPr="004C0BB7" w:rsidRDefault="003D7A86" w:rsidP="007F346F">
            <w:pPr>
              <w:jc w:val="center"/>
              <w:rPr>
                <w:sz w:val="18"/>
                <w:szCs w:val="18"/>
              </w:rPr>
            </w:pPr>
            <w:r w:rsidRPr="004C0BB7">
              <w:rPr>
                <w:sz w:val="18"/>
                <w:szCs w:val="18"/>
              </w:rPr>
              <w:t>2021: 0.2; 0.4</w:t>
            </w:r>
          </w:p>
          <w:p w14:paraId="3151D69D" w14:textId="77777777" w:rsidR="003D7A86" w:rsidRPr="004C0BB7" w:rsidRDefault="003D7A86" w:rsidP="007F346F">
            <w:pPr>
              <w:jc w:val="center"/>
              <w:rPr>
                <w:sz w:val="18"/>
                <w:szCs w:val="18"/>
              </w:rPr>
            </w:pPr>
            <w:r w:rsidRPr="004C0BB7">
              <w:rPr>
                <w:sz w:val="18"/>
                <w:szCs w:val="18"/>
              </w:rPr>
              <w:t>2022: 0.2; 0.4</w:t>
            </w:r>
          </w:p>
          <w:p w14:paraId="2BA31A9B" w14:textId="77777777" w:rsidR="003D7A86" w:rsidRPr="004C0BB7" w:rsidRDefault="003D7A86" w:rsidP="007F346F">
            <w:pPr>
              <w:jc w:val="center"/>
              <w:rPr>
                <w:sz w:val="18"/>
                <w:szCs w:val="18"/>
              </w:rPr>
            </w:pPr>
            <w:r w:rsidRPr="004C0BB7">
              <w:rPr>
                <w:sz w:val="18"/>
                <w:szCs w:val="18"/>
              </w:rPr>
              <w:t>2023-2030: 0.2; 0.4</w:t>
            </w:r>
          </w:p>
        </w:tc>
        <w:tc>
          <w:tcPr>
            <w:tcW w:w="4110" w:type="dxa"/>
            <w:tcBorders>
              <w:top w:val="single" w:sz="4" w:space="0" w:color="auto"/>
              <w:left w:val="single" w:sz="4" w:space="0" w:color="auto"/>
              <w:bottom w:val="single" w:sz="4" w:space="0" w:color="auto"/>
            </w:tcBorders>
          </w:tcPr>
          <w:p w14:paraId="071AA2CE" w14:textId="77777777" w:rsidR="00D73F00" w:rsidRDefault="003D7A86" w:rsidP="007F346F">
            <w:pPr>
              <w:rPr>
                <w:sz w:val="18"/>
                <w:szCs w:val="18"/>
              </w:rPr>
            </w:pPr>
            <w:r>
              <w:rPr>
                <w:sz w:val="18"/>
                <w:szCs w:val="18"/>
              </w:rPr>
              <w:t>Australian Government Building Our Future – additional infrastructure investment.</w:t>
            </w:r>
          </w:p>
          <w:p w14:paraId="2B40706C" w14:textId="26D32B4F" w:rsidR="003D7A86" w:rsidRPr="00AB491A" w:rsidRDefault="00D73F00" w:rsidP="007F346F">
            <w:pPr>
              <w:rPr>
                <w:sz w:val="18"/>
                <w:szCs w:val="18"/>
              </w:rPr>
            </w:pPr>
            <w:r w:rsidRPr="00D73F00">
              <w:rPr>
                <w:sz w:val="18"/>
                <w:szCs w:val="18"/>
              </w:rPr>
              <w:t xml:space="preserve">ABS Government Finance Statistics </w:t>
            </w:r>
            <w:r w:rsidRPr="00D73F00">
              <w:rPr>
                <w:sz w:val="18"/>
                <w:szCs w:val="18"/>
              </w:rPr>
              <w:fldChar w:fldCharType="begin"/>
            </w:r>
            <w:r>
              <w:rPr>
                <w:sz w:val="18"/>
                <w:szCs w:val="18"/>
              </w:rPr>
              <w:instrText xml:space="preserve"> ADDIN EN.CITE &lt;EndNote&gt;&lt;Cite&gt;&lt;Author&gt;ABS&lt;/Author&gt;&lt;Year&gt;2021&lt;/Year&gt;&lt;RecNum&gt;1042&lt;/RecNum&gt;&lt;DisplayText&gt;(ABS, 2021b)&lt;/DisplayText&gt;&lt;record&gt;&lt;rec-number&gt;1042&lt;/rec-number&gt;&lt;foreign-keys&gt;&lt;key app="EN" db-id="9vsrvaat7fadwtesfsrpw5w5t0x5v500ef25" timestamp="1565083323"&gt;1042&lt;/key&gt;&lt;/foreign-keys&gt;&lt;ref-type name="Dataset"&gt;59&lt;/ref-type&gt;&lt;contributors&gt;&lt;authors&gt;&lt;author&gt;ABS,&lt;/author&gt;&lt;/authors&gt;&lt;/contributors&gt;&lt;titles&gt;&lt;title&gt;5512.0 - Government Finance Statistics, Australia&lt;/title&gt;&lt;/titles&gt;&lt;dates&gt;&lt;year&gt;2021&lt;/year&gt;&lt;/dates&gt;&lt;pub-location&gt;Canberra, Australia&lt;/pub-location&gt;&lt;publisher&gt;Australian Bureau of Statistics&lt;/publisher&gt;&lt;urls&gt;&lt;related-urls&gt;&lt;url&gt;https://www.abs.gov.au/AUSSTATS/abs@.nsf/mf/5512.0&lt;/url&gt;&lt;/related-urls&gt;&lt;/urls&gt;&lt;access-date&gt;11/12/17&lt;/access-date&gt;&lt;/record&gt;&lt;/Cite&gt;&lt;/EndNote&gt;</w:instrText>
            </w:r>
            <w:r w:rsidRPr="00D73F00">
              <w:rPr>
                <w:sz w:val="18"/>
                <w:szCs w:val="18"/>
              </w:rPr>
              <w:fldChar w:fldCharType="separate"/>
            </w:r>
            <w:r>
              <w:rPr>
                <w:noProof/>
                <w:sz w:val="18"/>
                <w:szCs w:val="18"/>
              </w:rPr>
              <w:t>(ABS, 2021b)</w:t>
            </w:r>
            <w:r w:rsidRPr="00D73F00">
              <w:rPr>
                <w:sz w:val="18"/>
                <w:szCs w:val="18"/>
              </w:rPr>
              <w:fldChar w:fldCharType="end"/>
            </w:r>
            <w:r w:rsidRPr="00D73F00">
              <w:rPr>
                <w:sz w:val="18"/>
                <w:szCs w:val="18"/>
              </w:rPr>
              <w:t xml:space="preserve"> and road/rail expenditure statistics </w:t>
            </w:r>
            <w:r w:rsidRPr="00D73F00">
              <w:rPr>
                <w:sz w:val="18"/>
                <w:szCs w:val="18"/>
              </w:rPr>
              <w:fldChar w:fldCharType="begin"/>
            </w:r>
            <w:r w:rsidRPr="00D73F00">
              <w:rPr>
                <w:sz w:val="18"/>
                <w:szCs w:val="18"/>
              </w:rPr>
              <w:instrText xml:space="preserve"> ADDIN EN.CITE &lt;EndNote&gt;&lt;Cite&gt;&lt;Author&gt;BITRE&lt;/Author&gt;&lt;Year&gt;2016&lt;/Year&gt;&lt;RecNum&gt;1072&lt;/RecNum&gt;&lt;DisplayText&gt;(BITRE, 2016)&lt;/DisplayText&gt;&lt;record&gt;&lt;rec-number&gt;1072&lt;/rec-number&gt;&lt;foreign-keys&gt;&lt;key app="EN" db-id="9vsrvaat7fadwtesfsrpw5w5t0x5v500ef25" timestamp="1565223054"&gt;1072&lt;/key&gt;&lt;/foreign-keys&gt;&lt;ref-type name="Dataset"&gt;59&lt;/ref-type&gt;&lt;contributors&gt;&lt;authors&gt;&lt;author&gt;BITRE,&lt;/author&gt;&lt;/authors&gt;&lt;/contributors&gt;&lt;titles&gt;&lt;title&gt;Australian Infrastructure Statistics Yearbook 2016&lt;/title&gt;&lt;/titles&gt;&lt;dates&gt;&lt;year&gt;2016&lt;/year&gt;&lt;/dates&gt;&lt;pub-location&gt;Canberra, Australia&lt;/pub-location&gt;&lt;publisher&gt;Australian Government Bureau of Infrastructure, Transport and Regional Economies&lt;/publisher&gt;&lt;urls&gt;&lt;related-urls&gt;&lt;url&gt;https://www.bitre.gov.au/publications/2016/yearbook_2016.aspx&lt;/url&gt;&lt;/related-urls&gt;&lt;/urls&gt;&lt;custom4&gt;Part T: Transport&lt;/custom4&gt;&lt;access-date&gt;23/02/18&lt;/access-date&gt;&lt;/record&gt;&lt;/Cite&gt;&lt;/EndNote&gt;</w:instrText>
            </w:r>
            <w:r w:rsidRPr="00D73F00">
              <w:rPr>
                <w:sz w:val="18"/>
                <w:szCs w:val="18"/>
              </w:rPr>
              <w:fldChar w:fldCharType="separate"/>
            </w:r>
            <w:r w:rsidRPr="00D73F00">
              <w:rPr>
                <w:sz w:val="18"/>
                <w:szCs w:val="18"/>
              </w:rPr>
              <w:t>(BITRE, 2016)</w:t>
            </w:r>
            <w:r w:rsidRPr="00D73F00">
              <w:rPr>
                <w:sz w:val="18"/>
                <w:szCs w:val="18"/>
              </w:rPr>
              <w:fldChar w:fldCharType="end"/>
            </w:r>
            <w:r w:rsidRPr="00D73F00">
              <w:rPr>
                <w:sz w:val="18"/>
                <w:szCs w:val="18"/>
              </w:rPr>
              <w:t xml:space="preserve"> general government expenditure on transportation infrastructure. Parameterised based on historic data and high estimates for road or rail </w:t>
            </w:r>
            <w:r>
              <w:rPr>
                <w:sz w:val="18"/>
                <w:szCs w:val="18"/>
              </w:rPr>
              <w:t xml:space="preserve">for </w:t>
            </w:r>
            <w:r w:rsidR="00E909E9">
              <w:rPr>
                <w:sz w:val="18"/>
                <w:szCs w:val="18"/>
              </w:rPr>
              <w:t>SWT</w:t>
            </w:r>
            <w:r>
              <w:rPr>
                <w:sz w:val="18"/>
                <w:szCs w:val="18"/>
              </w:rPr>
              <w:t xml:space="preserve">. </w:t>
            </w:r>
          </w:p>
        </w:tc>
      </w:tr>
      <w:tr w:rsidR="003D7A86" w:rsidRPr="00AB491A" w14:paraId="36C8E0F4" w14:textId="77777777" w:rsidTr="002D17A6">
        <w:tc>
          <w:tcPr>
            <w:tcW w:w="2263" w:type="dxa"/>
            <w:tcBorders>
              <w:top w:val="single" w:sz="4" w:space="0" w:color="auto"/>
              <w:bottom w:val="single" w:sz="4" w:space="0" w:color="auto"/>
              <w:right w:val="single" w:sz="4" w:space="0" w:color="auto"/>
            </w:tcBorders>
          </w:tcPr>
          <w:p w14:paraId="571DFA6B"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341CAF8B" w14:textId="77777777" w:rsidR="003D7A86" w:rsidRPr="00AB491A" w:rsidRDefault="003D7A86" w:rsidP="007F346F">
            <w:pPr>
              <w:rPr>
                <w:sz w:val="18"/>
                <w:szCs w:val="18"/>
              </w:rPr>
            </w:pPr>
            <w:r>
              <w:rPr>
                <w:sz w:val="18"/>
                <w:szCs w:val="18"/>
              </w:rPr>
              <w:t>Investment in green manufacturing transition ($)</w:t>
            </w:r>
          </w:p>
        </w:tc>
        <w:tc>
          <w:tcPr>
            <w:tcW w:w="2693" w:type="dxa"/>
            <w:tcBorders>
              <w:top w:val="single" w:sz="4" w:space="0" w:color="auto"/>
              <w:left w:val="single" w:sz="4" w:space="0" w:color="auto"/>
              <w:bottom w:val="single" w:sz="4" w:space="0" w:color="auto"/>
              <w:right w:val="single" w:sz="4" w:space="0" w:color="auto"/>
            </w:tcBorders>
          </w:tcPr>
          <w:p w14:paraId="4B8724B6" w14:textId="77777777" w:rsidR="003D7A86" w:rsidRPr="00AB491A" w:rsidRDefault="003D7A86" w:rsidP="007F346F">
            <w:pPr>
              <w:jc w:val="center"/>
              <w:rPr>
                <w:sz w:val="18"/>
                <w:szCs w:val="18"/>
              </w:rPr>
            </w:pPr>
            <w:r>
              <w:rPr>
                <w:sz w:val="18"/>
                <w:szCs w:val="18"/>
              </w:rPr>
              <w:t>None</w:t>
            </w:r>
          </w:p>
        </w:tc>
        <w:tc>
          <w:tcPr>
            <w:tcW w:w="2552" w:type="dxa"/>
            <w:tcBorders>
              <w:top w:val="single" w:sz="4" w:space="0" w:color="auto"/>
              <w:left w:val="single" w:sz="4" w:space="0" w:color="auto"/>
              <w:bottom w:val="single" w:sz="4" w:space="0" w:color="auto"/>
              <w:right w:val="single" w:sz="4" w:space="0" w:color="auto"/>
            </w:tcBorders>
          </w:tcPr>
          <w:p w14:paraId="1A984352" w14:textId="72ADF001" w:rsidR="003D7A86" w:rsidRPr="00AB491A" w:rsidRDefault="00864A80" w:rsidP="007F346F">
            <w:pPr>
              <w:jc w:val="center"/>
              <w:rPr>
                <w:sz w:val="18"/>
                <w:szCs w:val="18"/>
              </w:rPr>
            </w:pPr>
            <w:r>
              <w:rPr>
                <w:sz w:val="18"/>
                <w:szCs w:val="18"/>
              </w:rPr>
              <w:t xml:space="preserve">Additional </w:t>
            </w:r>
            <w:r w:rsidR="00C470A5">
              <w:rPr>
                <w:sz w:val="18"/>
                <w:szCs w:val="18"/>
              </w:rPr>
              <w:t xml:space="preserve">investment of </w:t>
            </w:r>
            <w:r w:rsidR="003D7A86">
              <w:rPr>
                <w:sz w:val="18"/>
                <w:szCs w:val="18"/>
              </w:rPr>
              <w:t>$20 billion</w:t>
            </w:r>
            <w:r>
              <w:rPr>
                <w:sz w:val="18"/>
                <w:szCs w:val="18"/>
              </w:rPr>
              <w:t xml:space="preserve"> to 2030</w:t>
            </w:r>
          </w:p>
        </w:tc>
        <w:tc>
          <w:tcPr>
            <w:tcW w:w="4110" w:type="dxa"/>
            <w:tcBorders>
              <w:top w:val="single" w:sz="4" w:space="0" w:color="auto"/>
              <w:left w:val="single" w:sz="4" w:space="0" w:color="auto"/>
              <w:bottom w:val="single" w:sz="4" w:space="0" w:color="auto"/>
            </w:tcBorders>
          </w:tcPr>
          <w:p w14:paraId="70DF04D2" w14:textId="1039072F" w:rsidR="003D7A86" w:rsidRPr="00AB491A" w:rsidRDefault="00E909E9" w:rsidP="00A7750A">
            <w:pPr>
              <w:rPr>
                <w:sz w:val="18"/>
                <w:szCs w:val="18"/>
              </w:rPr>
            </w:pPr>
            <w:r>
              <w:rPr>
                <w:sz w:val="18"/>
                <w:szCs w:val="18"/>
              </w:rPr>
              <w:t>SWT</w:t>
            </w:r>
            <w:r w:rsidR="00356456">
              <w:rPr>
                <w:sz w:val="18"/>
                <w:szCs w:val="18"/>
              </w:rPr>
              <w:t xml:space="preserve"> assumption b</w:t>
            </w:r>
            <w:r w:rsidR="003D7A86" w:rsidRPr="004A318E">
              <w:rPr>
                <w:sz w:val="18"/>
                <w:szCs w:val="18"/>
              </w:rPr>
              <w:t>ased on Beyond Zero Emissions report $20 billion facility to undertake large scale investment in grid infrastructure for green industry</w:t>
            </w:r>
            <w:r w:rsidR="00356456">
              <w:rPr>
                <w:sz w:val="18"/>
                <w:szCs w:val="18"/>
              </w:rPr>
              <w:t xml:space="preserve"> </w:t>
            </w:r>
            <w:r w:rsidR="00356456">
              <w:rPr>
                <w:sz w:val="18"/>
                <w:szCs w:val="18"/>
              </w:rPr>
              <w:fldChar w:fldCharType="begin"/>
            </w:r>
            <w:r w:rsidR="00356456">
              <w:rPr>
                <w:sz w:val="18"/>
                <w:szCs w:val="18"/>
              </w:rPr>
              <w:instrText xml:space="preserve"> ADDIN EN.CITE &lt;EndNote&gt;&lt;Cite&gt;&lt;Author&gt;BZE&lt;/Author&gt;&lt;Year&gt;2021&lt;/Year&gt;&lt;RecNum&gt;2675&lt;/RecNum&gt;&lt;DisplayText&gt;(BZE, 2021)&lt;/DisplayText&gt;&lt;record&gt;&lt;rec-number&gt;2675&lt;/rec-number&gt;&lt;foreign-keys&gt;&lt;key app="EN" db-id="9vsrvaat7fadwtesfsrpw5w5t0x5v500ef25" timestamp="1662419443"&gt;2675&lt;/key&gt;&lt;/foreign-keys&gt;&lt;ref-type name="Generic"&gt;13&lt;/ref-type&gt;&lt;contributors&gt;&lt;authors&gt;&lt;author&gt;BZE,&lt;/author&gt;&lt;/authors&gt;&lt;/contributors&gt;&lt;titles&gt;&lt;title&gt;Export Powerhouse: Australia&amp;apos;s $333 billion opportunity&lt;/title&gt;&lt;/titles&gt;&lt;dates&gt;&lt;year&gt;2021&lt;/year&gt;&lt;/dates&gt;&lt;pub-location&gt;Melbourne&lt;/pub-location&gt;&lt;publisher&gt;Beyond Zero Emissions&lt;/publisher&gt;&lt;urls&gt;&lt;/urls&gt;&lt;/record&gt;&lt;/Cite&gt;&lt;/EndNote&gt;</w:instrText>
            </w:r>
            <w:r w:rsidR="00356456">
              <w:rPr>
                <w:sz w:val="18"/>
                <w:szCs w:val="18"/>
              </w:rPr>
              <w:fldChar w:fldCharType="separate"/>
            </w:r>
            <w:r w:rsidR="00356456">
              <w:rPr>
                <w:noProof/>
                <w:sz w:val="18"/>
                <w:szCs w:val="18"/>
              </w:rPr>
              <w:t>(BZE, 2021)</w:t>
            </w:r>
            <w:r w:rsidR="00356456">
              <w:rPr>
                <w:sz w:val="18"/>
                <w:szCs w:val="18"/>
              </w:rPr>
              <w:fldChar w:fldCharType="end"/>
            </w:r>
            <w:r w:rsidR="003D7A86" w:rsidRPr="004A318E">
              <w:rPr>
                <w:sz w:val="18"/>
                <w:szCs w:val="18"/>
              </w:rPr>
              <w:t>.</w:t>
            </w:r>
            <w:r w:rsidR="00356456">
              <w:rPr>
                <w:sz w:val="18"/>
                <w:szCs w:val="18"/>
              </w:rPr>
              <w:t xml:space="preserve"> </w:t>
            </w:r>
            <w:r w:rsidR="003D7A86" w:rsidRPr="004A318E">
              <w:rPr>
                <w:sz w:val="18"/>
                <w:szCs w:val="18"/>
              </w:rPr>
              <w:t>Sectors: gre</w:t>
            </w:r>
            <w:r w:rsidR="003D7A86">
              <w:rPr>
                <w:sz w:val="18"/>
                <w:szCs w:val="18"/>
              </w:rPr>
              <w:t>e</w:t>
            </w:r>
            <w:r w:rsidR="003D7A86" w:rsidRPr="004A318E">
              <w:rPr>
                <w:sz w:val="18"/>
                <w:szCs w:val="18"/>
              </w:rPr>
              <w:t>n aluminium, green steel, green hydrogen</w:t>
            </w:r>
            <w:r w:rsidR="003F60B8">
              <w:rPr>
                <w:sz w:val="18"/>
                <w:szCs w:val="18"/>
              </w:rPr>
              <w:t>. Studies estimate</w:t>
            </w:r>
            <w:r w:rsidR="009502D4">
              <w:rPr>
                <w:sz w:val="18"/>
                <w:szCs w:val="18"/>
              </w:rPr>
              <w:t xml:space="preserve"> </w:t>
            </w:r>
            <w:r w:rsidR="003D6FB9">
              <w:rPr>
                <w:sz w:val="18"/>
                <w:szCs w:val="18"/>
              </w:rPr>
              <w:t>green</w:t>
            </w:r>
            <w:r w:rsidR="009502D4">
              <w:rPr>
                <w:sz w:val="18"/>
                <w:szCs w:val="18"/>
              </w:rPr>
              <w:t xml:space="preserve"> manufacturing production at</w:t>
            </w:r>
            <w:r w:rsidR="003D6FB9">
              <w:rPr>
                <w:sz w:val="18"/>
                <w:szCs w:val="18"/>
              </w:rPr>
              <w:t xml:space="preserve"> an additional</w:t>
            </w:r>
            <w:r w:rsidR="009502D4">
              <w:rPr>
                <w:sz w:val="18"/>
                <w:szCs w:val="18"/>
              </w:rPr>
              <w:t xml:space="preserve"> $180 bn per annum</w:t>
            </w:r>
            <w:r w:rsidR="002D01B0">
              <w:rPr>
                <w:sz w:val="18"/>
                <w:szCs w:val="18"/>
              </w:rPr>
              <w:t xml:space="preserve"> </w:t>
            </w:r>
            <w:r w:rsidR="002D01B0">
              <w:rPr>
                <w:sz w:val="18"/>
                <w:szCs w:val="18"/>
              </w:rPr>
              <w:fldChar w:fldCharType="begin"/>
            </w:r>
            <w:r w:rsidR="002D01B0">
              <w:rPr>
                <w:sz w:val="18"/>
                <w:szCs w:val="18"/>
              </w:rPr>
              <w:instrText xml:space="preserve"> ADDIN EN.CITE &lt;EndNote&gt;&lt;Cite&gt;&lt;Author&gt;Nahum&lt;/Author&gt;&lt;Year&gt;2020&lt;/Year&gt;&lt;RecNum&gt;2722&lt;/RecNum&gt;&lt;DisplayText&gt;(Nahum, 2020)&lt;/DisplayText&gt;&lt;record&gt;&lt;rec-number&gt;2722&lt;/rec-number&gt;&lt;foreign-keys&gt;&lt;key app="EN" db-id="9vsrvaat7fadwtesfsrpw5w5t0x5v500ef25" timestamp="1664428323"&gt;2722&lt;/key&gt;&lt;/foreign-keys&gt;&lt;ref-type name="Generic"&gt;13&lt;/ref-type&gt;&lt;contributors&gt;&lt;authors&gt;&lt;author&gt;Nahum, D&lt;/author&gt;&lt;/authors&gt;&lt;/contributors&gt;&lt;titles&gt;&lt;title&gt;Powering Onwards: Australia&amp;apos;s Opportunity to Reinvigorate Manufacturing through Renewable Energy&lt;/title&gt;&lt;/titles&gt;&lt;dates&gt;&lt;year&gt;2020&lt;/year&gt;&lt;/dates&gt;&lt;pub-location&gt;Canberra&lt;/pub-location&gt;&lt;publisher&gt;The Centre for Future Work&lt;/publisher&gt;&lt;urls&gt;&lt;/urls&gt;&lt;/record&gt;&lt;/Cite&gt;&lt;/EndNote&gt;</w:instrText>
            </w:r>
            <w:r w:rsidR="002D01B0">
              <w:rPr>
                <w:sz w:val="18"/>
                <w:szCs w:val="18"/>
              </w:rPr>
              <w:fldChar w:fldCharType="separate"/>
            </w:r>
            <w:r w:rsidR="002D01B0">
              <w:rPr>
                <w:noProof/>
                <w:sz w:val="18"/>
                <w:szCs w:val="18"/>
              </w:rPr>
              <w:t>(Nahum, 2020)</w:t>
            </w:r>
            <w:r w:rsidR="002D01B0">
              <w:rPr>
                <w:sz w:val="18"/>
                <w:szCs w:val="18"/>
              </w:rPr>
              <w:fldChar w:fldCharType="end"/>
            </w:r>
            <w:r w:rsidR="003D6FB9">
              <w:rPr>
                <w:sz w:val="18"/>
                <w:szCs w:val="18"/>
              </w:rPr>
              <w:t xml:space="preserve">. </w:t>
            </w:r>
          </w:p>
        </w:tc>
      </w:tr>
      <w:tr w:rsidR="003D7A86" w:rsidRPr="00AB491A" w14:paraId="1A0D2FBE" w14:textId="77777777" w:rsidTr="002D17A6">
        <w:tc>
          <w:tcPr>
            <w:tcW w:w="2263" w:type="dxa"/>
            <w:tcBorders>
              <w:top w:val="single" w:sz="4" w:space="0" w:color="auto"/>
              <w:bottom w:val="single" w:sz="4" w:space="0" w:color="auto"/>
              <w:right w:val="single" w:sz="4" w:space="0" w:color="auto"/>
            </w:tcBorders>
          </w:tcPr>
          <w:p w14:paraId="536AC36F"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41D86E83" w14:textId="77777777" w:rsidR="003D7A86" w:rsidRPr="00AB491A" w:rsidRDefault="003D7A86" w:rsidP="007F346F">
            <w:pPr>
              <w:rPr>
                <w:sz w:val="18"/>
                <w:szCs w:val="18"/>
              </w:rPr>
            </w:pPr>
            <w:r>
              <w:rPr>
                <w:sz w:val="18"/>
                <w:szCs w:val="18"/>
              </w:rPr>
              <w:t>Final target material consumption efficiency improvement in 2030 and 2050 (%)</w:t>
            </w:r>
          </w:p>
        </w:tc>
        <w:tc>
          <w:tcPr>
            <w:tcW w:w="2693" w:type="dxa"/>
            <w:tcBorders>
              <w:top w:val="single" w:sz="4" w:space="0" w:color="auto"/>
              <w:left w:val="single" w:sz="4" w:space="0" w:color="auto"/>
              <w:bottom w:val="single" w:sz="4" w:space="0" w:color="auto"/>
              <w:right w:val="single" w:sz="4" w:space="0" w:color="auto"/>
            </w:tcBorders>
          </w:tcPr>
          <w:p w14:paraId="271474BA" w14:textId="77777777" w:rsidR="003D7A86" w:rsidRPr="00AB491A" w:rsidRDefault="003D7A86" w:rsidP="007F346F">
            <w:pPr>
              <w:jc w:val="center"/>
              <w:rPr>
                <w:sz w:val="18"/>
                <w:szCs w:val="18"/>
              </w:rPr>
            </w:pPr>
            <w:r>
              <w:rPr>
                <w:sz w:val="18"/>
                <w:szCs w:val="18"/>
              </w:rPr>
              <w:t>None</w:t>
            </w:r>
          </w:p>
        </w:tc>
        <w:tc>
          <w:tcPr>
            <w:tcW w:w="2552" w:type="dxa"/>
            <w:tcBorders>
              <w:top w:val="single" w:sz="4" w:space="0" w:color="auto"/>
              <w:left w:val="single" w:sz="4" w:space="0" w:color="auto"/>
              <w:bottom w:val="single" w:sz="4" w:space="0" w:color="auto"/>
              <w:right w:val="single" w:sz="4" w:space="0" w:color="auto"/>
            </w:tcBorders>
          </w:tcPr>
          <w:p w14:paraId="2F72B693" w14:textId="72487BD6" w:rsidR="00663035" w:rsidRDefault="00663035" w:rsidP="007F346F">
            <w:pPr>
              <w:jc w:val="center"/>
              <w:rPr>
                <w:sz w:val="18"/>
                <w:szCs w:val="18"/>
              </w:rPr>
            </w:pPr>
            <w:r>
              <w:rPr>
                <w:sz w:val="18"/>
                <w:szCs w:val="18"/>
              </w:rPr>
              <w:t>Increased target</w:t>
            </w:r>
            <w:r w:rsidR="00580D14">
              <w:rPr>
                <w:sz w:val="18"/>
                <w:szCs w:val="18"/>
              </w:rPr>
              <w:t>s</w:t>
            </w:r>
          </w:p>
          <w:p w14:paraId="56CED4F1" w14:textId="083A1288" w:rsidR="003D7A86" w:rsidRDefault="003D7A86" w:rsidP="007F346F">
            <w:pPr>
              <w:jc w:val="center"/>
              <w:rPr>
                <w:sz w:val="18"/>
                <w:szCs w:val="18"/>
              </w:rPr>
            </w:pPr>
            <w:r>
              <w:rPr>
                <w:sz w:val="18"/>
                <w:szCs w:val="18"/>
              </w:rPr>
              <w:t>2030: 0.12</w:t>
            </w:r>
            <w:r w:rsidR="00F84F5B">
              <w:rPr>
                <w:sz w:val="18"/>
                <w:szCs w:val="18"/>
              </w:rPr>
              <w:t xml:space="preserve"> (12%)</w:t>
            </w:r>
          </w:p>
          <w:p w14:paraId="57CC056E" w14:textId="0A6FC609" w:rsidR="003D7A86" w:rsidRPr="00AB491A" w:rsidRDefault="003D7A86" w:rsidP="007F346F">
            <w:pPr>
              <w:jc w:val="center"/>
              <w:rPr>
                <w:sz w:val="18"/>
                <w:szCs w:val="18"/>
              </w:rPr>
            </w:pPr>
            <w:r>
              <w:rPr>
                <w:sz w:val="18"/>
                <w:szCs w:val="18"/>
              </w:rPr>
              <w:t xml:space="preserve">2050: 0.22 </w:t>
            </w:r>
            <w:r w:rsidR="00F84F5B">
              <w:rPr>
                <w:sz w:val="18"/>
                <w:szCs w:val="18"/>
              </w:rPr>
              <w:t>(22%)</w:t>
            </w:r>
          </w:p>
        </w:tc>
        <w:tc>
          <w:tcPr>
            <w:tcW w:w="4110" w:type="dxa"/>
            <w:tcBorders>
              <w:top w:val="single" w:sz="4" w:space="0" w:color="auto"/>
              <w:left w:val="single" w:sz="4" w:space="0" w:color="auto"/>
              <w:bottom w:val="single" w:sz="4" w:space="0" w:color="auto"/>
            </w:tcBorders>
          </w:tcPr>
          <w:p w14:paraId="48F92BAC" w14:textId="724AB72C" w:rsidR="009C1924" w:rsidRPr="00AB491A" w:rsidRDefault="00E909E9" w:rsidP="009C1924">
            <w:pPr>
              <w:rPr>
                <w:sz w:val="18"/>
                <w:szCs w:val="18"/>
              </w:rPr>
            </w:pPr>
            <w:r>
              <w:rPr>
                <w:sz w:val="18"/>
                <w:szCs w:val="18"/>
              </w:rPr>
              <w:t>SWT</w:t>
            </w:r>
            <w:r w:rsidR="008470E9">
              <w:rPr>
                <w:sz w:val="18"/>
                <w:szCs w:val="18"/>
              </w:rPr>
              <w:t xml:space="preserve"> assumes i</w:t>
            </w:r>
            <w:r w:rsidR="003D7A86" w:rsidRPr="00AA0253">
              <w:rPr>
                <w:sz w:val="18"/>
                <w:szCs w:val="18"/>
              </w:rPr>
              <w:t xml:space="preserve">mprovement in material efficiency through R&amp;D in </w:t>
            </w:r>
            <w:r w:rsidR="009C1924">
              <w:rPr>
                <w:sz w:val="18"/>
                <w:szCs w:val="18"/>
              </w:rPr>
              <w:t xml:space="preserve">industry regulation. </w:t>
            </w:r>
            <w:r w:rsidR="009C1924" w:rsidRPr="009C1924">
              <w:rPr>
                <w:sz w:val="18"/>
                <w:szCs w:val="18"/>
              </w:rPr>
              <w:t xml:space="preserve">Material efficiency target estimated based on CSIRO material flows data for Australia 1990-2017 </w:t>
            </w:r>
            <w:r w:rsidR="009C1924" w:rsidRPr="009C1924">
              <w:rPr>
                <w:sz w:val="18"/>
                <w:szCs w:val="18"/>
              </w:rPr>
              <w:fldChar w:fldCharType="begin"/>
            </w:r>
            <w:r w:rsidR="009C1924" w:rsidRPr="009C1924">
              <w:rPr>
                <w:sz w:val="18"/>
                <w:szCs w:val="18"/>
              </w:rPr>
              <w:instrText xml:space="preserve"> ADDIN EN.CITE &lt;EndNote&gt;&lt;Cite&gt;&lt;Author&gt;West&lt;/Author&gt;&lt;Year&gt;2018&lt;/Year&gt;&lt;RecNum&gt;1048&lt;/RecNum&gt;&lt;DisplayText&gt;(West and Lieber, 2018)&lt;/DisplayText&gt;&lt;record&gt;&lt;rec-number&gt;1048&lt;/rec-number&gt;&lt;foreign-keys&gt;&lt;key app="EN" db-id="9vsrvaat7fadwtesfsrpw5w5t0x5v500ef25" timestamp="1565085299"&gt;1048&lt;/key&gt;&lt;/foreign-keys&gt;&lt;ref-type name="Dataset"&gt;59&lt;/ref-type&gt;&lt;contributors&gt;&lt;authors&gt;&lt;author&gt;West, J&lt;/author&gt;&lt;author&gt;Lieber, M&lt;/author&gt;&lt;/authors&gt;&lt;/contributors&gt;&lt;titles&gt;&lt;title&gt;Global Material Flows Database&lt;/title&gt;&lt;/titles&gt;&lt;dates&gt;&lt;year&gt;2018&lt;/year&gt;&lt;/dates&gt;&lt;pub-location&gt;Paris, France&lt;/pub-location&gt;&lt;urls&gt;&lt;related-urls&gt;&lt;url&gt;https://www.resourcepanel.org/global-material-flows-database&lt;/url&gt;&lt;/related-urls&gt;&lt;/urls&gt;&lt;access-date&gt;10/02/18&lt;/access-date&gt;&lt;/record&gt;&lt;/Cite&gt;&lt;/EndNote&gt;</w:instrText>
            </w:r>
            <w:r w:rsidR="009C1924" w:rsidRPr="009C1924">
              <w:rPr>
                <w:sz w:val="18"/>
                <w:szCs w:val="18"/>
              </w:rPr>
              <w:fldChar w:fldCharType="separate"/>
            </w:r>
            <w:r w:rsidR="009C1924" w:rsidRPr="009C1924">
              <w:rPr>
                <w:sz w:val="18"/>
                <w:szCs w:val="18"/>
              </w:rPr>
              <w:t>(West and Lieber, 2018)</w:t>
            </w:r>
            <w:r w:rsidR="009C1924" w:rsidRPr="009C1924">
              <w:rPr>
                <w:sz w:val="18"/>
                <w:szCs w:val="18"/>
              </w:rPr>
              <w:fldChar w:fldCharType="end"/>
            </w:r>
            <w:r w:rsidR="009C1924" w:rsidRPr="009C1924">
              <w:rPr>
                <w:sz w:val="18"/>
                <w:szCs w:val="18"/>
              </w:rPr>
              <w:t xml:space="preserve">. </w:t>
            </w:r>
          </w:p>
        </w:tc>
      </w:tr>
      <w:tr w:rsidR="003D7A86" w:rsidRPr="00AB491A" w14:paraId="03D4873A" w14:textId="77777777" w:rsidTr="002D17A6">
        <w:tc>
          <w:tcPr>
            <w:tcW w:w="2263" w:type="dxa"/>
            <w:tcBorders>
              <w:top w:val="single" w:sz="4" w:space="0" w:color="auto"/>
              <w:bottom w:val="single" w:sz="4" w:space="0" w:color="auto"/>
              <w:right w:val="single" w:sz="4" w:space="0" w:color="auto"/>
            </w:tcBorders>
            <w:shd w:val="clear" w:color="auto" w:fill="D9D9D9" w:themeFill="background1" w:themeFillShade="D9"/>
          </w:tcPr>
          <w:p w14:paraId="06ED3FBA"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6B282C8" w14:textId="77777777" w:rsidR="003D7A86" w:rsidRPr="00AB491A" w:rsidRDefault="003D7A86" w:rsidP="007F346F">
            <w:pPr>
              <w:rPr>
                <w:sz w:val="18"/>
                <w:szCs w:val="18"/>
              </w:rPr>
            </w:pP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950260C" w14:textId="77777777" w:rsidR="003D7A86" w:rsidRPr="00AB491A" w:rsidRDefault="003D7A86" w:rsidP="007F346F">
            <w:pPr>
              <w:jc w:val="center"/>
              <w:rPr>
                <w:sz w:val="18"/>
                <w:szCs w:val="18"/>
              </w:rPr>
            </w:pP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2D069B6" w14:textId="77777777" w:rsidR="003D7A86" w:rsidRPr="00AB491A" w:rsidRDefault="003D7A86" w:rsidP="007F346F">
            <w:pPr>
              <w:jc w:val="center"/>
              <w:rPr>
                <w:sz w:val="18"/>
                <w:szCs w:val="18"/>
              </w:rPr>
            </w:pPr>
          </w:p>
        </w:tc>
        <w:tc>
          <w:tcPr>
            <w:tcW w:w="4110" w:type="dxa"/>
            <w:tcBorders>
              <w:top w:val="single" w:sz="4" w:space="0" w:color="auto"/>
              <w:left w:val="single" w:sz="4" w:space="0" w:color="auto"/>
              <w:bottom w:val="single" w:sz="4" w:space="0" w:color="auto"/>
            </w:tcBorders>
            <w:shd w:val="clear" w:color="auto" w:fill="D9D9D9" w:themeFill="background1" w:themeFillShade="D9"/>
          </w:tcPr>
          <w:p w14:paraId="00742C4F" w14:textId="77777777" w:rsidR="003D7A86" w:rsidRPr="00AB491A" w:rsidRDefault="003D7A86" w:rsidP="007F346F">
            <w:pPr>
              <w:rPr>
                <w:sz w:val="18"/>
                <w:szCs w:val="18"/>
              </w:rPr>
            </w:pPr>
          </w:p>
        </w:tc>
      </w:tr>
      <w:tr w:rsidR="003D7A86" w:rsidRPr="00AB491A" w14:paraId="74C6244F" w14:textId="77777777" w:rsidTr="002D17A6">
        <w:tc>
          <w:tcPr>
            <w:tcW w:w="2263" w:type="dxa"/>
            <w:tcBorders>
              <w:top w:val="single" w:sz="4" w:space="0" w:color="auto"/>
              <w:bottom w:val="single" w:sz="4" w:space="0" w:color="auto"/>
              <w:right w:val="single" w:sz="4" w:space="0" w:color="auto"/>
            </w:tcBorders>
          </w:tcPr>
          <w:p w14:paraId="0B547C37" w14:textId="77777777" w:rsidR="003D7A86" w:rsidRPr="00AB491A" w:rsidRDefault="003D7A86" w:rsidP="007F346F">
            <w:pPr>
              <w:rPr>
                <w:sz w:val="18"/>
                <w:szCs w:val="18"/>
              </w:rPr>
            </w:pPr>
            <w:r>
              <w:rPr>
                <w:sz w:val="18"/>
                <w:szCs w:val="18"/>
              </w:rPr>
              <w:t>3. Sustainable Food Systems &amp; Healthy Nutrition</w:t>
            </w:r>
          </w:p>
        </w:tc>
        <w:tc>
          <w:tcPr>
            <w:tcW w:w="2557" w:type="dxa"/>
            <w:tcBorders>
              <w:top w:val="single" w:sz="4" w:space="0" w:color="auto"/>
              <w:left w:val="single" w:sz="4" w:space="0" w:color="auto"/>
              <w:bottom w:val="single" w:sz="4" w:space="0" w:color="auto"/>
              <w:right w:val="single" w:sz="4" w:space="0" w:color="auto"/>
            </w:tcBorders>
          </w:tcPr>
          <w:p w14:paraId="432DF52C" w14:textId="77777777" w:rsidR="003D7A86" w:rsidRPr="00AB491A" w:rsidRDefault="003D7A86" w:rsidP="007F346F">
            <w:pPr>
              <w:rPr>
                <w:sz w:val="18"/>
                <w:szCs w:val="18"/>
              </w:rPr>
            </w:pPr>
            <w:r>
              <w:rPr>
                <w:sz w:val="18"/>
                <w:szCs w:val="18"/>
              </w:rPr>
              <w:t>Additional agriculture water efficiency expenditure as % GDP</w:t>
            </w:r>
          </w:p>
        </w:tc>
        <w:tc>
          <w:tcPr>
            <w:tcW w:w="2693" w:type="dxa"/>
            <w:tcBorders>
              <w:top w:val="single" w:sz="4" w:space="0" w:color="auto"/>
              <w:left w:val="single" w:sz="4" w:space="0" w:color="auto"/>
              <w:bottom w:val="single" w:sz="4" w:space="0" w:color="auto"/>
              <w:right w:val="single" w:sz="4" w:space="0" w:color="auto"/>
            </w:tcBorders>
          </w:tcPr>
          <w:p w14:paraId="372343E9" w14:textId="740B871B" w:rsidR="00663035" w:rsidRDefault="00580D14" w:rsidP="007F346F">
            <w:pPr>
              <w:jc w:val="center"/>
              <w:rPr>
                <w:sz w:val="18"/>
                <w:szCs w:val="18"/>
              </w:rPr>
            </w:pPr>
            <w:r>
              <w:rPr>
                <w:sz w:val="18"/>
                <w:szCs w:val="18"/>
              </w:rPr>
              <w:t>Some continued investment to 2030</w:t>
            </w:r>
          </w:p>
          <w:p w14:paraId="5523737A" w14:textId="005AD17C" w:rsidR="003D7A86" w:rsidRDefault="003D7A86" w:rsidP="007F346F">
            <w:pPr>
              <w:jc w:val="center"/>
              <w:rPr>
                <w:sz w:val="18"/>
                <w:szCs w:val="18"/>
              </w:rPr>
            </w:pPr>
            <w:r>
              <w:rPr>
                <w:sz w:val="18"/>
                <w:szCs w:val="18"/>
              </w:rPr>
              <w:t>2020: 0.018</w:t>
            </w:r>
          </w:p>
          <w:p w14:paraId="4C120136" w14:textId="77777777" w:rsidR="003D7A86" w:rsidRDefault="003D7A86" w:rsidP="007F346F">
            <w:pPr>
              <w:jc w:val="center"/>
              <w:rPr>
                <w:sz w:val="18"/>
                <w:szCs w:val="18"/>
              </w:rPr>
            </w:pPr>
            <w:r>
              <w:rPr>
                <w:sz w:val="18"/>
                <w:szCs w:val="18"/>
              </w:rPr>
              <w:t>2021: 0.053</w:t>
            </w:r>
          </w:p>
          <w:p w14:paraId="69C5520D" w14:textId="77777777" w:rsidR="003D7A86" w:rsidRDefault="003D7A86" w:rsidP="007F346F">
            <w:pPr>
              <w:jc w:val="center"/>
              <w:rPr>
                <w:sz w:val="18"/>
                <w:szCs w:val="18"/>
              </w:rPr>
            </w:pPr>
            <w:r>
              <w:rPr>
                <w:sz w:val="18"/>
                <w:szCs w:val="18"/>
              </w:rPr>
              <w:t>2022: 0.03</w:t>
            </w:r>
          </w:p>
          <w:p w14:paraId="51E9A9F8" w14:textId="77777777" w:rsidR="003D7A86" w:rsidRPr="00AB491A" w:rsidRDefault="003D7A86" w:rsidP="007F346F">
            <w:pPr>
              <w:jc w:val="center"/>
              <w:rPr>
                <w:sz w:val="18"/>
                <w:szCs w:val="18"/>
              </w:rPr>
            </w:pPr>
            <w:r>
              <w:rPr>
                <w:sz w:val="18"/>
                <w:szCs w:val="18"/>
              </w:rPr>
              <w:t>2023-2030: 0.03</w:t>
            </w:r>
          </w:p>
        </w:tc>
        <w:tc>
          <w:tcPr>
            <w:tcW w:w="2552" w:type="dxa"/>
            <w:tcBorders>
              <w:top w:val="single" w:sz="4" w:space="0" w:color="auto"/>
              <w:left w:val="single" w:sz="4" w:space="0" w:color="auto"/>
              <w:bottom w:val="single" w:sz="4" w:space="0" w:color="auto"/>
              <w:right w:val="single" w:sz="4" w:space="0" w:color="auto"/>
            </w:tcBorders>
          </w:tcPr>
          <w:p w14:paraId="27AC0034" w14:textId="02E291E0" w:rsidR="00663035" w:rsidRDefault="00580D14" w:rsidP="007F346F">
            <w:pPr>
              <w:jc w:val="center"/>
              <w:rPr>
                <w:sz w:val="18"/>
                <w:szCs w:val="18"/>
              </w:rPr>
            </w:pPr>
            <w:r>
              <w:rPr>
                <w:sz w:val="18"/>
                <w:szCs w:val="18"/>
              </w:rPr>
              <w:t>Increased investment to 2030</w:t>
            </w:r>
          </w:p>
          <w:p w14:paraId="0C2A627E" w14:textId="5B820FFB" w:rsidR="003D7A86" w:rsidRDefault="003D7A86" w:rsidP="007F346F">
            <w:pPr>
              <w:jc w:val="center"/>
              <w:rPr>
                <w:sz w:val="18"/>
                <w:szCs w:val="18"/>
              </w:rPr>
            </w:pPr>
            <w:r>
              <w:rPr>
                <w:sz w:val="18"/>
                <w:szCs w:val="18"/>
              </w:rPr>
              <w:t>2020: 0.018</w:t>
            </w:r>
          </w:p>
          <w:p w14:paraId="5111359E" w14:textId="77777777" w:rsidR="003D7A86" w:rsidRDefault="003D7A86" w:rsidP="007F346F">
            <w:pPr>
              <w:jc w:val="center"/>
              <w:rPr>
                <w:sz w:val="18"/>
                <w:szCs w:val="18"/>
              </w:rPr>
            </w:pPr>
            <w:r>
              <w:rPr>
                <w:sz w:val="18"/>
                <w:szCs w:val="18"/>
              </w:rPr>
              <w:t>2021: 0.07</w:t>
            </w:r>
          </w:p>
          <w:p w14:paraId="1C42D0EF" w14:textId="77777777" w:rsidR="003D7A86" w:rsidRDefault="003D7A86" w:rsidP="007F346F">
            <w:pPr>
              <w:jc w:val="center"/>
              <w:rPr>
                <w:sz w:val="18"/>
                <w:szCs w:val="18"/>
              </w:rPr>
            </w:pPr>
            <w:r>
              <w:rPr>
                <w:sz w:val="18"/>
                <w:szCs w:val="18"/>
              </w:rPr>
              <w:t>2022: 0.07</w:t>
            </w:r>
          </w:p>
          <w:p w14:paraId="4A560ED4" w14:textId="77777777" w:rsidR="003D7A86" w:rsidRPr="00AB491A" w:rsidRDefault="003D7A86" w:rsidP="007F346F">
            <w:pPr>
              <w:jc w:val="center"/>
              <w:rPr>
                <w:sz w:val="18"/>
                <w:szCs w:val="18"/>
              </w:rPr>
            </w:pPr>
            <w:r>
              <w:rPr>
                <w:sz w:val="18"/>
                <w:szCs w:val="18"/>
              </w:rPr>
              <w:t>2023-2030: 0.06</w:t>
            </w:r>
          </w:p>
        </w:tc>
        <w:tc>
          <w:tcPr>
            <w:tcW w:w="4110" w:type="dxa"/>
            <w:tcBorders>
              <w:top w:val="single" w:sz="4" w:space="0" w:color="auto"/>
              <w:left w:val="single" w:sz="4" w:space="0" w:color="auto"/>
              <w:bottom w:val="single" w:sz="4" w:space="0" w:color="auto"/>
            </w:tcBorders>
          </w:tcPr>
          <w:p w14:paraId="550FF681" w14:textId="77777777" w:rsidR="002308D5" w:rsidRPr="002308D5" w:rsidRDefault="003D7A86" w:rsidP="002308D5">
            <w:pPr>
              <w:rPr>
                <w:sz w:val="18"/>
                <w:szCs w:val="18"/>
              </w:rPr>
            </w:pPr>
            <w:r>
              <w:rPr>
                <w:sz w:val="18"/>
                <w:szCs w:val="18"/>
              </w:rPr>
              <w:t xml:space="preserve">Water reforms in Murray Darling Basin as well as research in water industry. </w:t>
            </w:r>
            <w:r w:rsidR="000D5938" w:rsidRPr="000D5938">
              <w:rPr>
                <w:sz w:val="18"/>
                <w:szCs w:val="18"/>
              </w:rPr>
              <w:t xml:space="preserve">Water efficiency expenditure estimated based on </w:t>
            </w:r>
            <w:r w:rsidR="000D5938" w:rsidRPr="000D5938">
              <w:rPr>
                <w:sz w:val="18"/>
                <w:szCs w:val="18"/>
              </w:rPr>
              <w:fldChar w:fldCharType="begin"/>
            </w:r>
            <w:r w:rsidR="000D5938" w:rsidRPr="000D5938">
              <w:rPr>
                <w:sz w:val="18"/>
                <w:szCs w:val="18"/>
              </w:rPr>
              <w:instrText xml:space="preserve"> ADDIN EN.CITE &lt;EndNote&gt;&lt;Cite AuthorYear="1"&gt;&lt;Author&gt;Hickey&lt;/Author&gt;&lt;Year&gt;2006&lt;/Year&gt;&lt;RecNum&gt;880&lt;/RecNum&gt;&lt;DisplayText&gt;Hickey et al. (2006)&lt;/DisplayText&gt;&lt;record&gt;&lt;rec-number&gt;880&lt;/rec-number&gt;&lt;foreign-keys&gt;&lt;key app="EN" db-id="9vsrvaat7fadwtesfsrpw5w5t0x5v500ef25" timestamp="1542427041"&gt;880&lt;/key&gt;&lt;/foreign-keys&gt;&lt;ref-type name="Generic"&gt;13&lt;/ref-type&gt;&lt;contributors&gt;&lt;authors&gt;&lt;author&gt;Hickey, M&lt;/author&gt;&lt;author&gt;Hoogers, R&lt;/author&gt;&lt;author&gt;Singh, R&lt;/author&gt;&lt;author&gt;Henderson, C&lt;/author&gt;&lt;author&gt;Ashcroft, B&lt;/author&gt;&lt;author&gt;Top, M&lt;/author&gt;&lt;author&gt;O&amp;apos;Donnell, D&lt;/author&gt;&lt;author&gt;Sylvia, S&lt;/author&gt;&lt;author&gt;Hoffman, H&lt;/author&gt;&lt;/authors&gt;&lt;/contributors&gt;&lt;titles&gt;&lt;title&gt;Maximising returns from water in the Australian vegetable industry: national report&lt;/title&gt;&lt;/titles&gt;&lt;dates&gt;&lt;year&gt;2006&lt;/year&gt;&lt;/dates&gt;&lt;pub-location&gt;Sydney&lt;/pub-location&gt;&lt;publisher&gt;NSW Department of Primary Industries&lt;/publisher&gt;&lt;urls&gt;&lt;/urls&gt;&lt;/record&gt;&lt;/Cite&gt;&lt;/EndNote&gt;</w:instrText>
            </w:r>
            <w:r w:rsidR="000D5938" w:rsidRPr="000D5938">
              <w:rPr>
                <w:sz w:val="18"/>
                <w:szCs w:val="18"/>
              </w:rPr>
              <w:fldChar w:fldCharType="separate"/>
            </w:r>
            <w:r w:rsidR="000D5938" w:rsidRPr="000D5938">
              <w:rPr>
                <w:noProof/>
                <w:sz w:val="18"/>
                <w:szCs w:val="18"/>
              </w:rPr>
              <w:t>Hickey et al. (2006)</w:t>
            </w:r>
            <w:r w:rsidR="000D5938" w:rsidRPr="000D5938">
              <w:rPr>
                <w:sz w:val="18"/>
                <w:szCs w:val="18"/>
              </w:rPr>
              <w:fldChar w:fldCharType="end"/>
            </w:r>
            <w:r w:rsidR="000D5938" w:rsidRPr="000D5938">
              <w:rPr>
                <w:sz w:val="18"/>
                <w:szCs w:val="18"/>
              </w:rPr>
              <w:t xml:space="preserve">, </w:t>
            </w:r>
            <w:r w:rsidR="000D5938" w:rsidRPr="000D5938">
              <w:rPr>
                <w:sz w:val="18"/>
                <w:szCs w:val="18"/>
              </w:rPr>
              <w:fldChar w:fldCharType="begin"/>
            </w:r>
            <w:r w:rsidR="000D5938" w:rsidRPr="000D5938">
              <w:rPr>
                <w:sz w:val="18"/>
                <w:szCs w:val="18"/>
              </w:rPr>
              <w:instrText xml:space="preserve"> ADDIN EN.CITE &lt;EndNote&gt;&lt;Cite AuthorYear="1"&gt;&lt;Author&gt;Government of Victoria&lt;/Author&gt;&lt;Year&gt;2015&lt;/Year&gt;&lt;RecNum&gt;881&lt;/RecNum&gt;&lt;DisplayText&gt;Government of Victoria (2015)&lt;/DisplayText&gt;&lt;record&gt;&lt;rec-number&gt;881&lt;/rec-number&gt;&lt;foreign-keys&gt;&lt;key app="EN" db-id="9vsrvaat7fadwtesfsrpw5w5t0x5v500ef25" timestamp="1542427106"&gt;881&lt;/key&gt;&lt;/foreign-keys&gt;&lt;ref-type name="Generic"&gt;13&lt;/ref-type&gt;&lt;contributors&gt;&lt;authors&gt;&lt;author&gt;Government of Victoria,&lt;/author&gt;&lt;/authors&gt;&lt;/contributors&gt;&lt;titles&gt;&lt;title&gt;Farm Water Fact Sheet&lt;/title&gt;&lt;/titles&gt;&lt;dates&gt;&lt;year&gt;2015&lt;/year&gt;&lt;/dates&gt;&lt;pub-location&gt;Melbourne&lt;/pub-location&gt;&lt;publisher&gt;Government of Victoria&lt;/publisher&gt;&lt;urls&gt;&lt;/urls&gt;&lt;/record&gt;&lt;/Cite&gt;&lt;/EndNote&gt;</w:instrText>
            </w:r>
            <w:r w:rsidR="000D5938" w:rsidRPr="000D5938">
              <w:rPr>
                <w:sz w:val="18"/>
                <w:szCs w:val="18"/>
              </w:rPr>
              <w:fldChar w:fldCharType="separate"/>
            </w:r>
            <w:r w:rsidR="000D5938" w:rsidRPr="000D5938">
              <w:rPr>
                <w:noProof/>
                <w:sz w:val="18"/>
                <w:szCs w:val="18"/>
              </w:rPr>
              <w:t>Government of Victoria (2015)</w:t>
            </w:r>
            <w:r w:rsidR="000D5938" w:rsidRPr="000D5938">
              <w:rPr>
                <w:sz w:val="18"/>
                <w:szCs w:val="18"/>
              </w:rPr>
              <w:fldChar w:fldCharType="end"/>
            </w:r>
            <w:r w:rsidR="000D5938" w:rsidRPr="000D5938">
              <w:rPr>
                <w:sz w:val="18"/>
                <w:szCs w:val="18"/>
              </w:rPr>
              <w:t xml:space="preserve"> and FAOSTAT database </w:t>
            </w:r>
            <w:r w:rsidR="000D5938" w:rsidRPr="000D5938">
              <w:rPr>
                <w:sz w:val="18"/>
                <w:szCs w:val="18"/>
              </w:rPr>
              <w:fldChar w:fldCharType="begin"/>
            </w:r>
            <w:r w:rsidR="000D5938" w:rsidRPr="000D5938">
              <w:rPr>
                <w:sz w:val="18"/>
                <w:szCs w:val="18"/>
              </w:rPr>
              <w:instrText xml:space="preserve"> ADDIN EN.CITE &lt;EndNote&gt;&lt;Cite&gt;&lt;Author&gt;FAO&lt;/Author&gt;&lt;Year&gt;2017&lt;/Year&gt;&lt;RecNum&gt;1052&lt;/RecNum&gt;&lt;DisplayText&gt;(FAO, 2017)&lt;/DisplayText&gt;&lt;record&gt;&lt;rec-number&gt;1052&lt;/rec-number&gt;&lt;foreign-keys&gt;&lt;key app="EN" db-id="9vsrvaat7fadwtesfsrpw5w5t0x5v500ef25" timestamp="1565086591"&gt;1052&lt;/key&gt;&lt;/foreign-keys&gt;&lt;ref-type name="Dataset"&gt;59&lt;/ref-type&gt;&lt;contributors&gt;&lt;authors&gt;&lt;author&gt;FAO&lt;/author&gt;&lt;/authors&gt;&lt;/contributors&gt;&lt;titles&gt;&lt;title&gt;FAOSTAT database&lt;/title&gt;&lt;/titles&gt;&lt;dates&gt;&lt;year&gt;2017&lt;/year&gt;&lt;/dates&gt;&lt;pub-location&gt;Rome, Italy&lt;/pub-location&gt;&lt;urls&gt;&lt;related-urls&gt;&lt;url&gt;http://www.fao.org/faostat/en/#data/RL&lt;/url&gt;&lt;/related-urls&gt;&lt;/urls&gt;&lt;access-date&gt;03/02/18&lt;/access-date&gt;&lt;/record&gt;&lt;/Cite&gt;&lt;/EndNote&gt;</w:instrText>
            </w:r>
            <w:r w:rsidR="000D5938" w:rsidRPr="000D5938">
              <w:rPr>
                <w:sz w:val="18"/>
                <w:szCs w:val="18"/>
              </w:rPr>
              <w:fldChar w:fldCharType="separate"/>
            </w:r>
            <w:r w:rsidR="000D5938" w:rsidRPr="000D5938">
              <w:rPr>
                <w:noProof/>
                <w:sz w:val="18"/>
                <w:szCs w:val="18"/>
              </w:rPr>
              <w:t>(FAO, 2017)</w:t>
            </w:r>
            <w:r w:rsidR="000D5938" w:rsidRPr="000D5938">
              <w:rPr>
                <w:sz w:val="18"/>
                <w:szCs w:val="18"/>
              </w:rPr>
              <w:fldChar w:fldCharType="end"/>
            </w:r>
            <w:r w:rsidR="000D5938" w:rsidRPr="000D5938">
              <w:rPr>
                <w:sz w:val="18"/>
                <w:szCs w:val="18"/>
              </w:rPr>
              <w:t xml:space="preserve">. </w:t>
            </w:r>
            <w:r w:rsidR="000D5938">
              <w:rPr>
                <w:sz w:val="18"/>
                <w:szCs w:val="18"/>
              </w:rPr>
              <w:t xml:space="preserve"> </w:t>
            </w:r>
            <w:r w:rsidR="000D5938" w:rsidRPr="000D5938">
              <w:rPr>
                <w:sz w:val="18"/>
                <w:szCs w:val="18"/>
              </w:rPr>
              <w:t xml:space="preserve">Australian Government Water Fund allocation of $2.6 billion over 6 years </w:t>
            </w:r>
            <w:r w:rsidR="000D5938" w:rsidRPr="000D5938">
              <w:rPr>
                <w:sz w:val="18"/>
                <w:szCs w:val="18"/>
              </w:rPr>
              <w:lastRenderedPageBreak/>
              <w:t xml:space="preserve">(AUD2015); </w:t>
            </w:r>
            <w:r w:rsidR="000D5938">
              <w:rPr>
                <w:sz w:val="18"/>
                <w:szCs w:val="18"/>
              </w:rPr>
              <w:t xml:space="preserve"> </w:t>
            </w:r>
            <w:r w:rsidR="000D5938" w:rsidRPr="000D5938">
              <w:rPr>
                <w:sz w:val="18"/>
                <w:szCs w:val="18"/>
              </w:rPr>
              <w:t xml:space="preserve">4.3ML/ha average water usage all crops </w:t>
            </w:r>
            <w:r w:rsidR="000D5938" w:rsidRPr="000D5938">
              <w:rPr>
                <w:sz w:val="18"/>
                <w:szCs w:val="18"/>
              </w:rPr>
              <w:fldChar w:fldCharType="begin"/>
            </w:r>
            <w:r w:rsidR="000D5938" w:rsidRPr="000D5938">
              <w:rPr>
                <w:sz w:val="18"/>
                <w:szCs w:val="18"/>
              </w:rPr>
              <w:instrText xml:space="preserve"> ADDIN EN.CITE &lt;EndNote&gt;&lt;Cite&gt;&lt;Author&gt;Hickey&lt;/Author&gt;&lt;Year&gt;2006&lt;/Year&gt;&lt;RecNum&gt;880&lt;/RecNum&gt;&lt;DisplayText&gt;(Hickey et al., 2006)&lt;/DisplayText&gt;&lt;record&gt;&lt;rec-number&gt;880&lt;/rec-number&gt;&lt;foreign-keys&gt;&lt;key app="EN" db-id="9vsrvaat7fadwtesfsrpw5w5t0x5v500ef25" timestamp="1542427041"&gt;880&lt;/key&gt;&lt;/foreign-keys&gt;&lt;ref-type name="Generic"&gt;13&lt;/ref-type&gt;&lt;contributors&gt;&lt;authors&gt;&lt;author&gt;Hickey, M&lt;/author&gt;&lt;author&gt;Hoogers, R&lt;/author&gt;&lt;author&gt;Singh, R&lt;/author&gt;&lt;author&gt;Henderson, C&lt;/author&gt;&lt;author&gt;Ashcroft, B&lt;/author&gt;&lt;author&gt;Top, M&lt;/author&gt;&lt;author&gt;O&amp;apos;Donnell, D&lt;/author&gt;&lt;author&gt;Sylvia, S&lt;/author&gt;&lt;author&gt;Hoffman, H&lt;/author&gt;&lt;/authors&gt;&lt;/contributors&gt;&lt;titles&gt;&lt;title&gt;Maximising returns from water in the Australian vegetable industry: national report&lt;/title&gt;&lt;/titles&gt;&lt;dates&gt;&lt;year&gt;2006&lt;/year&gt;&lt;/dates&gt;&lt;pub-location&gt;Sydney&lt;/pub-location&gt;&lt;publisher&gt;NSW Department of Primary Industries&lt;/publisher&gt;&lt;urls&gt;&lt;/urls&gt;&lt;/record&gt;&lt;/Cite&gt;&lt;/EndNote&gt;</w:instrText>
            </w:r>
            <w:r w:rsidR="000D5938" w:rsidRPr="000D5938">
              <w:rPr>
                <w:sz w:val="18"/>
                <w:szCs w:val="18"/>
              </w:rPr>
              <w:fldChar w:fldCharType="separate"/>
            </w:r>
            <w:r w:rsidR="000D5938" w:rsidRPr="000D5938">
              <w:rPr>
                <w:noProof/>
                <w:sz w:val="18"/>
                <w:szCs w:val="18"/>
              </w:rPr>
              <w:t>(Hickey et al., 2006)</w:t>
            </w:r>
            <w:r w:rsidR="000D5938" w:rsidRPr="000D5938">
              <w:rPr>
                <w:sz w:val="18"/>
                <w:szCs w:val="18"/>
              </w:rPr>
              <w:fldChar w:fldCharType="end"/>
            </w:r>
            <w:r w:rsidR="000D5938">
              <w:rPr>
                <w:sz w:val="18"/>
                <w:szCs w:val="18"/>
              </w:rPr>
              <w:t>.</w:t>
            </w:r>
            <w:r w:rsidR="002308D5">
              <w:rPr>
                <w:sz w:val="18"/>
                <w:szCs w:val="18"/>
              </w:rPr>
              <w:t xml:space="preserve"> </w:t>
            </w:r>
            <w:r w:rsidR="002308D5" w:rsidRPr="002308D5">
              <w:rPr>
                <w:sz w:val="18"/>
                <w:szCs w:val="18"/>
              </w:rPr>
              <w:t>Cost of enhanced irrigation</w:t>
            </w:r>
          </w:p>
          <w:p w14:paraId="5BC6A50C" w14:textId="0147F561" w:rsidR="002308D5" w:rsidRPr="002308D5" w:rsidRDefault="002308D5" w:rsidP="002308D5">
            <w:pPr>
              <w:rPr>
                <w:sz w:val="18"/>
                <w:szCs w:val="18"/>
              </w:rPr>
            </w:pPr>
            <w:r w:rsidRPr="002308D5">
              <w:rPr>
                <w:sz w:val="18"/>
                <w:szCs w:val="18"/>
              </w:rPr>
              <w:t xml:space="preserve">= $2,100/ha/pa average </w:t>
            </w:r>
            <w:r w:rsidRPr="002308D5">
              <w:rPr>
                <w:sz w:val="18"/>
                <w:szCs w:val="18"/>
              </w:rPr>
              <w:fldChar w:fldCharType="begin"/>
            </w:r>
            <w:r w:rsidRPr="002308D5">
              <w:rPr>
                <w:sz w:val="18"/>
                <w:szCs w:val="18"/>
              </w:rPr>
              <w:instrText xml:space="preserve"> ADDIN EN.CITE &lt;EndNote&gt;&lt;Cite&gt;&lt;Author&gt;Government of Victoria&lt;/Author&gt;&lt;Year&gt;2015&lt;/Year&gt;&lt;RecNum&gt;881&lt;/RecNum&gt;&lt;DisplayText&gt;(Government of Victoria, 2015)&lt;/DisplayText&gt;&lt;record&gt;&lt;rec-number&gt;881&lt;/rec-number&gt;&lt;foreign-keys&gt;&lt;key app="EN" db-id="9vsrvaat7fadwtesfsrpw5w5t0x5v500ef25" timestamp="1542427106"&gt;881&lt;/key&gt;&lt;/foreign-keys&gt;&lt;ref-type name="Generic"&gt;13&lt;/ref-type&gt;&lt;contributors&gt;&lt;authors&gt;&lt;author&gt;Government of Victoria,&lt;/author&gt;&lt;/authors&gt;&lt;/contributors&gt;&lt;titles&gt;&lt;title&gt;Farm Water Fact Sheet&lt;/title&gt;&lt;/titles&gt;&lt;dates&gt;&lt;year&gt;2015&lt;/year&gt;&lt;/dates&gt;&lt;pub-location&gt;Melbourne&lt;/pub-location&gt;&lt;publisher&gt;Government of Victoria&lt;/publisher&gt;&lt;urls&gt;&lt;/urls&gt;&lt;/record&gt;&lt;/Cite&gt;&lt;/EndNote&gt;</w:instrText>
            </w:r>
            <w:r w:rsidRPr="002308D5">
              <w:rPr>
                <w:sz w:val="18"/>
                <w:szCs w:val="18"/>
              </w:rPr>
              <w:fldChar w:fldCharType="separate"/>
            </w:r>
            <w:r w:rsidRPr="002308D5">
              <w:rPr>
                <w:sz w:val="18"/>
                <w:szCs w:val="18"/>
              </w:rPr>
              <w:t>(Government of Victoria, 2015)</w:t>
            </w:r>
            <w:r w:rsidRPr="002308D5">
              <w:rPr>
                <w:sz w:val="18"/>
                <w:szCs w:val="18"/>
              </w:rPr>
              <w:fldChar w:fldCharType="end"/>
            </w:r>
            <w:r>
              <w:rPr>
                <w:sz w:val="18"/>
                <w:szCs w:val="18"/>
              </w:rPr>
              <w:t xml:space="preserve">. </w:t>
            </w:r>
            <w:r w:rsidRPr="002308D5">
              <w:rPr>
                <w:sz w:val="18"/>
                <w:szCs w:val="18"/>
              </w:rPr>
              <w:t xml:space="preserve">Total irrigated area = 23m ha </w:t>
            </w:r>
            <w:r w:rsidRPr="002308D5">
              <w:rPr>
                <w:sz w:val="18"/>
                <w:szCs w:val="18"/>
              </w:rPr>
              <w:fldChar w:fldCharType="begin"/>
            </w:r>
            <w:r w:rsidRPr="002308D5">
              <w:rPr>
                <w:sz w:val="18"/>
                <w:szCs w:val="18"/>
              </w:rPr>
              <w:instrText xml:space="preserve"> ADDIN EN.CITE &lt;EndNote&gt;&lt;Cite&gt;&lt;Author&gt;FAO&lt;/Author&gt;&lt;Year&gt;2017&lt;/Year&gt;&lt;RecNum&gt;1052&lt;/RecNum&gt;&lt;DisplayText&gt;(FAO, 2017)&lt;/DisplayText&gt;&lt;record&gt;&lt;rec-number&gt;1052&lt;/rec-number&gt;&lt;foreign-keys&gt;&lt;key app="EN" db-id="9vsrvaat7fadwtesfsrpw5w5t0x5v500ef25" timestamp="1565086591"&gt;1052&lt;/key&gt;&lt;/foreign-keys&gt;&lt;ref-type name="Dataset"&gt;59&lt;/ref-type&gt;&lt;contributors&gt;&lt;authors&gt;&lt;author&gt;FAO&lt;/author&gt;&lt;/authors&gt;&lt;/contributors&gt;&lt;titles&gt;&lt;title&gt;FAOSTAT database&lt;/title&gt;&lt;/titles&gt;&lt;dates&gt;&lt;year&gt;2017&lt;/year&gt;&lt;/dates&gt;&lt;pub-location&gt;Rome, Italy&lt;/pub-location&gt;&lt;urls&gt;&lt;related-urls&gt;&lt;url&gt;http://www.fao.org/faostat/en/#data/RL&lt;/url&gt;&lt;/related-urls&gt;&lt;/urls&gt;&lt;access-date&gt;03/02/18&lt;/access-date&gt;&lt;/record&gt;&lt;/Cite&gt;&lt;/EndNote&gt;</w:instrText>
            </w:r>
            <w:r w:rsidRPr="002308D5">
              <w:rPr>
                <w:sz w:val="18"/>
                <w:szCs w:val="18"/>
              </w:rPr>
              <w:fldChar w:fldCharType="separate"/>
            </w:r>
            <w:r w:rsidRPr="002308D5">
              <w:rPr>
                <w:sz w:val="18"/>
                <w:szCs w:val="18"/>
              </w:rPr>
              <w:t>(FAO, 2017)</w:t>
            </w:r>
            <w:r w:rsidRPr="002308D5">
              <w:rPr>
                <w:sz w:val="18"/>
                <w:szCs w:val="18"/>
              </w:rPr>
              <w:fldChar w:fldCharType="end"/>
            </w:r>
          </w:p>
          <w:p w14:paraId="3ABBAB37" w14:textId="6EB6B372" w:rsidR="000D5938" w:rsidRPr="000D5938" w:rsidRDefault="002308D5" w:rsidP="002308D5">
            <w:pPr>
              <w:rPr>
                <w:sz w:val="18"/>
                <w:szCs w:val="18"/>
              </w:rPr>
            </w:pPr>
            <w:r w:rsidRPr="002308D5">
              <w:rPr>
                <w:sz w:val="18"/>
                <w:szCs w:val="18"/>
              </w:rPr>
              <w:t>20% = $9.66bn</w:t>
            </w:r>
          </w:p>
          <w:p w14:paraId="6283C915" w14:textId="5B99C014" w:rsidR="000D5938" w:rsidRPr="00AB491A" w:rsidRDefault="000D5938" w:rsidP="007F346F">
            <w:pPr>
              <w:rPr>
                <w:sz w:val="18"/>
                <w:szCs w:val="18"/>
              </w:rPr>
            </w:pPr>
          </w:p>
        </w:tc>
      </w:tr>
      <w:tr w:rsidR="003D7A86" w:rsidRPr="00AB491A" w14:paraId="44662E66" w14:textId="77777777" w:rsidTr="002D17A6">
        <w:tc>
          <w:tcPr>
            <w:tcW w:w="2263" w:type="dxa"/>
            <w:tcBorders>
              <w:top w:val="single" w:sz="4" w:space="0" w:color="auto"/>
              <w:bottom w:val="single" w:sz="4" w:space="0" w:color="auto"/>
              <w:right w:val="single" w:sz="4" w:space="0" w:color="auto"/>
            </w:tcBorders>
          </w:tcPr>
          <w:p w14:paraId="706BEA4D"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770872B2" w14:textId="77777777" w:rsidR="003D7A86" w:rsidRPr="00AB491A" w:rsidRDefault="003D7A86" w:rsidP="007F346F">
            <w:pPr>
              <w:rPr>
                <w:sz w:val="18"/>
                <w:szCs w:val="18"/>
              </w:rPr>
            </w:pPr>
            <w:r>
              <w:rPr>
                <w:sz w:val="18"/>
                <w:szCs w:val="18"/>
              </w:rPr>
              <w:t>Additional sustainable agriculture training expenditure as % GDP</w:t>
            </w:r>
          </w:p>
        </w:tc>
        <w:tc>
          <w:tcPr>
            <w:tcW w:w="2693" w:type="dxa"/>
            <w:tcBorders>
              <w:top w:val="single" w:sz="4" w:space="0" w:color="auto"/>
              <w:left w:val="single" w:sz="4" w:space="0" w:color="auto"/>
              <w:bottom w:val="single" w:sz="4" w:space="0" w:color="auto"/>
              <w:right w:val="single" w:sz="4" w:space="0" w:color="auto"/>
            </w:tcBorders>
          </w:tcPr>
          <w:p w14:paraId="1A251811" w14:textId="77777777" w:rsidR="003D7A86" w:rsidRPr="00AB491A" w:rsidRDefault="003D7A86" w:rsidP="007F346F">
            <w:pPr>
              <w:jc w:val="center"/>
              <w:rPr>
                <w:sz w:val="18"/>
                <w:szCs w:val="18"/>
              </w:rPr>
            </w:pPr>
            <w:r>
              <w:rPr>
                <w:sz w:val="18"/>
                <w:szCs w:val="18"/>
              </w:rPr>
              <w:t>None</w:t>
            </w:r>
          </w:p>
        </w:tc>
        <w:tc>
          <w:tcPr>
            <w:tcW w:w="2552" w:type="dxa"/>
            <w:tcBorders>
              <w:top w:val="single" w:sz="4" w:space="0" w:color="auto"/>
              <w:left w:val="single" w:sz="4" w:space="0" w:color="auto"/>
              <w:bottom w:val="single" w:sz="4" w:space="0" w:color="auto"/>
              <w:right w:val="single" w:sz="4" w:space="0" w:color="auto"/>
            </w:tcBorders>
          </w:tcPr>
          <w:p w14:paraId="514D33B7" w14:textId="6C80BF69" w:rsidR="00663035" w:rsidRDefault="00663035" w:rsidP="007F346F">
            <w:pPr>
              <w:jc w:val="center"/>
              <w:rPr>
                <w:sz w:val="18"/>
                <w:szCs w:val="18"/>
              </w:rPr>
            </w:pPr>
            <w:r>
              <w:rPr>
                <w:sz w:val="18"/>
                <w:szCs w:val="18"/>
              </w:rPr>
              <w:t>Increase</w:t>
            </w:r>
            <w:r w:rsidR="00FC2A52">
              <w:rPr>
                <w:sz w:val="18"/>
                <w:szCs w:val="18"/>
              </w:rPr>
              <w:t>d investment to 2030</w:t>
            </w:r>
          </w:p>
          <w:p w14:paraId="1C191254" w14:textId="0A4D4498" w:rsidR="003D7A86" w:rsidRDefault="003D7A86" w:rsidP="007F346F">
            <w:pPr>
              <w:jc w:val="center"/>
              <w:rPr>
                <w:sz w:val="18"/>
                <w:szCs w:val="18"/>
              </w:rPr>
            </w:pPr>
            <w:r>
              <w:rPr>
                <w:sz w:val="18"/>
                <w:szCs w:val="18"/>
              </w:rPr>
              <w:t>2020: 0.045</w:t>
            </w:r>
          </w:p>
          <w:p w14:paraId="08E0E54E" w14:textId="77777777" w:rsidR="003D7A86" w:rsidRDefault="003D7A86" w:rsidP="007F346F">
            <w:pPr>
              <w:jc w:val="center"/>
              <w:rPr>
                <w:sz w:val="18"/>
                <w:szCs w:val="18"/>
              </w:rPr>
            </w:pPr>
            <w:r>
              <w:rPr>
                <w:sz w:val="18"/>
                <w:szCs w:val="18"/>
              </w:rPr>
              <w:t>2021: 0.05</w:t>
            </w:r>
          </w:p>
          <w:p w14:paraId="36C98B12" w14:textId="77777777" w:rsidR="003D7A86" w:rsidRPr="00AB491A" w:rsidRDefault="003D7A86" w:rsidP="007F346F">
            <w:pPr>
              <w:jc w:val="center"/>
              <w:rPr>
                <w:sz w:val="18"/>
                <w:szCs w:val="18"/>
              </w:rPr>
            </w:pPr>
            <w:r>
              <w:rPr>
                <w:sz w:val="18"/>
                <w:szCs w:val="18"/>
              </w:rPr>
              <w:t>2022-2030: 0.07</w:t>
            </w:r>
          </w:p>
        </w:tc>
        <w:tc>
          <w:tcPr>
            <w:tcW w:w="4110" w:type="dxa"/>
            <w:tcBorders>
              <w:top w:val="single" w:sz="4" w:space="0" w:color="auto"/>
              <w:left w:val="single" w:sz="4" w:space="0" w:color="auto"/>
              <w:bottom w:val="single" w:sz="4" w:space="0" w:color="auto"/>
            </w:tcBorders>
          </w:tcPr>
          <w:p w14:paraId="6CE9120B" w14:textId="4772F699" w:rsidR="001D1DE4" w:rsidRPr="00AB491A" w:rsidRDefault="00E909E9" w:rsidP="001D1DE4">
            <w:pPr>
              <w:rPr>
                <w:sz w:val="18"/>
                <w:szCs w:val="18"/>
              </w:rPr>
            </w:pPr>
            <w:r>
              <w:rPr>
                <w:sz w:val="18"/>
                <w:szCs w:val="18"/>
              </w:rPr>
              <w:t>SWT</w:t>
            </w:r>
            <w:r w:rsidR="003D7A86">
              <w:rPr>
                <w:sz w:val="18"/>
                <w:szCs w:val="18"/>
              </w:rPr>
              <w:t xml:space="preserve"> </w:t>
            </w:r>
            <w:r w:rsidR="001D1DE4">
              <w:rPr>
                <w:sz w:val="18"/>
                <w:szCs w:val="18"/>
              </w:rPr>
              <w:t>assumes investment in</w:t>
            </w:r>
            <w:r w:rsidR="003D7A86">
              <w:rPr>
                <w:sz w:val="18"/>
                <w:szCs w:val="18"/>
              </w:rPr>
              <w:t xml:space="preserve"> regenerative agriculture extension services – Farms of the Future</w:t>
            </w:r>
            <w:r w:rsidR="001D1DE4">
              <w:rPr>
                <w:sz w:val="18"/>
                <w:szCs w:val="18"/>
              </w:rPr>
              <w:t xml:space="preserve">. </w:t>
            </w:r>
            <w:r w:rsidR="001D1DE4" w:rsidRPr="001D1DE4">
              <w:rPr>
                <w:sz w:val="18"/>
                <w:szCs w:val="18"/>
              </w:rPr>
              <w:t xml:space="preserve">Agriculture training expenditure estimated based on ABS Labour Force data for Australia 1990-2016 </w:t>
            </w:r>
            <w:r w:rsidR="001D1DE4" w:rsidRPr="001D1DE4">
              <w:rPr>
                <w:sz w:val="18"/>
                <w:szCs w:val="18"/>
              </w:rPr>
              <w:fldChar w:fldCharType="begin"/>
            </w:r>
            <w:r w:rsidR="001D1DE4">
              <w:rPr>
                <w:sz w:val="18"/>
                <w:szCs w:val="18"/>
              </w:rPr>
              <w:instrText xml:space="preserve"> ADDIN EN.CITE &lt;EndNote&gt;&lt;Cite&gt;&lt;Author&gt;ABS&lt;/Author&gt;&lt;Year&gt;2017&lt;/Year&gt;&lt;RecNum&gt;1055&lt;/RecNum&gt;&lt;DisplayText&gt;(ABS, 2017d)&lt;/DisplayText&gt;&lt;record&gt;&lt;rec-number&gt;1055&lt;/rec-number&gt;&lt;foreign-keys&gt;&lt;key app="EN" db-id="9vsrvaat7fadwtesfsrpw5w5t0x5v500ef25" timestamp="1565088270"&gt;1055&lt;/key&gt;&lt;/foreign-keys&gt;&lt;ref-type name="Dataset"&gt;59&lt;/ref-type&gt;&lt;contributors&gt;&lt;authors&gt;&lt;author&gt;ABS&lt;/author&gt;&lt;/authors&gt;&lt;/contributors&gt;&lt;titles&gt;&lt;title&gt;6202.0 - Labour Force, Australia&lt;/title&gt;&lt;/titles&gt;&lt;dates&gt;&lt;year&gt;2017&lt;/year&gt;&lt;/dates&gt;&lt;pub-location&gt;Canberra, Australia&lt;/pub-location&gt;&lt;publisher&gt;Australian Bureau of Statistics&lt;/publisher&gt;&lt;urls&gt;&lt;related-urls&gt;&lt;url&gt;https://www.abs.gov.au/AUSSTATS/abs@.nsf/allprimarymainfeatures/DAFD6C38CD421642CA25819A0013343A?opendocument&lt;/url&gt;&lt;/related-urls&gt;&lt;/urls&gt;&lt;access-date&gt;20/08/18&lt;/access-date&gt;&lt;/record&gt;&lt;/Cite&gt;&lt;/EndNote&gt;</w:instrText>
            </w:r>
            <w:r w:rsidR="001D1DE4" w:rsidRPr="001D1DE4">
              <w:rPr>
                <w:sz w:val="18"/>
                <w:szCs w:val="18"/>
              </w:rPr>
              <w:fldChar w:fldCharType="separate"/>
            </w:r>
            <w:r w:rsidR="001D1DE4">
              <w:rPr>
                <w:noProof/>
                <w:sz w:val="18"/>
                <w:szCs w:val="18"/>
              </w:rPr>
              <w:t>(ABS, 2017d)</w:t>
            </w:r>
            <w:r w:rsidR="001D1DE4" w:rsidRPr="001D1DE4">
              <w:rPr>
                <w:sz w:val="18"/>
                <w:szCs w:val="18"/>
              </w:rPr>
              <w:fldChar w:fldCharType="end"/>
            </w:r>
            <w:r w:rsidR="001D1DE4" w:rsidRPr="001D1DE4">
              <w:rPr>
                <w:sz w:val="18"/>
                <w:szCs w:val="18"/>
              </w:rPr>
              <w:t xml:space="preserve"> on agricultural employment and estimate of $5,000 USD 2010</w:t>
            </w:r>
            <w:r w:rsidR="009F0972">
              <w:rPr>
                <w:sz w:val="18"/>
                <w:szCs w:val="18"/>
              </w:rPr>
              <w:t xml:space="preserve"> cost per farmer.</w:t>
            </w:r>
          </w:p>
        </w:tc>
      </w:tr>
      <w:tr w:rsidR="003D7A86" w:rsidRPr="00AB491A" w14:paraId="74A0ED14" w14:textId="77777777" w:rsidTr="002D17A6">
        <w:tc>
          <w:tcPr>
            <w:tcW w:w="2263" w:type="dxa"/>
            <w:tcBorders>
              <w:top w:val="single" w:sz="4" w:space="0" w:color="auto"/>
              <w:bottom w:val="single" w:sz="4" w:space="0" w:color="auto"/>
              <w:right w:val="single" w:sz="4" w:space="0" w:color="auto"/>
            </w:tcBorders>
          </w:tcPr>
          <w:p w14:paraId="1F0EE961"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1A1BFE6A" w14:textId="77777777" w:rsidR="003D7A86" w:rsidRPr="00AB491A" w:rsidRDefault="003D7A86" w:rsidP="007F346F">
            <w:pPr>
              <w:rPr>
                <w:sz w:val="18"/>
                <w:szCs w:val="18"/>
              </w:rPr>
            </w:pPr>
            <w:r>
              <w:rPr>
                <w:sz w:val="18"/>
                <w:szCs w:val="18"/>
              </w:rPr>
              <w:t>Target emissions reduction from livestock and crops by 2050 (%)</w:t>
            </w:r>
          </w:p>
        </w:tc>
        <w:tc>
          <w:tcPr>
            <w:tcW w:w="2693" w:type="dxa"/>
            <w:tcBorders>
              <w:top w:val="single" w:sz="4" w:space="0" w:color="auto"/>
              <w:left w:val="single" w:sz="4" w:space="0" w:color="auto"/>
              <w:bottom w:val="single" w:sz="4" w:space="0" w:color="auto"/>
              <w:right w:val="single" w:sz="4" w:space="0" w:color="auto"/>
            </w:tcBorders>
          </w:tcPr>
          <w:p w14:paraId="438B3912" w14:textId="5E20E5FF" w:rsidR="00663035" w:rsidRDefault="00663035" w:rsidP="007F346F">
            <w:pPr>
              <w:jc w:val="center"/>
              <w:rPr>
                <w:sz w:val="18"/>
                <w:szCs w:val="18"/>
              </w:rPr>
            </w:pPr>
            <w:r>
              <w:rPr>
                <w:sz w:val="18"/>
                <w:szCs w:val="18"/>
              </w:rPr>
              <w:t>Moderate Reduction</w:t>
            </w:r>
            <w:r w:rsidR="00FC2A52">
              <w:rPr>
                <w:sz w:val="18"/>
                <w:szCs w:val="18"/>
              </w:rPr>
              <w:t>s in 2030 and 2050</w:t>
            </w:r>
          </w:p>
          <w:p w14:paraId="3EFBE99F" w14:textId="2921DCBE" w:rsidR="003D7A86" w:rsidRDefault="003D7A86" w:rsidP="007F346F">
            <w:pPr>
              <w:jc w:val="center"/>
              <w:rPr>
                <w:sz w:val="18"/>
                <w:szCs w:val="18"/>
              </w:rPr>
            </w:pPr>
            <w:r>
              <w:rPr>
                <w:sz w:val="18"/>
                <w:szCs w:val="18"/>
              </w:rPr>
              <w:t>2030: 0.07</w:t>
            </w:r>
            <w:r w:rsidR="00F84F5B">
              <w:rPr>
                <w:sz w:val="18"/>
                <w:szCs w:val="18"/>
              </w:rPr>
              <w:t xml:space="preserve"> (7%)</w:t>
            </w:r>
            <w:r>
              <w:rPr>
                <w:sz w:val="18"/>
                <w:szCs w:val="18"/>
              </w:rPr>
              <w:t>; 0.05</w:t>
            </w:r>
            <w:r w:rsidR="00F84F5B">
              <w:rPr>
                <w:sz w:val="18"/>
                <w:szCs w:val="18"/>
              </w:rPr>
              <w:t xml:space="preserve"> (5%)</w:t>
            </w:r>
          </w:p>
          <w:p w14:paraId="613E4CAE" w14:textId="023011B9" w:rsidR="003D7A86" w:rsidRDefault="003D7A86" w:rsidP="007F346F">
            <w:pPr>
              <w:jc w:val="center"/>
              <w:rPr>
                <w:sz w:val="18"/>
                <w:szCs w:val="18"/>
              </w:rPr>
            </w:pPr>
            <w:r>
              <w:rPr>
                <w:sz w:val="18"/>
                <w:szCs w:val="18"/>
              </w:rPr>
              <w:t xml:space="preserve">2050: </w:t>
            </w:r>
            <w:r w:rsidR="000F312A">
              <w:rPr>
                <w:sz w:val="18"/>
                <w:szCs w:val="18"/>
              </w:rPr>
              <w:t>0.</w:t>
            </w:r>
            <w:r>
              <w:rPr>
                <w:sz w:val="18"/>
                <w:szCs w:val="18"/>
              </w:rPr>
              <w:t>15</w:t>
            </w:r>
            <w:r w:rsidR="00F84F5B">
              <w:rPr>
                <w:sz w:val="18"/>
                <w:szCs w:val="18"/>
              </w:rPr>
              <w:t xml:space="preserve"> (15%)</w:t>
            </w:r>
            <w:r>
              <w:rPr>
                <w:sz w:val="18"/>
                <w:szCs w:val="18"/>
              </w:rPr>
              <w:t xml:space="preserve">; </w:t>
            </w:r>
            <w:r w:rsidR="000F312A">
              <w:rPr>
                <w:sz w:val="18"/>
                <w:szCs w:val="18"/>
              </w:rPr>
              <w:t>0.</w:t>
            </w:r>
            <w:r>
              <w:rPr>
                <w:sz w:val="18"/>
                <w:szCs w:val="18"/>
              </w:rPr>
              <w:t>15</w:t>
            </w:r>
            <w:r w:rsidR="00F84F5B">
              <w:rPr>
                <w:sz w:val="18"/>
                <w:szCs w:val="18"/>
              </w:rPr>
              <w:t xml:space="preserve"> (15%)</w:t>
            </w:r>
          </w:p>
          <w:p w14:paraId="2E1099D6" w14:textId="77777777" w:rsidR="003D7A86" w:rsidRPr="00AB491A" w:rsidRDefault="003D7A86" w:rsidP="007F346F">
            <w:pPr>
              <w:jc w:val="center"/>
              <w:rPr>
                <w:sz w:val="18"/>
                <w:szCs w:val="18"/>
              </w:rPr>
            </w:pPr>
          </w:p>
        </w:tc>
        <w:tc>
          <w:tcPr>
            <w:tcW w:w="2552" w:type="dxa"/>
            <w:tcBorders>
              <w:top w:val="single" w:sz="4" w:space="0" w:color="auto"/>
              <w:left w:val="single" w:sz="4" w:space="0" w:color="auto"/>
              <w:bottom w:val="single" w:sz="4" w:space="0" w:color="auto"/>
              <w:right w:val="single" w:sz="4" w:space="0" w:color="auto"/>
            </w:tcBorders>
          </w:tcPr>
          <w:p w14:paraId="5E68421E" w14:textId="71AE8A2E" w:rsidR="00663035" w:rsidRDefault="00FC2A52" w:rsidP="007F346F">
            <w:pPr>
              <w:jc w:val="center"/>
              <w:rPr>
                <w:sz w:val="18"/>
                <w:szCs w:val="18"/>
              </w:rPr>
            </w:pPr>
            <w:r>
              <w:rPr>
                <w:sz w:val="18"/>
                <w:szCs w:val="18"/>
              </w:rPr>
              <w:t xml:space="preserve">Rapid </w:t>
            </w:r>
            <w:r w:rsidR="00663035">
              <w:rPr>
                <w:sz w:val="18"/>
                <w:szCs w:val="18"/>
              </w:rPr>
              <w:t>Reduction</w:t>
            </w:r>
            <w:r>
              <w:rPr>
                <w:sz w:val="18"/>
                <w:szCs w:val="18"/>
              </w:rPr>
              <w:t>s by 2030 and 2050</w:t>
            </w:r>
          </w:p>
          <w:p w14:paraId="4DEA6C6D" w14:textId="0B55A57F" w:rsidR="003D7A86" w:rsidRDefault="003D7A86" w:rsidP="007F346F">
            <w:pPr>
              <w:jc w:val="center"/>
              <w:rPr>
                <w:sz w:val="18"/>
                <w:szCs w:val="18"/>
              </w:rPr>
            </w:pPr>
            <w:r>
              <w:rPr>
                <w:sz w:val="18"/>
                <w:szCs w:val="18"/>
              </w:rPr>
              <w:t>2030: 0.4</w:t>
            </w:r>
            <w:r w:rsidR="00F84F5B">
              <w:rPr>
                <w:sz w:val="18"/>
                <w:szCs w:val="18"/>
              </w:rPr>
              <w:t xml:space="preserve"> (40%)</w:t>
            </w:r>
            <w:r>
              <w:rPr>
                <w:sz w:val="18"/>
                <w:szCs w:val="18"/>
              </w:rPr>
              <w:t>; 0.1</w:t>
            </w:r>
            <w:r w:rsidR="00F84F5B">
              <w:rPr>
                <w:sz w:val="18"/>
                <w:szCs w:val="18"/>
              </w:rPr>
              <w:t>(10%)</w:t>
            </w:r>
          </w:p>
          <w:p w14:paraId="354E6897" w14:textId="7CEFC50B" w:rsidR="003D7A86" w:rsidRPr="00AB491A" w:rsidRDefault="003D7A86" w:rsidP="007F346F">
            <w:pPr>
              <w:jc w:val="center"/>
              <w:rPr>
                <w:sz w:val="18"/>
                <w:szCs w:val="18"/>
              </w:rPr>
            </w:pPr>
            <w:r>
              <w:rPr>
                <w:sz w:val="18"/>
                <w:szCs w:val="18"/>
              </w:rPr>
              <w:t>2050: 0.83</w:t>
            </w:r>
            <w:r w:rsidR="00F84F5B">
              <w:rPr>
                <w:sz w:val="18"/>
                <w:szCs w:val="18"/>
              </w:rPr>
              <w:t xml:space="preserve"> (83%)</w:t>
            </w:r>
            <w:r>
              <w:rPr>
                <w:sz w:val="18"/>
                <w:szCs w:val="18"/>
              </w:rPr>
              <w:t xml:space="preserve">; 0.27 </w:t>
            </w:r>
            <w:r w:rsidR="00F84F5B">
              <w:rPr>
                <w:sz w:val="18"/>
                <w:szCs w:val="18"/>
              </w:rPr>
              <w:t>(27%)</w:t>
            </w:r>
          </w:p>
        </w:tc>
        <w:tc>
          <w:tcPr>
            <w:tcW w:w="4110" w:type="dxa"/>
            <w:tcBorders>
              <w:top w:val="single" w:sz="4" w:space="0" w:color="auto"/>
              <w:left w:val="single" w:sz="4" w:space="0" w:color="auto"/>
              <w:bottom w:val="single" w:sz="4" w:space="0" w:color="auto"/>
            </w:tcBorders>
          </w:tcPr>
          <w:p w14:paraId="0FD4DFF8" w14:textId="44AE9A0A" w:rsidR="003D7A86" w:rsidRPr="00AB491A" w:rsidRDefault="003D7A86" w:rsidP="007F7C50">
            <w:pPr>
              <w:rPr>
                <w:sz w:val="18"/>
                <w:szCs w:val="18"/>
              </w:rPr>
            </w:pPr>
            <w:r w:rsidRPr="00474916">
              <w:rPr>
                <w:sz w:val="18"/>
                <w:szCs w:val="18"/>
              </w:rPr>
              <w:t xml:space="preserve">Estimates for reduction in agriculture emissions based on </w:t>
            </w:r>
            <w:r w:rsidR="009F0972">
              <w:rPr>
                <w:sz w:val="18"/>
                <w:szCs w:val="18"/>
              </w:rPr>
              <w:t xml:space="preserve">mitigation pathways from </w:t>
            </w:r>
            <w:r w:rsidR="009F0972">
              <w:rPr>
                <w:sz w:val="18"/>
                <w:szCs w:val="18"/>
              </w:rPr>
              <w:fldChar w:fldCharType="begin"/>
            </w:r>
            <w:r w:rsidR="009F0972">
              <w:rPr>
                <w:sz w:val="18"/>
                <w:szCs w:val="18"/>
              </w:rPr>
              <w:instrText xml:space="preserve"> ADDIN EN.CITE &lt;EndNote&gt;&lt;Cite AuthorYear="1"&gt;&lt;Author&gt;ClimateWorks Australia&lt;/Author&gt;&lt;Year&gt;2020&lt;/Year&gt;&lt;RecNum&gt;1484&lt;/RecNum&gt;&lt;DisplayText&gt;ClimateWorks Australia (2020)&lt;/DisplayText&gt;&lt;record&gt;&lt;rec-number&gt;1484&lt;/rec-number&gt;&lt;foreign-keys&gt;&lt;key app="EN" db-id="9vsrvaat7fadwtesfsrpw5w5t0x5v500ef25" timestamp="1600963142"&gt;1484&lt;/key&gt;&lt;/foreign-keys&gt;&lt;ref-type name="Generic"&gt;13&lt;/ref-type&gt;&lt;contributors&gt;&lt;authors&gt;&lt;author&gt;ClimateWorks Australia,&lt;/author&gt;&lt;/authors&gt;&lt;/contributors&gt;&lt;titles&gt;&lt;title&gt;Decarbonisation Futures: Solutions, actions and benchmarks for a net zero emissions Australia&lt;/title&gt;&lt;/titles&gt;&lt;dates&gt;&lt;year&gt;2020&lt;/year&gt;&lt;/dates&gt;&lt;pub-location&gt;Melbourne&lt;/pub-location&gt;&lt;publisher&gt;ClimateWorks&lt;/publisher&gt;&lt;urls&gt;&lt;/urls&gt;&lt;/record&gt;&lt;/Cite&gt;&lt;/EndNote&gt;</w:instrText>
            </w:r>
            <w:r w:rsidR="009F0972">
              <w:rPr>
                <w:sz w:val="18"/>
                <w:szCs w:val="18"/>
              </w:rPr>
              <w:fldChar w:fldCharType="separate"/>
            </w:r>
            <w:r w:rsidR="009F0972">
              <w:rPr>
                <w:noProof/>
                <w:sz w:val="18"/>
                <w:szCs w:val="18"/>
              </w:rPr>
              <w:t>ClimateWorks Australia (2020)</w:t>
            </w:r>
            <w:r w:rsidR="009F0972">
              <w:rPr>
                <w:sz w:val="18"/>
                <w:szCs w:val="18"/>
              </w:rPr>
              <w:fldChar w:fldCharType="end"/>
            </w:r>
            <w:r w:rsidR="007F7C50">
              <w:rPr>
                <w:sz w:val="18"/>
                <w:szCs w:val="18"/>
              </w:rPr>
              <w:t xml:space="preserve"> - </w:t>
            </w:r>
            <w:r w:rsidRPr="00474916">
              <w:rPr>
                <w:sz w:val="18"/>
                <w:szCs w:val="18"/>
              </w:rPr>
              <w:t>medium and high ambition</w:t>
            </w:r>
            <w:r w:rsidR="007F7C50">
              <w:rPr>
                <w:sz w:val="18"/>
                <w:szCs w:val="18"/>
              </w:rPr>
              <w:t xml:space="preserve"> scenarios.</w:t>
            </w:r>
            <w:r w:rsidR="000F312A">
              <w:rPr>
                <w:sz w:val="18"/>
                <w:szCs w:val="18"/>
              </w:rPr>
              <w:t xml:space="preserve"> </w:t>
            </w:r>
          </w:p>
        </w:tc>
      </w:tr>
      <w:tr w:rsidR="003D7A86" w:rsidRPr="00AB491A" w14:paraId="1B03C7AB" w14:textId="77777777" w:rsidTr="002D17A6">
        <w:tc>
          <w:tcPr>
            <w:tcW w:w="2263" w:type="dxa"/>
            <w:tcBorders>
              <w:top w:val="single" w:sz="4" w:space="0" w:color="auto"/>
              <w:bottom w:val="single" w:sz="4" w:space="0" w:color="auto"/>
              <w:right w:val="single" w:sz="4" w:space="0" w:color="auto"/>
            </w:tcBorders>
          </w:tcPr>
          <w:p w14:paraId="5CB41D1D"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04CDBD54" w14:textId="77777777" w:rsidR="003D7A86" w:rsidRPr="00AB491A" w:rsidRDefault="003D7A86" w:rsidP="007F346F">
            <w:pPr>
              <w:rPr>
                <w:sz w:val="18"/>
                <w:szCs w:val="18"/>
              </w:rPr>
            </w:pPr>
          </w:p>
        </w:tc>
        <w:tc>
          <w:tcPr>
            <w:tcW w:w="2693" w:type="dxa"/>
            <w:tcBorders>
              <w:top w:val="single" w:sz="4" w:space="0" w:color="auto"/>
              <w:left w:val="single" w:sz="4" w:space="0" w:color="auto"/>
              <w:bottom w:val="single" w:sz="4" w:space="0" w:color="auto"/>
              <w:right w:val="single" w:sz="4" w:space="0" w:color="auto"/>
            </w:tcBorders>
          </w:tcPr>
          <w:p w14:paraId="63E4E02F" w14:textId="77777777" w:rsidR="003D7A86" w:rsidRPr="00AB491A" w:rsidRDefault="003D7A86" w:rsidP="007F346F">
            <w:pPr>
              <w:jc w:val="center"/>
              <w:rPr>
                <w:sz w:val="18"/>
                <w:szCs w:val="18"/>
              </w:rPr>
            </w:pPr>
          </w:p>
        </w:tc>
        <w:tc>
          <w:tcPr>
            <w:tcW w:w="2552" w:type="dxa"/>
            <w:tcBorders>
              <w:top w:val="single" w:sz="4" w:space="0" w:color="auto"/>
              <w:left w:val="single" w:sz="4" w:space="0" w:color="auto"/>
              <w:bottom w:val="single" w:sz="4" w:space="0" w:color="auto"/>
              <w:right w:val="single" w:sz="4" w:space="0" w:color="auto"/>
            </w:tcBorders>
          </w:tcPr>
          <w:p w14:paraId="5E794C68" w14:textId="77777777" w:rsidR="003D7A86" w:rsidRPr="00AB491A" w:rsidRDefault="003D7A86" w:rsidP="007F346F">
            <w:pPr>
              <w:jc w:val="center"/>
              <w:rPr>
                <w:sz w:val="18"/>
                <w:szCs w:val="18"/>
              </w:rPr>
            </w:pPr>
          </w:p>
        </w:tc>
        <w:tc>
          <w:tcPr>
            <w:tcW w:w="4110" w:type="dxa"/>
            <w:tcBorders>
              <w:top w:val="single" w:sz="4" w:space="0" w:color="auto"/>
              <w:left w:val="single" w:sz="4" w:space="0" w:color="auto"/>
              <w:bottom w:val="single" w:sz="4" w:space="0" w:color="auto"/>
            </w:tcBorders>
          </w:tcPr>
          <w:p w14:paraId="6E7509BF" w14:textId="77777777" w:rsidR="003D7A86" w:rsidRPr="00AB491A" w:rsidRDefault="003D7A86" w:rsidP="007F346F">
            <w:pPr>
              <w:rPr>
                <w:sz w:val="18"/>
                <w:szCs w:val="18"/>
              </w:rPr>
            </w:pPr>
          </w:p>
        </w:tc>
      </w:tr>
      <w:tr w:rsidR="003D7A86" w:rsidRPr="00AB491A" w14:paraId="427E9247" w14:textId="77777777" w:rsidTr="002D17A6">
        <w:tc>
          <w:tcPr>
            <w:tcW w:w="2263" w:type="dxa"/>
            <w:tcBorders>
              <w:top w:val="single" w:sz="4" w:space="0" w:color="auto"/>
              <w:bottom w:val="single" w:sz="4" w:space="0" w:color="auto"/>
              <w:right w:val="single" w:sz="4" w:space="0" w:color="auto"/>
            </w:tcBorders>
            <w:shd w:val="clear" w:color="auto" w:fill="D9D9D9" w:themeFill="background1" w:themeFillShade="D9"/>
          </w:tcPr>
          <w:p w14:paraId="7B0FB885"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526B882" w14:textId="77777777" w:rsidR="003D7A86" w:rsidRPr="00AB491A" w:rsidRDefault="003D7A86" w:rsidP="007F346F">
            <w:pPr>
              <w:rPr>
                <w:sz w:val="18"/>
                <w:szCs w:val="18"/>
              </w:rPr>
            </w:pP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981262C" w14:textId="77777777" w:rsidR="003D7A86" w:rsidRPr="00AB491A" w:rsidRDefault="003D7A86" w:rsidP="007F346F">
            <w:pPr>
              <w:jc w:val="center"/>
              <w:rPr>
                <w:sz w:val="18"/>
                <w:szCs w:val="18"/>
              </w:rPr>
            </w:pP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AA242BF" w14:textId="77777777" w:rsidR="003D7A86" w:rsidRPr="00AB491A" w:rsidRDefault="003D7A86" w:rsidP="007F346F">
            <w:pPr>
              <w:jc w:val="center"/>
              <w:rPr>
                <w:sz w:val="18"/>
                <w:szCs w:val="18"/>
              </w:rPr>
            </w:pPr>
          </w:p>
        </w:tc>
        <w:tc>
          <w:tcPr>
            <w:tcW w:w="4110" w:type="dxa"/>
            <w:tcBorders>
              <w:top w:val="single" w:sz="4" w:space="0" w:color="auto"/>
              <w:left w:val="single" w:sz="4" w:space="0" w:color="auto"/>
              <w:bottom w:val="single" w:sz="4" w:space="0" w:color="auto"/>
            </w:tcBorders>
            <w:shd w:val="clear" w:color="auto" w:fill="D9D9D9" w:themeFill="background1" w:themeFillShade="D9"/>
          </w:tcPr>
          <w:p w14:paraId="4DE76E48" w14:textId="77777777" w:rsidR="003D7A86" w:rsidRPr="00AB491A" w:rsidRDefault="003D7A86" w:rsidP="007F346F">
            <w:pPr>
              <w:rPr>
                <w:sz w:val="18"/>
                <w:szCs w:val="18"/>
              </w:rPr>
            </w:pPr>
          </w:p>
        </w:tc>
      </w:tr>
      <w:tr w:rsidR="003D7A86" w:rsidRPr="00AB491A" w14:paraId="0309ED40" w14:textId="77777777" w:rsidTr="002D17A6">
        <w:tc>
          <w:tcPr>
            <w:tcW w:w="2263" w:type="dxa"/>
            <w:tcBorders>
              <w:top w:val="single" w:sz="4" w:space="0" w:color="auto"/>
              <w:bottom w:val="single" w:sz="4" w:space="0" w:color="auto"/>
              <w:right w:val="single" w:sz="4" w:space="0" w:color="auto"/>
            </w:tcBorders>
          </w:tcPr>
          <w:p w14:paraId="0CBE8AA2" w14:textId="77777777" w:rsidR="003D7A86" w:rsidRPr="00AB491A" w:rsidRDefault="003D7A86" w:rsidP="007F346F">
            <w:pPr>
              <w:rPr>
                <w:sz w:val="18"/>
                <w:szCs w:val="18"/>
              </w:rPr>
            </w:pPr>
            <w:r>
              <w:rPr>
                <w:sz w:val="18"/>
                <w:szCs w:val="18"/>
              </w:rPr>
              <w:t>4. Energy Decarbonisation with Universal Access</w:t>
            </w:r>
          </w:p>
        </w:tc>
        <w:tc>
          <w:tcPr>
            <w:tcW w:w="2557" w:type="dxa"/>
            <w:tcBorders>
              <w:top w:val="single" w:sz="4" w:space="0" w:color="auto"/>
              <w:left w:val="single" w:sz="4" w:space="0" w:color="auto"/>
              <w:bottom w:val="single" w:sz="4" w:space="0" w:color="auto"/>
              <w:right w:val="single" w:sz="4" w:space="0" w:color="auto"/>
            </w:tcBorders>
          </w:tcPr>
          <w:p w14:paraId="04D91E5B" w14:textId="520077C1" w:rsidR="003D7A86" w:rsidRPr="00AB491A" w:rsidRDefault="003D7A86" w:rsidP="007F346F">
            <w:pPr>
              <w:rPr>
                <w:sz w:val="18"/>
                <w:szCs w:val="18"/>
              </w:rPr>
            </w:pPr>
            <w:r>
              <w:rPr>
                <w:sz w:val="18"/>
                <w:szCs w:val="18"/>
              </w:rPr>
              <w:t>Additional large-scale hydropower capacity expenditure as % GDP</w:t>
            </w:r>
          </w:p>
        </w:tc>
        <w:tc>
          <w:tcPr>
            <w:tcW w:w="2693" w:type="dxa"/>
            <w:tcBorders>
              <w:top w:val="single" w:sz="4" w:space="0" w:color="auto"/>
              <w:left w:val="single" w:sz="4" w:space="0" w:color="auto"/>
              <w:bottom w:val="single" w:sz="4" w:space="0" w:color="auto"/>
              <w:right w:val="single" w:sz="4" w:space="0" w:color="auto"/>
            </w:tcBorders>
          </w:tcPr>
          <w:p w14:paraId="186E30B3" w14:textId="77777777" w:rsidR="003D7A86" w:rsidRPr="00AB491A" w:rsidRDefault="003D7A86" w:rsidP="007F346F">
            <w:pPr>
              <w:jc w:val="center"/>
              <w:rPr>
                <w:sz w:val="18"/>
                <w:szCs w:val="18"/>
              </w:rPr>
            </w:pPr>
            <w:r>
              <w:rPr>
                <w:sz w:val="18"/>
                <w:szCs w:val="18"/>
              </w:rPr>
              <w:t>None</w:t>
            </w:r>
          </w:p>
        </w:tc>
        <w:tc>
          <w:tcPr>
            <w:tcW w:w="2552" w:type="dxa"/>
            <w:tcBorders>
              <w:top w:val="single" w:sz="4" w:space="0" w:color="auto"/>
              <w:left w:val="single" w:sz="4" w:space="0" w:color="auto"/>
              <w:bottom w:val="single" w:sz="4" w:space="0" w:color="auto"/>
              <w:right w:val="single" w:sz="4" w:space="0" w:color="auto"/>
            </w:tcBorders>
          </w:tcPr>
          <w:p w14:paraId="68774A29" w14:textId="30E73A6B" w:rsidR="00FF512F" w:rsidRDefault="00FF512F" w:rsidP="007F346F">
            <w:pPr>
              <w:jc w:val="center"/>
              <w:rPr>
                <w:sz w:val="18"/>
                <w:szCs w:val="18"/>
              </w:rPr>
            </w:pPr>
            <w:r>
              <w:rPr>
                <w:sz w:val="18"/>
                <w:szCs w:val="18"/>
              </w:rPr>
              <w:t>Additional investment to 2025</w:t>
            </w:r>
          </w:p>
          <w:p w14:paraId="564EF9E0" w14:textId="0A209263" w:rsidR="003D7A86" w:rsidRDefault="003D7A86" w:rsidP="007F346F">
            <w:pPr>
              <w:jc w:val="center"/>
              <w:rPr>
                <w:sz w:val="18"/>
                <w:szCs w:val="18"/>
              </w:rPr>
            </w:pPr>
            <w:r>
              <w:rPr>
                <w:sz w:val="18"/>
                <w:szCs w:val="18"/>
              </w:rPr>
              <w:t>2025:</w:t>
            </w:r>
            <w:r w:rsidR="00FF512F">
              <w:rPr>
                <w:sz w:val="18"/>
                <w:szCs w:val="18"/>
              </w:rPr>
              <w:t xml:space="preserve"> </w:t>
            </w:r>
            <w:r>
              <w:rPr>
                <w:sz w:val="18"/>
                <w:szCs w:val="18"/>
              </w:rPr>
              <w:t>0.1</w:t>
            </w:r>
          </w:p>
          <w:p w14:paraId="2ED4DEB8" w14:textId="77777777" w:rsidR="003D7A86" w:rsidRPr="00AB491A" w:rsidRDefault="003D7A86" w:rsidP="007F346F">
            <w:pPr>
              <w:jc w:val="center"/>
              <w:rPr>
                <w:sz w:val="18"/>
                <w:szCs w:val="18"/>
              </w:rPr>
            </w:pPr>
            <w:r>
              <w:rPr>
                <w:sz w:val="18"/>
                <w:szCs w:val="18"/>
              </w:rPr>
              <w:t>2030: 0</w:t>
            </w:r>
          </w:p>
        </w:tc>
        <w:tc>
          <w:tcPr>
            <w:tcW w:w="4110" w:type="dxa"/>
            <w:tcBorders>
              <w:top w:val="single" w:sz="4" w:space="0" w:color="auto"/>
              <w:left w:val="single" w:sz="4" w:space="0" w:color="auto"/>
              <w:bottom w:val="single" w:sz="4" w:space="0" w:color="auto"/>
            </w:tcBorders>
          </w:tcPr>
          <w:p w14:paraId="3770F23D" w14:textId="77777777" w:rsidR="003D7A86" w:rsidRPr="00AB491A" w:rsidRDefault="003D7A86" w:rsidP="007F346F">
            <w:pPr>
              <w:rPr>
                <w:sz w:val="18"/>
                <w:szCs w:val="18"/>
              </w:rPr>
            </w:pPr>
            <w:r>
              <w:rPr>
                <w:sz w:val="18"/>
                <w:szCs w:val="18"/>
              </w:rPr>
              <w:t>B</w:t>
            </w:r>
            <w:r w:rsidRPr="00605747">
              <w:rPr>
                <w:sz w:val="18"/>
                <w:szCs w:val="18"/>
              </w:rPr>
              <w:t xml:space="preserve">ased on CSIRO and </w:t>
            </w:r>
            <w:proofErr w:type="spellStart"/>
            <w:r w:rsidRPr="00605747">
              <w:rPr>
                <w:sz w:val="18"/>
                <w:szCs w:val="18"/>
              </w:rPr>
              <w:t>ClimateWorks</w:t>
            </w:r>
            <w:proofErr w:type="spellEnd"/>
            <w:r w:rsidRPr="00605747">
              <w:rPr>
                <w:sz w:val="18"/>
                <w:szCs w:val="18"/>
              </w:rPr>
              <w:t xml:space="preserve"> </w:t>
            </w:r>
            <w:r w:rsidRPr="00605747">
              <w:rPr>
                <w:sz w:val="18"/>
                <w:szCs w:val="18"/>
              </w:rPr>
              <w:fldChar w:fldCharType="begin">
                <w:fldData xml:space="preserve">PEVuZE5vdGU+PENpdGU+PEF1dGhvcj5HcmFoYW08L0F1dGhvcj48WWVhcj4yMDE4PC9ZZWFyPjxS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</w:fldData>
              </w:fldChar>
            </w:r>
            <w:r w:rsidRPr="00605747">
              <w:rPr>
                <w:sz w:val="18"/>
                <w:szCs w:val="18"/>
              </w:rPr>
              <w:instrText xml:space="preserve"> ADDIN EN.CITE </w:instrText>
            </w:r>
            <w:r w:rsidRPr="00605747">
              <w:rPr>
                <w:sz w:val="18"/>
                <w:szCs w:val="18"/>
              </w:rPr>
              <w:fldChar w:fldCharType="begin">
                <w:fldData xml:space="preserve">PEVuZE5vdGU+PENpdGU+PEF1dGhvcj5HcmFoYW08L0F1dGhvcj48WWVhcj4yMDE4PC9ZZWFyPjxS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</w:fldData>
              </w:fldChar>
            </w:r>
            <w:r w:rsidRPr="00605747">
              <w:rPr>
                <w:sz w:val="18"/>
                <w:szCs w:val="18"/>
              </w:rPr>
              <w:instrText xml:space="preserve"> ADDIN EN.CITE.DATA </w:instrText>
            </w:r>
            <w:r w:rsidRPr="00605747">
              <w:rPr>
                <w:sz w:val="18"/>
                <w:szCs w:val="18"/>
              </w:rPr>
            </w:r>
            <w:r w:rsidRPr="00605747">
              <w:rPr>
                <w:sz w:val="18"/>
                <w:szCs w:val="18"/>
              </w:rPr>
              <w:fldChar w:fldCharType="end"/>
            </w:r>
            <w:r w:rsidRPr="00605747">
              <w:rPr>
                <w:sz w:val="18"/>
                <w:szCs w:val="18"/>
              </w:rPr>
            </w:r>
            <w:r w:rsidRPr="00605747">
              <w:rPr>
                <w:sz w:val="18"/>
                <w:szCs w:val="18"/>
              </w:rPr>
              <w:fldChar w:fldCharType="separate"/>
            </w:r>
            <w:r w:rsidRPr="00605747">
              <w:rPr>
                <w:sz w:val="18"/>
                <w:szCs w:val="18"/>
              </w:rPr>
              <w:t xml:space="preserve">(Graham et al., 2018, Hayward and Graham, 2017, </w:t>
            </w:r>
            <w:proofErr w:type="spellStart"/>
            <w:r w:rsidRPr="00605747">
              <w:rPr>
                <w:sz w:val="18"/>
                <w:szCs w:val="18"/>
              </w:rPr>
              <w:t>ClimateWorks</w:t>
            </w:r>
            <w:proofErr w:type="spellEnd"/>
            <w:r w:rsidRPr="00605747">
              <w:rPr>
                <w:sz w:val="18"/>
                <w:szCs w:val="18"/>
              </w:rPr>
              <w:t xml:space="preserve"> Australia, 2020)</w:t>
            </w:r>
            <w:r w:rsidRPr="00605747">
              <w:rPr>
                <w:sz w:val="18"/>
                <w:szCs w:val="18"/>
              </w:rPr>
              <w:fldChar w:fldCharType="end"/>
            </w:r>
          </w:p>
        </w:tc>
      </w:tr>
      <w:tr w:rsidR="003D7A86" w:rsidRPr="00AB491A" w14:paraId="6EFD4593" w14:textId="77777777" w:rsidTr="002D17A6">
        <w:tc>
          <w:tcPr>
            <w:tcW w:w="2263" w:type="dxa"/>
            <w:tcBorders>
              <w:top w:val="single" w:sz="4" w:space="0" w:color="auto"/>
              <w:bottom w:val="single" w:sz="4" w:space="0" w:color="auto"/>
              <w:right w:val="single" w:sz="4" w:space="0" w:color="auto"/>
            </w:tcBorders>
          </w:tcPr>
          <w:p w14:paraId="2EDF509F"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4824A939" w14:textId="5CBF4972" w:rsidR="003D7A86" w:rsidRPr="00AB491A" w:rsidRDefault="003D7A86" w:rsidP="007F346F">
            <w:pPr>
              <w:rPr>
                <w:sz w:val="18"/>
                <w:szCs w:val="18"/>
              </w:rPr>
            </w:pPr>
            <w:r>
              <w:rPr>
                <w:sz w:val="18"/>
                <w:szCs w:val="18"/>
              </w:rPr>
              <w:t>Additional small- and large-scale photovoltaic capacity</w:t>
            </w:r>
            <w:r w:rsidR="00EA458E">
              <w:rPr>
                <w:sz w:val="18"/>
                <w:szCs w:val="18"/>
              </w:rPr>
              <w:t xml:space="preserve"> expenditure</w:t>
            </w:r>
            <w:r>
              <w:rPr>
                <w:sz w:val="18"/>
                <w:szCs w:val="18"/>
              </w:rPr>
              <w:t xml:space="preserve"> as % GDP</w:t>
            </w:r>
          </w:p>
        </w:tc>
        <w:tc>
          <w:tcPr>
            <w:tcW w:w="2693" w:type="dxa"/>
            <w:tcBorders>
              <w:top w:val="single" w:sz="4" w:space="0" w:color="auto"/>
              <w:left w:val="single" w:sz="4" w:space="0" w:color="auto"/>
              <w:bottom w:val="single" w:sz="4" w:space="0" w:color="auto"/>
              <w:right w:val="single" w:sz="4" w:space="0" w:color="auto"/>
            </w:tcBorders>
          </w:tcPr>
          <w:p w14:paraId="417CC8CC" w14:textId="4B4D2009" w:rsidR="003D7A86" w:rsidRPr="00AB491A" w:rsidRDefault="00EA458E" w:rsidP="007F346F">
            <w:pPr>
              <w:jc w:val="center"/>
              <w:rPr>
                <w:sz w:val="18"/>
                <w:szCs w:val="18"/>
              </w:rPr>
            </w:pPr>
            <w:r>
              <w:rPr>
                <w:sz w:val="18"/>
                <w:szCs w:val="18"/>
              </w:rPr>
              <w:t>None</w:t>
            </w:r>
          </w:p>
        </w:tc>
        <w:tc>
          <w:tcPr>
            <w:tcW w:w="2552" w:type="dxa"/>
            <w:tcBorders>
              <w:top w:val="single" w:sz="4" w:space="0" w:color="auto"/>
              <w:left w:val="single" w:sz="4" w:space="0" w:color="auto"/>
              <w:bottom w:val="single" w:sz="4" w:space="0" w:color="auto"/>
              <w:right w:val="single" w:sz="4" w:space="0" w:color="auto"/>
            </w:tcBorders>
          </w:tcPr>
          <w:p w14:paraId="6D231E21" w14:textId="3D3C3843" w:rsidR="00EA458E" w:rsidRDefault="00EA458E" w:rsidP="007F346F">
            <w:pPr>
              <w:jc w:val="center"/>
              <w:rPr>
                <w:sz w:val="18"/>
                <w:szCs w:val="18"/>
              </w:rPr>
            </w:pPr>
            <w:r>
              <w:rPr>
                <w:sz w:val="18"/>
                <w:szCs w:val="18"/>
              </w:rPr>
              <w:t>Additional investment to 2030</w:t>
            </w:r>
          </w:p>
          <w:p w14:paraId="6B3012D2" w14:textId="3171930D" w:rsidR="003D7A86" w:rsidRDefault="003D7A86" w:rsidP="007F346F">
            <w:pPr>
              <w:jc w:val="center"/>
              <w:rPr>
                <w:sz w:val="18"/>
                <w:szCs w:val="18"/>
              </w:rPr>
            </w:pPr>
            <w:r>
              <w:rPr>
                <w:sz w:val="18"/>
                <w:szCs w:val="18"/>
              </w:rPr>
              <w:t>2020: 0.05; 0.015</w:t>
            </w:r>
          </w:p>
          <w:p w14:paraId="2E4F04E4" w14:textId="77777777" w:rsidR="003D7A86" w:rsidRDefault="003D7A86" w:rsidP="007F346F">
            <w:pPr>
              <w:jc w:val="center"/>
              <w:rPr>
                <w:sz w:val="18"/>
                <w:szCs w:val="18"/>
              </w:rPr>
            </w:pPr>
            <w:r>
              <w:rPr>
                <w:sz w:val="18"/>
                <w:szCs w:val="18"/>
              </w:rPr>
              <w:t>2021: 0.4; 0.025</w:t>
            </w:r>
          </w:p>
          <w:p w14:paraId="287B6962" w14:textId="77777777" w:rsidR="003D7A86" w:rsidRDefault="003D7A86" w:rsidP="007F346F">
            <w:pPr>
              <w:jc w:val="center"/>
              <w:rPr>
                <w:sz w:val="18"/>
                <w:szCs w:val="18"/>
              </w:rPr>
            </w:pPr>
            <w:r>
              <w:rPr>
                <w:sz w:val="18"/>
                <w:szCs w:val="18"/>
              </w:rPr>
              <w:t>2022: 0.35; 0.025</w:t>
            </w:r>
          </w:p>
          <w:p w14:paraId="2186A42D" w14:textId="77777777" w:rsidR="003D7A86" w:rsidRPr="00AB491A" w:rsidRDefault="003D7A86" w:rsidP="007F346F">
            <w:pPr>
              <w:jc w:val="center"/>
              <w:rPr>
                <w:sz w:val="18"/>
                <w:szCs w:val="18"/>
              </w:rPr>
            </w:pPr>
            <w:r>
              <w:rPr>
                <w:sz w:val="18"/>
                <w:szCs w:val="18"/>
              </w:rPr>
              <w:t>2023-2030: 0.35; 0.02</w:t>
            </w:r>
          </w:p>
        </w:tc>
        <w:tc>
          <w:tcPr>
            <w:tcW w:w="4110" w:type="dxa"/>
            <w:tcBorders>
              <w:top w:val="single" w:sz="4" w:space="0" w:color="auto"/>
              <w:left w:val="single" w:sz="4" w:space="0" w:color="auto"/>
              <w:bottom w:val="single" w:sz="4" w:space="0" w:color="auto"/>
            </w:tcBorders>
          </w:tcPr>
          <w:p w14:paraId="45552871" w14:textId="4C4D71F6" w:rsidR="003D7A86" w:rsidRPr="00AB491A" w:rsidRDefault="00E909E9" w:rsidP="007F346F">
            <w:pPr>
              <w:rPr>
                <w:sz w:val="18"/>
                <w:szCs w:val="18"/>
              </w:rPr>
            </w:pPr>
            <w:r>
              <w:rPr>
                <w:sz w:val="18"/>
                <w:szCs w:val="18"/>
              </w:rPr>
              <w:t>SWT</w:t>
            </w:r>
            <w:r w:rsidR="003D7A86">
              <w:rPr>
                <w:sz w:val="18"/>
                <w:szCs w:val="18"/>
              </w:rPr>
              <w:t xml:space="preserve"> - Additional investment in supporting infrastructure; grid upgrades. B</w:t>
            </w:r>
            <w:r w:rsidR="003D7A86" w:rsidRPr="00605747">
              <w:rPr>
                <w:sz w:val="18"/>
                <w:szCs w:val="18"/>
              </w:rPr>
              <w:t xml:space="preserve">ased on CSIRO and </w:t>
            </w:r>
            <w:proofErr w:type="spellStart"/>
            <w:r w:rsidR="003D7A86" w:rsidRPr="00605747">
              <w:rPr>
                <w:sz w:val="18"/>
                <w:szCs w:val="18"/>
              </w:rPr>
              <w:t>ClimateWorks</w:t>
            </w:r>
            <w:proofErr w:type="spellEnd"/>
            <w:r w:rsidR="003D7A86" w:rsidRPr="00605747">
              <w:rPr>
                <w:sz w:val="18"/>
                <w:szCs w:val="18"/>
              </w:rPr>
              <w:t xml:space="preserve"> </w:t>
            </w:r>
            <w:r w:rsidR="003D7A86" w:rsidRPr="00605747">
              <w:rPr>
                <w:sz w:val="18"/>
                <w:szCs w:val="18"/>
              </w:rPr>
              <w:fldChar w:fldCharType="begin">
                <w:fldData xml:space="preserve">PEVuZE5vdGU+PENpdGU+PEF1dGhvcj5HcmFoYW08L0F1dGhvcj48WWVhcj4yMDE4PC9ZZWFyPjxS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</w:fldData>
              </w:fldChar>
            </w:r>
            <w:r w:rsidR="003D7A86" w:rsidRPr="00605747">
              <w:rPr>
                <w:sz w:val="18"/>
                <w:szCs w:val="18"/>
              </w:rPr>
              <w:instrText xml:space="preserve"> ADDIN EN.CITE </w:instrText>
            </w:r>
            <w:r w:rsidR="003D7A86" w:rsidRPr="00605747">
              <w:rPr>
                <w:sz w:val="18"/>
                <w:szCs w:val="18"/>
              </w:rPr>
              <w:fldChar w:fldCharType="begin">
                <w:fldData xml:space="preserve">PEVuZE5vdGU+PENpdGU+PEF1dGhvcj5HcmFoYW08L0F1dGhvcj48WWVhcj4yMDE4PC9ZZWFyPjxS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</w:fldData>
              </w:fldChar>
            </w:r>
            <w:r w:rsidR="003D7A86" w:rsidRPr="00605747">
              <w:rPr>
                <w:sz w:val="18"/>
                <w:szCs w:val="18"/>
              </w:rPr>
              <w:instrText xml:space="preserve"> ADDIN EN.CITE.DATA </w:instrText>
            </w:r>
            <w:r w:rsidR="003D7A86" w:rsidRPr="00605747">
              <w:rPr>
                <w:sz w:val="18"/>
                <w:szCs w:val="18"/>
              </w:rPr>
            </w:r>
            <w:r w:rsidR="003D7A86" w:rsidRPr="00605747">
              <w:rPr>
                <w:sz w:val="18"/>
                <w:szCs w:val="18"/>
              </w:rPr>
              <w:fldChar w:fldCharType="end"/>
            </w:r>
            <w:r w:rsidR="003D7A86" w:rsidRPr="00605747">
              <w:rPr>
                <w:sz w:val="18"/>
                <w:szCs w:val="18"/>
              </w:rPr>
            </w:r>
            <w:r w:rsidR="003D7A86" w:rsidRPr="00605747">
              <w:rPr>
                <w:sz w:val="18"/>
                <w:szCs w:val="18"/>
              </w:rPr>
              <w:fldChar w:fldCharType="separate"/>
            </w:r>
            <w:r w:rsidR="003D7A86" w:rsidRPr="00605747">
              <w:rPr>
                <w:sz w:val="18"/>
                <w:szCs w:val="18"/>
              </w:rPr>
              <w:t xml:space="preserve">(Graham et al., 2018, Hayward and Graham, 2017, </w:t>
            </w:r>
            <w:proofErr w:type="spellStart"/>
            <w:r w:rsidR="003D7A86" w:rsidRPr="00605747">
              <w:rPr>
                <w:sz w:val="18"/>
                <w:szCs w:val="18"/>
              </w:rPr>
              <w:t>ClimateWorks</w:t>
            </w:r>
            <w:proofErr w:type="spellEnd"/>
            <w:r w:rsidR="003D7A86" w:rsidRPr="00605747">
              <w:rPr>
                <w:sz w:val="18"/>
                <w:szCs w:val="18"/>
              </w:rPr>
              <w:t xml:space="preserve"> Australia, 2020)</w:t>
            </w:r>
            <w:r w:rsidR="003D7A86" w:rsidRPr="00605747">
              <w:rPr>
                <w:sz w:val="18"/>
                <w:szCs w:val="18"/>
              </w:rPr>
              <w:fldChar w:fldCharType="end"/>
            </w:r>
          </w:p>
        </w:tc>
      </w:tr>
      <w:tr w:rsidR="003D7A86" w:rsidRPr="00AB491A" w14:paraId="4F2838A6" w14:textId="77777777" w:rsidTr="002D17A6">
        <w:tc>
          <w:tcPr>
            <w:tcW w:w="2263" w:type="dxa"/>
            <w:tcBorders>
              <w:top w:val="single" w:sz="4" w:space="0" w:color="auto"/>
              <w:bottom w:val="single" w:sz="4" w:space="0" w:color="auto"/>
              <w:right w:val="single" w:sz="4" w:space="0" w:color="auto"/>
            </w:tcBorders>
          </w:tcPr>
          <w:p w14:paraId="05630008"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4204EE79" w14:textId="77777777" w:rsidR="003D7A86" w:rsidRPr="00AB491A" w:rsidRDefault="003D7A86" w:rsidP="007F346F">
            <w:pPr>
              <w:rPr>
                <w:sz w:val="18"/>
                <w:szCs w:val="18"/>
              </w:rPr>
            </w:pPr>
            <w:r>
              <w:rPr>
                <w:sz w:val="18"/>
                <w:szCs w:val="18"/>
              </w:rPr>
              <w:t>Additional expenditure on wind energy as % GDP</w:t>
            </w:r>
          </w:p>
        </w:tc>
        <w:tc>
          <w:tcPr>
            <w:tcW w:w="2693" w:type="dxa"/>
            <w:tcBorders>
              <w:top w:val="single" w:sz="4" w:space="0" w:color="auto"/>
              <w:left w:val="single" w:sz="4" w:space="0" w:color="auto"/>
              <w:bottom w:val="single" w:sz="4" w:space="0" w:color="auto"/>
              <w:right w:val="single" w:sz="4" w:space="0" w:color="auto"/>
            </w:tcBorders>
          </w:tcPr>
          <w:p w14:paraId="523D814E" w14:textId="77777777" w:rsidR="003D7A86" w:rsidRPr="00AB491A" w:rsidRDefault="003D7A86" w:rsidP="007F346F">
            <w:pPr>
              <w:jc w:val="center"/>
              <w:rPr>
                <w:sz w:val="18"/>
                <w:szCs w:val="18"/>
              </w:rPr>
            </w:pPr>
            <w:r>
              <w:rPr>
                <w:sz w:val="18"/>
                <w:szCs w:val="18"/>
              </w:rPr>
              <w:t>None</w:t>
            </w:r>
          </w:p>
        </w:tc>
        <w:tc>
          <w:tcPr>
            <w:tcW w:w="2552" w:type="dxa"/>
            <w:tcBorders>
              <w:top w:val="single" w:sz="4" w:space="0" w:color="auto"/>
              <w:left w:val="single" w:sz="4" w:space="0" w:color="auto"/>
              <w:bottom w:val="single" w:sz="4" w:space="0" w:color="auto"/>
              <w:right w:val="single" w:sz="4" w:space="0" w:color="auto"/>
            </w:tcBorders>
          </w:tcPr>
          <w:p w14:paraId="7137E275" w14:textId="02EF3D45" w:rsidR="00A77C78" w:rsidRDefault="00A77C78" w:rsidP="007F346F">
            <w:pPr>
              <w:jc w:val="center"/>
              <w:rPr>
                <w:sz w:val="18"/>
                <w:szCs w:val="18"/>
              </w:rPr>
            </w:pPr>
            <w:r>
              <w:rPr>
                <w:sz w:val="18"/>
                <w:szCs w:val="18"/>
              </w:rPr>
              <w:t>Additional investment to 2030</w:t>
            </w:r>
          </w:p>
          <w:p w14:paraId="1C967603" w14:textId="6B63DD91" w:rsidR="003D7A86" w:rsidRDefault="003D7A86" w:rsidP="007F346F">
            <w:pPr>
              <w:jc w:val="center"/>
              <w:rPr>
                <w:sz w:val="18"/>
                <w:szCs w:val="18"/>
              </w:rPr>
            </w:pPr>
            <w:r>
              <w:rPr>
                <w:sz w:val="18"/>
                <w:szCs w:val="18"/>
              </w:rPr>
              <w:t>2021: 0.02</w:t>
            </w:r>
          </w:p>
          <w:p w14:paraId="533A216A" w14:textId="77777777" w:rsidR="003D7A86" w:rsidRDefault="003D7A86" w:rsidP="007F346F">
            <w:pPr>
              <w:jc w:val="center"/>
              <w:rPr>
                <w:sz w:val="18"/>
                <w:szCs w:val="18"/>
              </w:rPr>
            </w:pPr>
            <w:r>
              <w:rPr>
                <w:sz w:val="18"/>
                <w:szCs w:val="18"/>
              </w:rPr>
              <w:t>2030:0.05</w:t>
            </w:r>
          </w:p>
          <w:p w14:paraId="7820AE8E" w14:textId="2F0E3C63" w:rsidR="003D7A86" w:rsidRPr="00AB491A" w:rsidRDefault="003D7A86" w:rsidP="007F346F">
            <w:pPr>
              <w:jc w:val="center"/>
              <w:rPr>
                <w:sz w:val="18"/>
                <w:szCs w:val="18"/>
              </w:rPr>
            </w:pPr>
          </w:p>
        </w:tc>
        <w:tc>
          <w:tcPr>
            <w:tcW w:w="4110" w:type="dxa"/>
            <w:tcBorders>
              <w:top w:val="single" w:sz="4" w:space="0" w:color="auto"/>
              <w:left w:val="single" w:sz="4" w:space="0" w:color="auto"/>
              <w:bottom w:val="single" w:sz="4" w:space="0" w:color="auto"/>
            </w:tcBorders>
          </w:tcPr>
          <w:p w14:paraId="18D56FA1" w14:textId="4426B8CB" w:rsidR="003D7A86" w:rsidRPr="00AB491A" w:rsidRDefault="00E909E9" w:rsidP="007F346F">
            <w:pPr>
              <w:rPr>
                <w:sz w:val="18"/>
                <w:szCs w:val="18"/>
              </w:rPr>
            </w:pPr>
            <w:r>
              <w:rPr>
                <w:sz w:val="18"/>
                <w:szCs w:val="18"/>
              </w:rPr>
              <w:t>SWT</w:t>
            </w:r>
            <w:r w:rsidR="00963BBD">
              <w:rPr>
                <w:sz w:val="18"/>
                <w:szCs w:val="18"/>
              </w:rPr>
              <w:t xml:space="preserve"> additional expenditure b</w:t>
            </w:r>
            <w:r w:rsidR="003D7A86">
              <w:rPr>
                <w:sz w:val="18"/>
                <w:szCs w:val="18"/>
              </w:rPr>
              <w:t xml:space="preserve">ased on </w:t>
            </w:r>
            <w:r w:rsidR="003D7A86">
              <w:rPr>
                <w:sz w:val="18"/>
                <w:szCs w:val="18"/>
              </w:rPr>
              <w:fldChar w:fldCharType="begin"/>
            </w:r>
            <w:r w:rsidR="00963BBD">
              <w:rPr>
                <w:sz w:val="18"/>
                <w:szCs w:val="18"/>
              </w:rPr>
              <w:instrText xml:space="preserve"> ADDIN EN.CITE &lt;EndNote&gt;&lt;Cite AuthorYear="1"&gt;&lt;Author&gt;ClimateWorks Australia&lt;/Author&gt;&lt;Year&gt;2020&lt;/Year&gt;&lt;RecNum&gt;1484&lt;/RecNum&gt;&lt;DisplayText&gt;ClimateWorks Australia (2020)&lt;/DisplayText&gt;&lt;record&gt;&lt;rec-number&gt;1484&lt;/rec-number&gt;&lt;foreign-keys&gt;&lt;key app="EN" db-id="9vsrvaat7fadwtesfsrpw5w5t0x5v500ef25" timestamp="1600963142"&gt;1484&lt;/key&gt;&lt;/foreign-keys&gt;&lt;ref-type name="Generic"&gt;13&lt;/ref-type&gt;&lt;contributors&gt;&lt;authors&gt;&lt;author&gt;ClimateWorks Australia,&lt;/author&gt;&lt;/authors&gt;&lt;/contributors&gt;&lt;titles&gt;&lt;title&gt;Decarbonisation Futures: Solutions, actions and benchmarks for a net zero emissions Australia&lt;/title&gt;&lt;/titles&gt;&lt;dates&gt;&lt;year&gt;2020&lt;/year&gt;&lt;/dates&gt;&lt;pub-location&gt;Melbourne&lt;/pub-location&gt;&lt;publisher&gt;ClimateWorks&lt;/publisher&gt;&lt;urls&gt;&lt;/urls&gt;&lt;/record&gt;&lt;/Cite&gt;&lt;/EndNote&gt;</w:instrText>
            </w:r>
            <w:r w:rsidR="003D7A86">
              <w:rPr>
                <w:sz w:val="18"/>
                <w:szCs w:val="18"/>
              </w:rPr>
              <w:fldChar w:fldCharType="separate"/>
            </w:r>
            <w:r w:rsidR="00963BBD">
              <w:rPr>
                <w:noProof/>
                <w:sz w:val="18"/>
                <w:szCs w:val="18"/>
              </w:rPr>
              <w:t>ClimateWorks Australia (2020)</w:t>
            </w:r>
            <w:r w:rsidR="003D7A86">
              <w:rPr>
                <w:sz w:val="18"/>
                <w:szCs w:val="18"/>
              </w:rPr>
              <w:fldChar w:fldCharType="end"/>
            </w:r>
            <w:r w:rsidR="003D7A86">
              <w:rPr>
                <w:sz w:val="18"/>
                <w:szCs w:val="18"/>
              </w:rPr>
              <w:t xml:space="preserve"> </w:t>
            </w:r>
          </w:p>
        </w:tc>
      </w:tr>
      <w:tr w:rsidR="003D7A86" w:rsidRPr="00AB491A" w14:paraId="72E61576" w14:textId="77777777" w:rsidTr="002D17A6">
        <w:tc>
          <w:tcPr>
            <w:tcW w:w="2263" w:type="dxa"/>
            <w:tcBorders>
              <w:top w:val="single" w:sz="4" w:space="0" w:color="auto"/>
              <w:bottom w:val="single" w:sz="4" w:space="0" w:color="auto"/>
              <w:right w:val="single" w:sz="4" w:space="0" w:color="auto"/>
            </w:tcBorders>
          </w:tcPr>
          <w:p w14:paraId="551204E1"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2F521E01" w14:textId="77777777" w:rsidR="003D7A86" w:rsidRPr="00AB491A" w:rsidRDefault="003D7A86" w:rsidP="007F346F">
            <w:pPr>
              <w:rPr>
                <w:sz w:val="18"/>
                <w:szCs w:val="18"/>
              </w:rPr>
            </w:pPr>
            <w:r>
              <w:rPr>
                <w:sz w:val="18"/>
                <w:szCs w:val="18"/>
              </w:rPr>
              <w:t>Additional industry energy efficiency expenditure as % GDP</w:t>
            </w:r>
          </w:p>
        </w:tc>
        <w:tc>
          <w:tcPr>
            <w:tcW w:w="2693" w:type="dxa"/>
            <w:tcBorders>
              <w:top w:val="single" w:sz="4" w:space="0" w:color="auto"/>
              <w:left w:val="single" w:sz="4" w:space="0" w:color="auto"/>
              <w:bottom w:val="single" w:sz="4" w:space="0" w:color="auto"/>
              <w:right w:val="single" w:sz="4" w:space="0" w:color="auto"/>
            </w:tcBorders>
          </w:tcPr>
          <w:p w14:paraId="07C0D955" w14:textId="1A33F712" w:rsidR="00E84D1C" w:rsidRDefault="00E84D1C" w:rsidP="007F346F">
            <w:pPr>
              <w:jc w:val="center"/>
              <w:rPr>
                <w:sz w:val="18"/>
                <w:szCs w:val="18"/>
              </w:rPr>
            </w:pPr>
            <w:r>
              <w:rPr>
                <w:sz w:val="18"/>
                <w:szCs w:val="18"/>
              </w:rPr>
              <w:t>Continued investment to 2030</w:t>
            </w:r>
          </w:p>
          <w:p w14:paraId="7C55E646" w14:textId="35A062BE" w:rsidR="003D7A86" w:rsidRDefault="003D7A86" w:rsidP="007F346F">
            <w:pPr>
              <w:jc w:val="center"/>
              <w:rPr>
                <w:sz w:val="18"/>
                <w:szCs w:val="18"/>
              </w:rPr>
            </w:pPr>
            <w:r>
              <w:rPr>
                <w:sz w:val="18"/>
                <w:szCs w:val="18"/>
              </w:rPr>
              <w:t>2020: 0.007</w:t>
            </w:r>
          </w:p>
          <w:p w14:paraId="06700A70" w14:textId="64F8D08A" w:rsidR="003D7A86" w:rsidRDefault="003D7A86" w:rsidP="007F346F">
            <w:pPr>
              <w:jc w:val="center"/>
              <w:rPr>
                <w:sz w:val="18"/>
                <w:szCs w:val="18"/>
              </w:rPr>
            </w:pPr>
            <w:r>
              <w:rPr>
                <w:sz w:val="18"/>
                <w:szCs w:val="18"/>
              </w:rPr>
              <w:t>2021: 0.009</w:t>
            </w:r>
          </w:p>
          <w:p w14:paraId="134D19AC" w14:textId="77777777" w:rsidR="003D7A86" w:rsidRDefault="003D7A86" w:rsidP="007F346F">
            <w:pPr>
              <w:jc w:val="center"/>
              <w:rPr>
                <w:sz w:val="18"/>
                <w:szCs w:val="18"/>
              </w:rPr>
            </w:pPr>
            <w:r>
              <w:rPr>
                <w:sz w:val="18"/>
                <w:szCs w:val="18"/>
              </w:rPr>
              <w:t>2022: 0.01</w:t>
            </w:r>
          </w:p>
          <w:p w14:paraId="0FDE8AB1" w14:textId="77777777" w:rsidR="003D7A86" w:rsidRPr="00AB491A" w:rsidRDefault="003D7A86" w:rsidP="007F346F">
            <w:pPr>
              <w:jc w:val="center"/>
              <w:rPr>
                <w:sz w:val="18"/>
                <w:szCs w:val="18"/>
              </w:rPr>
            </w:pPr>
            <w:r>
              <w:rPr>
                <w:sz w:val="18"/>
                <w:szCs w:val="18"/>
              </w:rPr>
              <w:t>2023-2030: 0.01</w:t>
            </w:r>
          </w:p>
        </w:tc>
        <w:tc>
          <w:tcPr>
            <w:tcW w:w="2552" w:type="dxa"/>
            <w:tcBorders>
              <w:top w:val="single" w:sz="4" w:space="0" w:color="auto"/>
              <w:left w:val="single" w:sz="4" w:space="0" w:color="auto"/>
              <w:bottom w:val="single" w:sz="4" w:space="0" w:color="auto"/>
              <w:right w:val="single" w:sz="4" w:space="0" w:color="auto"/>
            </w:tcBorders>
          </w:tcPr>
          <w:p w14:paraId="0B3F3CAE" w14:textId="7AE980E6" w:rsidR="000B3A99" w:rsidRDefault="000B3A99" w:rsidP="007F346F">
            <w:pPr>
              <w:jc w:val="center"/>
              <w:rPr>
                <w:sz w:val="18"/>
                <w:szCs w:val="18"/>
              </w:rPr>
            </w:pPr>
            <w:r>
              <w:rPr>
                <w:sz w:val="18"/>
                <w:szCs w:val="18"/>
              </w:rPr>
              <w:t>Increased investment to 2030</w:t>
            </w:r>
          </w:p>
          <w:p w14:paraId="677B6C69" w14:textId="5D4716B6" w:rsidR="003D7A86" w:rsidRDefault="003D7A86" w:rsidP="007F346F">
            <w:pPr>
              <w:jc w:val="center"/>
              <w:rPr>
                <w:sz w:val="18"/>
                <w:szCs w:val="18"/>
              </w:rPr>
            </w:pPr>
            <w:r>
              <w:rPr>
                <w:sz w:val="18"/>
                <w:szCs w:val="18"/>
              </w:rPr>
              <w:t>2020: 0.007</w:t>
            </w:r>
          </w:p>
          <w:p w14:paraId="04FAD642" w14:textId="77777777" w:rsidR="003D7A86" w:rsidRDefault="003D7A86" w:rsidP="007F346F">
            <w:pPr>
              <w:jc w:val="center"/>
              <w:rPr>
                <w:sz w:val="18"/>
                <w:szCs w:val="18"/>
              </w:rPr>
            </w:pPr>
            <w:r>
              <w:rPr>
                <w:sz w:val="18"/>
                <w:szCs w:val="18"/>
              </w:rPr>
              <w:t>2021: 0.2</w:t>
            </w:r>
          </w:p>
          <w:p w14:paraId="25FA5AD9" w14:textId="77777777" w:rsidR="003D7A86" w:rsidRDefault="003D7A86" w:rsidP="007F346F">
            <w:pPr>
              <w:jc w:val="center"/>
              <w:rPr>
                <w:sz w:val="18"/>
                <w:szCs w:val="18"/>
              </w:rPr>
            </w:pPr>
            <w:r>
              <w:rPr>
                <w:sz w:val="18"/>
                <w:szCs w:val="18"/>
              </w:rPr>
              <w:t>2022: 0.2</w:t>
            </w:r>
          </w:p>
          <w:p w14:paraId="107C0B81" w14:textId="77777777" w:rsidR="003D7A86" w:rsidRPr="00AB491A" w:rsidRDefault="003D7A86" w:rsidP="007F346F">
            <w:pPr>
              <w:jc w:val="center"/>
              <w:rPr>
                <w:sz w:val="18"/>
                <w:szCs w:val="18"/>
              </w:rPr>
            </w:pPr>
            <w:r>
              <w:rPr>
                <w:sz w:val="18"/>
                <w:szCs w:val="18"/>
              </w:rPr>
              <w:t>2023-2030: 0.2</w:t>
            </w:r>
          </w:p>
        </w:tc>
        <w:tc>
          <w:tcPr>
            <w:tcW w:w="4110" w:type="dxa"/>
            <w:tcBorders>
              <w:top w:val="single" w:sz="4" w:space="0" w:color="auto"/>
              <w:left w:val="single" w:sz="4" w:space="0" w:color="auto"/>
              <w:bottom w:val="single" w:sz="4" w:space="0" w:color="auto"/>
            </w:tcBorders>
          </w:tcPr>
          <w:p w14:paraId="01D21115" w14:textId="461B77E1" w:rsidR="003D7A86" w:rsidRPr="00AB491A" w:rsidRDefault="003D7A86" w:rsidP="007F346F">
            <w:pPr>
              <w:rPr>
                <w:sz w:val="18"/>
                <w:szCs w:val="18"/>
              </w:rPr>
            </w:pPr>
            <w:r>
              <w:rPr>
                <w:sz w:val="18"/>
                <w:szCs w:val="18"/>
              </w:rPr>
              <w:t xml:space="preserve">Securing energy policies </w:t>
            </w:r>
            <w:r w:rsidR="00E84D1C">
              <w:rPr>
                <w:sz w:val="18"/>
                <w:szCs w:val="18"/>
              </w:rPr>
              <w:t>included</w:t>
            </w:r>
            <w:r>
              <w:rPr>
                <w:sz w:val="18"/>
                <w:szCs w:val="18"/>
              </w:rPr>
              <w:t xml:space="preserve"> in the Job Maker program for energy efficiency. </w:t>
            </w:r>
            <w:r w:rsidR="009D2990">
              <w:rPr>
                <w:sz w:val="18"/>
                <w:szCs w:val="18"/>
              </w:rPr>
              <w:t xml:space="preserve">For </w:t>
            </w:r>
            <w:r w:rsidR="00E909E9">
              <w:rPr>
                <w:sz w:val="18"/>
                <w:szCs w:val="18"/>
              </w:rPr>
              <w:t>SWT</w:t>
            </w:r>
            <w:r w:rsidR="009D2990">
              <w:rPr>
                <w:sz w:val="18"/>
                <w:szCs w:val="18"/>
              </w:rPr>
              <w:t xml:space="preserve">, </w:t>
            </w:r>
            <w:r w:rsidR="000B3A99">
              <w:rPr>
                <w:sz w:val="18"/>
                <w:szCs w:val="18"/>
              </w:rPr>
              <w:t xml:space="preserve">calibrated on </w:t>
            </w:r>
            <w:r w:rsidR="009D2990">
              <w:rPr>
                <w:sz w:val="18"/>
                <w:szCs w:val="18"/>
              </w:rPr>
              <w:t>r</w:t>
            </w:r>
            <w:r w:rsidR="00F56F71">
              <w:rPr>
                <w:rFonts w:ascii="Corbel" w:hAnsi="Corbel"/>
                <w:sz w:val="18"/>
                <w:szCs w:val="18"/>
              </w:rPr>
              <w:t>eduction targets</w:t>
            </w:r>
            <w:r w:rsidRPr="009564AC">
              <w:rPr>
                <w:rFonts w:ascii="Corbel" w:hAnsi="Corbel"/>
                <w:sz w:val="18"/>
                <w:szCs w:val="18"/>
              </w:rPr>
              <w:t xml:space="preserve"> based on </w:t>
            </w:r>
            <w:proofErr w:type="spellStart"/>
            <w:r w:rsidRPr="009564AC">
              <w:rPr>
                <w:rFonts w:ascii="Corbel" w:hAnsi="Corbel"/>
                <w:sz w:val="18"/>
                <w:szCs w:val="18"/>
              </w:rPr>
              <w:t>ClimateWorks</w:t>
            </w:r>
            <w:proofErr w:type="spellEnd"/>
            <w:r w:rsidRPr="009564AC">
              <w:rPr>
                <w:rFonts w:ascii="Corbel" w:hAnsi="Corbel"/>
                <w:sz w:val="18"/>
                <w:szCs w:val="18"/>
              </w:rPr>
              <w:t xml:space="preserve"> and Australia Energy Efficiency Strategy </w:t>
            </w:r>
            <w:r w:rsidRPr="009564AC">
              <w:rPr>
                <w:rFonts w:ascii="Corbel" w:hAnsi="Corbel"/>
                <w:sz w:val="18"/>
                <w:szCs w:val="18"/>
              </w:rPr>
              <w:fldChar w:fldCharType="begin"/>
            </w:r>
            <w:r w:rsidRPr="009564AC">
              <w:rPr>
                <w:rFonts w:ascii="Corbel" w:hAnsi="Corbel"/>
                <w:sz w:val="18"/>
                <w:szCs w:val="18"/>
              </w:rPr>
              <w:instrText xml:space="preserve"> ADDIN EN.CITE &lt;EndNote&gt;&lt;Cite&gt;&lt;Author&gt;ClimateWorks Australia&lt;/Author&gt;&lt;Year&gt;2020&lt;/Year&gt;&lt;RecNum&gt;1484&lt;/RecNum&gt;&lt;DisplayText&gt;(ClimateWorks Australia, 2020, The Climate Institute, 2008)&lt;/DisplayText&gt;&lt;record&gt;&lt;rec-number&gt;1484&lt;/rec-number&gt;&lt;foreign-keys&gt;&lt;key app="EN" db-id="9vsrvaat7fadwtesfsrpw5w5t0x5v500ef25" timestamp="1600963142"&gt;1484&lt;/key&gt;&lt;/foreign-keys&gt;&lt;ref-type name="Generic"&gt;13&lt;/ref-type&gt;&lt;contributors&gt;&lt;authors&gt;&lt;author&gt;ClimateWorks Australia,&lt;/author&gt;&lt;/authors&gt;&lt;/contributors&gt;&lt;titles&gt;&lt;title&gt;Decarbonisation Futures: Solutions, actions and benchmarks for a net zero emissions Australia&lt;/title&gt;&lt;/titles&gt;&lt;dates&gt;&lt;year&gt;2020&lt;/year&gt;&lt;/dates&gt;&lt;pub-location&gt;Melbourne&lt;/pub-location&gt;&lt;publisher&gt;ClimateWorks&lt;/publisher&gt;&lt;urls&gt;&lt;/urls&gt;&lt;/record&gt;&lt;/Cite&gt;&lt;Cite&gt;&lt;Author&gt;The Climate Institute&lt;/Author&gt;&lt;Year&gt;2008&lt;/Year&gt;&lt;RecNum&gt;879&lt;/RecNum&gt;&lt;record&gt;&lt;rec-number&gt;879&lt;/rec-number&gt;&lt;foreign-keys&gt;&lt;key app="EN" db-id="9vsrvaat7fadwtesfsrpw5w5t0x5v500ef25" timestamp="1542425926"&gt;879&lt;/key&gt;&lt;/foreign-keys&gt;&lt;ref-type name="Generic"&gt;13&lt;/ref-type&gt;&lt;contributors&gt;&lt;authors&gt;&lt;author&gt;The Climate Institute,&lt;/author&gt;&lt;/authors&gt;&lt;/contributors&gt;&lt;titles&gt;&lt;title&gt;Australia&amp;apos;s National Strategy for Energy Efficiency&lt;/title&gt;&lt;/titles&gt;&lt;dates&gt;&lt;year&gt;2008&lt;/year&gt;&lt;/dates&gt;&lt;pub-location&gt;Canberra&lt;/pub-location&gt;&lt;publisher&gt;The Climate Institute&lt;/publisher&gt;&lt;urls&gt;&lt;/urls&gt;&lt;/record&gt;&lt;/Cite&gt;&lt;/EndNote&gt;</w:instrText>
            </w:r>
            <w:r w:rsidRPr="009564AC">
              <w:rPr>
                <w:rFonts w:ascii="Corbel" w:hAnsi="Corbel"/>
                <w:sz w:val="18"/>
                <w:szCs w:val="18"/>
              </w:rPr>
              <w:fldChar w:fldCharType="separate"/>
            </w:r>
            <w:r w:rsidRPr="009564AC">
              <w:rPr>
                <w:rFonts w:ascii="Corbel" w:hAnsi="Corbel"/>
                <w:noProof/>
                <w:sz w:val="18"/>
                <w:szCs w:val="18"/>
              </w:rPr>
              <w:t>(ClimateWorks Australia, 2020, The Climate Institute, 2008)</w:t>
            </w:r>
            <w:r w:rsidRPr="009564AC">
              <w:rPr>
                <w:rFonts w:ascii="Corbel" w:hAnsi="Corbel"/>
                <w:sz w:val="18"/>
                <w:szCs w:val="18"/>
              </w:rPr>
              <w:fldChar w:fldCharType="end"/>
            </w:r>
          </w:p>
        </w:tc>
      </w:tr>
      <w:tr w:rsidR="003D7A86" w:rsidRPr="00AB491A" w14:paraId="7F130707" w14:textId="77777777" w:rsidTr="002D17A6">
        <w:tc>
          <w:tcPr>
            <w:tcW w:w="2263" w:type="dxa"/>
            <w:tcBorders>
              <w:top w:val="single" w:sz="4" w:space="0" w:color="auto"/>
              <w:bottom w:val="single" w:sz="4" w:space="0" w:color="auto"/>
              <w:right w:val="single" w:sz="4" w:space="0" w:color="auto"/>
            </w:tcBorders>
          </w:tcPr>
          <w:p w14:paraId="7FD250F8"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427929AA" w14:textId="58CE300E" w:rsidR="003D7A86" w:rsidRPr="00AB491A" w:rsidRDefault="003D7A86" w:rsidP="007F346F">
            <w:pPr>
              <w:rPr>
                <w:sz w:val="18"/>
                <w:szCs w:val="18"/>
              </w:rPr>
            </w:pPr>
            <w:r>
              <w:rPr>
                <w:sz w:val="18"/>
                <w:szCs w:val="18"/>
              </w:rPr>
              <w:t xml:space="preserve">Fuel switch from gas </w:t>
            </w:r>
            <w:r w:rsidR="00CE5E9F">
              <w:rPr>
                <w:sz w:val="18"/>
                <w:szCs w:val="18"/>
              </w:rPr>
              <w:t xml:space="preserve">and oil/coal </w:t>
            </w:r>
            <w:r>
              <w:rPr>
                <w:sz w:val="18"/>
                <w:szCs w:val="18"/>
              </w:rPr>
              <w:t>used in industry (%)</w:t>
            </w:r>
          </w:p>
        </w:tc>
        <w:tc>
          <w:tcPr>
            <w:tcW w:w="2693" w:type="dxa"/>
            <w:tcBorders>
              <w:top w:val="single" w:sz="4" w:space="0" w:color="auto"/>
              <w:left w:val="single" w:sz="4" w:space="0" w:color="auto"/>
              <w:bottom w:val="single" w:sz="4" w:space="0" w:color="auto"/>
              <w:right w:val="single" w:sz="4" w:space="0" w:color="auto"/>
            </w:tcBorders>
          </w:tcPr>
          <w:p w14:paraId="606F7A4F" w14:textId="768F5930" w:rsidR="001E0CF0" w:rsidRDefault="001E0CF0" w:rsidP="007F346F">
            <w:pPr>
              <w:jc w:val="center"/>
              <w:rPr>
                <w:sz w:val="18"/>
                <w:szCs w:val="18"/>
              </w:rPr>
            </w:pPr>
            <w:r>
              <w:rPr>
                <w:sz w:val="18"/>
                <w:szCs w:val="18"/>
              </w:rPr>
              <w:t>Modest fuel switching by 2050</w:t>
            </w:r>
          </w:p>
          <w:p w14:paraId="3D402411" w14:textId="5BC49CD3" w:rsidR="003D7A86" w:rsidRPr="00AB491A" w:rsidRDefault="003D7A86" w:rsidP="007F346F">
            <w:pPr>
              <w:jc w:val="center"/>
              <w:rPr>
                <w:sz w:val="18"/>
                <w:szCs w:val="18"/>
              </w:rPr>
            </w:pPr>
            <w:r>
              <w:rPr>
                <w:sz w:val="18"/>
                <w:szCs w:val="18"/>
              </w:rPr>
              <w:t>2050: 0.1</w:t>
            </w:r>
            <w:r w:rsidR="008E2F7C">
              <w:rPr>
                <w:sz w:val="18"/>
                <w:szCs w:val="18"/>
              </w:rPr>
              <w:t>(10%)</w:t>
            </w:r>
            <w:r w:rsidR="00CE5E9F">
              <w:rPr>
                <w:sz w:val="18"/>
                <w:szCs w:val="18"/>
              </w:rPr>
              <w:t>; 0.4</w:t>
            </w:r>
            <w:r w:rsidR="008E2F7C">
              <w:rPr>
                <w:sz w:val="18"/>
                <w:szCs w:val="18"/>
              </w:rPr>
              <w:t xml:space="preserve"> (40%)</w:t>
            </w:r>
          </w:p>
        </w:tc>
        <w:tc>
          <w:tcPr>
            <w:tcW w:w="2552" w:type="dxa"/>
            <w:tcBorders>
              <w:top w:val="single" w:sz="4" w:space="0" w:color="auto"/>
              <w:left w:val="single" w:sz="4" w:space="0" w:color="auto"/>
              <w:bottom w:val="single" w:sz="4" w:space="0" w:color="auto"/>
              <w:right w:val="single" w:sz="4" w:space="0" w:color="auto"/>
            </w:tcBorders>
          </w:tcPr>
          <w:p w14:paraId="4408A7A2" w14:textId="096A3C81" w:rsidR="001E0CF0" w:rsidRDefault="001E0CF0" w:rsidP="007F346F">
            <w:pPr>
              <w:jc w:val="center"/>
              <w:rPr>
                <w:sz w:val="18"/>
                <w:szCs w:val="18"/>
              </w:rPr>
            </w:pPr>
            <w:r>
              <w:rPr>
                <w:sz w:val="18"/>
                <w:szCs w:val="18"/>
              </w:rPr>
              <w:t>Strong fuel switching by 2050</w:t>
            </w:r>
          </w:p>
          <w:p w14:paraId="60B47AB0" w14:textId="042C3930" w:rsidR="003D7A86" w:rsidRPr="00AB491A" w:rsidRDefault="003D7A86" w:rsidP="007F346F">
            <w:pPr>
              <w:jc w:val="center"/>
              <w:rPr>
                <w:sz w:val="18"/>
                <w:szCs w:val="18"/>
              </w:rPr>
            </w:pPr>
            <w:r>
              <w:rPr>
                <w:sz w:val="18"/>
                <w:szCs w:val="18"/>
              </w:rPr>
              <w:t>2050: 0.3</w:t>
            </w:r>
            <w:r w:rsidR="008E2F7C">
              <w:rPr>
                <w:sz w:val="18"/>
                <w:szCs w:val="18"/>
              </w:rPr>
              <w:t xml:space="preserve"> (30%)</w:t>
            </w:r>
            <w:r w:rsidR="00CE5E9F">
              <w:rPr>
                <w:sz w:val="18"/>
                <w:szCs w:val="18"/>
              </w:rPr>
              <w:t>; 0.8</w:t>
            </w:r>
            <w:r w:rsidR="008E2F7C">
              <w:rPr>
                <w:sz w:val="18"/>
                <w:szCs w:val="18"/>
              </w:rPr>
              <w:t xml:space="preserve"> (80%)</w:t>
            </w:r>
          </w:p>
        </w:tc>
        <w:tc>
          <w:tcPr>
            <w:tcW w:w="4110" w:type="dxa"/>
            <w:tcBorders>
              <w:top w:val="single" w:sz="4" w:space="0" w:color="auto"/>
              <w:left w:val="single" w:sz="4" w:space="0" w:color="auto"/>
              <w:bottom w:val="single" w:sz="4" w:space="0" w:color="auto"/>
            </w:tcBorders>
          </w:tcPr>
          <w:p w14:paraId="06D39BF7" w14:textId="01666B47" w:rsidR="003D7A86" w:rsidRPr="00AF1757" w:rsidRDefault="00E909E9" w:rsidP="007F346F">
            <w:pPr>
              <w:rPr>
                <w:sz w:val="18"/>
                <w:szCs w:val="18"/>
              </w:rPr>
            </w:pPr>
            <w:r>
              <w:rPr>
                <w:sz w:val="18"/>
                <w:szCs w:val="18"/>
              </w:rPr>
              <w:t>SWT</w:t>
            </w:r>
            <w:r w:rsidR="00AF1757" w:rsidRPr="00AF1757">
              <w:rPr>
                <w:sz w:val="18"/>
                <w:szCs w:val="18"/>
              </w:rPr>
              <w:t xml:space="preserve"> assumes </w:t>
            </w:r>
            <w:r w:rsidR="00CE5E9F">
              <w:rPr>
                <w:sz w:val="18"/>
                <w:szCs w:val="18"/>
              </w:rPr>
              <w:t xml:space="preserve">accelerated </w:t>
            </w:r>
            <w:r w:rsidR="00AF1757">
              <w:rPr>
                <w:sz w:val="18"/>
                <w:szCs w:val="18"/>
              </w:rPr>
              <w:t xml:space="preserve">industry fuel switching </w:t>
            </w:r>
            <w:r w:rsidR="00CE5E9F">
              <w:rPr>
                <w:sz w:val="18"/>
                <w:szCs w:val="18"/>
              </w:rPr>
              <w:t xml:space="preserve">to electrification and away from fossil fuels over the long-term. Estimated based on </w:t>
            </w:r>
            <w:r w:rsidR="00CE5E9F">
              <w:rPr>
                <w:sz w:val="18"/>
                <w:szCs w:val="18"/>
              </w:rPr>
              <w:fldChar w:fldCharType="begin"/>
            </w:r>
            <w:r w:rsidR="00CE5E9F">
              <w:rPr>
                <w:sz w:val="18"/>
                <w:szCs w:val="18"/>
              </w:rPr>
              <w:instrText xml:space="preserve"> ADDIN EN.CITE &lt;EndNote&gt;&lt;Cite&gt;&lt;Author&gt;ClimateWorks Australia&lt;/Author&gt;&lt;Year&gt;2020&lt;/Year&gt;&lt;RecNum&gt;1484&lt;/RecNum&gt;&lt;DisplayText&gt;(ClimateWorks Australia, 2020)&lt;/DisplayText&gt;&lt;record&gt;&lt;rec-number&gt;1484&lt;/rec-number&gt;&lt;foreign-keys&gt;&lt;key app="EN" db-id="9vsrvaat7fadwtesfsrpw5w5t0x5v500ef25" timestamp="1600963142"&gt;1484&lt;/key&gt;&lt;/foreign-keys&gt;&lt;ref-type name="Generic"&gt;13&lt;/ref-type&gt;&lt;contributors&gt;&lt;authors&gt;&lt;author&gt;ClimateWorks Australia,&lt;/author&gt;&lt;/authors&gt;&lt;/contributors&gt;&lt;titles&gt;&lt;title&gt;Decarbonisation Futures: Solutions, actions and benchmarks for a net zero emissions Australia&lt;/title&gt;&lt;/titles&gt;&lt;dates&gt;&lt;year&gt;2020&lt;/year&gt;&lt;/dates&gt;&lt;pub-location&gt;Melbourne&lt;/pub-location&gt;&lt;publisher&gt;ClimateWorks&lt;/publisher&gt;&lt;urls&gt;&lt;/urls&gt;&lt;/record&gt;&lt;/Cite&gt;&lt;/EndNote&gt;</w:instrText>
            </w:r>
            <w:r w:rsidR="00CE5E9F">
              <w:rPr>
                <w:sz w:val="18"/>
                <w:szCs w:val="18"/>
              </w:rPr>
              <w:fldChar w:fldCharType="separate"/>
            </w:r>
            <w:r w:rsidR="00CE5E9F">
              <w:rPr>
                <w:noProof/>
                <w:sz w:val="18"/>
                <w:szCs w:val="18"/>
              </w:rPr>
              <w:t>(ClimateWorks Australia, 2020)</w:t>
            </w:r>
            <w:r w:rsidR="00CE5E9F">
              <w:rPr>
                <w:sz w:val="18"/>
                <w:szCs w:val="18"/>
              </w:rPr>
              <w:fldChar w:fldCharType="end"/>
            </w:r>
          </w:p>
        </w:tc>
      </w:tr>
      <w:tr w:rsidR="003D7A86" w:rsidRPr="00AB491A" w14:paraId="7490F251" w14:textId="77777777" w:rsidTr="002D17A6">
        <w:tc>
          <w:tcPr>
            <w:tcW w:w="2263" w:type="dxa"/>
            <w:tcBorders>
              <w:top w:val="single" w:sz="4" w:space="0" w:color="auto"/>
              <w:bottom w:val="single" w:sz="4" w:space="0" w:color="auto"/>
              <w:right w:val="single" w:sz="4" w:space="0" w:color="auto"/>
            </w:tcBorders>
          </w:tcPr>
          <w:p w14:paraId="1B8F1313"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5ADB824A" w14:textId="7BDBA845" w:rsidR="003D7A86" w:rsidRPr="00AB491A" w:rsidRDefault="003D7A86" w:rsidP="007F346F">
            <w:pPr>
              <w:rPr>
                <w:sz w:val="18"/>
                <w:szCs w:val="18"/>
              </w:rPr>
            </w:pPr>
            <w:r>
              <w:rPr>
                <w:sz w:val="18"/>
                <w:szCs w:val="18"/>
              </w:rPr>
              <w:t>Carbon capture and storage reduction target</w:t>
            </w:r>
            <w:r w:rsidR="00940149">
              <w:rPr>
                <w:sz w:val="18"/>
                <w:szCs w:val="18"/>
              </w:rPr>
              <w:t xml:space="preserve"> for industry </w:t>
            </w:r>
            <w:r w:rsidR="00FE2390">
              <w:rPr>
                <w:sz w:val="18"/>
                <w:szCs w:val="18"/>
              </w:rPr>
              <w:t xml:space="preserve">fugitive </w:t>
            </w:r>
            <w:r w:rsidR="00CB2032">
              <w:rPr>
                <w:sz w:val="18"/>
                <w:szCs w:val="18"/>
              </w:rPr>
              <w:t xml:space="preserve">emissions </w:t>
            </w:r>
            <w:r>
              <w:rPr>
                <w:sz w:val="18"/>
                <w:szCs w:val="18"/>
              </w:rPr>
              <w:t>by 2050 (%)</w:t>
            </w:r>
          </w:p>
        </w:tc>
        <w:tc>
          <w:tcPr>
            <w:tcW w:w="2693" w:type="dxa"/>
            <w:tcBorders>
              <w:top w:val="single" w:sz="4" w:space="0" w:color="auto"/>
              <w:left w:val="single" w:sz="4" w:space="0" w:color="auto"/>
              <w:bottom w:val="single" w:sz="4" w:space="0" w:color="auto"/>
              <w:right w:val="single" w:sz="4" w:space="0" w:color="auto"/>
            </w:tcBorders>
          </w:tcPr>
          <w:p w14:paraId="44B7C9E3" w14:textId="639595B3" w:rsidR="00272B57" w:rsidRDefault="00272B57" w:rsidP="007F346F">
            <w:pPr>
              <w:jc w:val="center"/>
              <w:rPr>
                <w:sz w:val="18"/>
                <w:szCs w:val="18"/>
              </w:rPr>
            </w:pPr>
            <w:r>
              <w:rPr>
                <w:sz w:val="18"/>
                <w:szCs w:val="18"/>
              </w:rPr>
              <w:t xml:space="preserve">Some CCS </w:t>
            </w:r>
            <w:r w:rsidR="00717AB6">
              <w:rPr>
                <w:sz w:val="18"/>
                <w:szCs w:val="18"/>
              </w:rPr>
              <w:t>for fugitive emissions</w:t>
            </w:r>
            <w:r w:rsidR="00940149">
              <w:rPr>
                <w:sz w:val="18"/>
                <w:szCs w:val="18"/>
              </w:rPr>
              <w:t xml:space="preserve"> </w:t>
            </w:r>
            <w:r>
              <w:rPr>
                <w:sz w:val="18"/>
                <w:szCs w:val="18"/>
              </w:rPr>
              <w:t>by 2050</w:t>
            </w:r>
          </w:p>
          <w:p w14:paraId="3222282D" w14:textId="1CB6260D" w:rsidR="003D7A86" w:rsidRPr="00AB491A" w:rsidRDefault="00272B57" w:rsidP="007F346F">
            <w:pPr>
              <w:jc w:val="center"/>
              <w:rPr>
                <w:sz w:val="18"/>
                <w:szCs w:val="18"/>
              </w:rPr>
            </w:pPr>
            <w:r>
              <w:rPr>
                <w:sz w:val="18"/>
                <w:szCs w:val="18"/>
              </w:rPr>
              <w:t xml:space="preserve">2050: </w:t>
            </w:r>
            <w:r w:rsidR="003D7A86">
              <w:rPr>
                <w:sz w:val="18"/>
                <w:szCs w:val="18"/>
              </w:rPr>
              <w:t>0.1</w:t>
            </w:r>
            <w:r w:rsidR="00FA555A">
              <w:rPr>
                <w:sz w:val="18"/>
                <w:szCs w:val="18"/>
              </w:rPr>
              <w:t xml:space="preserve"> (10%)</w:t>
            </w:r>
          </w:p>
        </w:tc>
        <w:tc>
          <w:tcPr>
            <w:tcW w:w="2552" w:type="dxa"/>
            <w:tcBorders>
              <w:top w:val="single" w:sz="4" w:space="0" w:color="auto"/>
              <w:left w:val="single" w:sz="4" w:space="0" w:color="auto"/>
              <w:bottom w:val="single" w:sz="4" w:space="0" w:color="auto"/>
              <w:right w:val="single" w:sz="4" w:space="0" w:color="auto"/>
            </w:tcBorders>
          </w:tcPr>
          <w:p w14:paraId="0D5C1DF9" w14:textId="653821F3" w:rsidR="00272B57" w:rsidRDefault="00940149" w:rsidP="007F346F">
            <w:pPr>
              <w:jc w:val="center"/>
              <w:rPr>
                <w:sz w:val="18"/>
                <w:szCs w:val="18"/>
              </w:rPr>
            </w:pPr>
            <w:r>
              <w:rPr>
                <w:sz w:val="18"/>
                <w:szCs w:val="18"/>
              </w:rPr>
              <w:t xml:space="preserve">Increased CCS </w:t>
            </w:r>
            <w:r w:rsidR="00717AB6">
              <w:rPr>
                <w:sz w:val="18"/>
                <w:szCs w:val="18"/>
              </w:rPr>
              <w:t>for fugitive emissions</w:t>
            </w:r>
            <w:r>
              <w:rPr>
                <w:sz w:val="18"/>
                <w:szCs w:val="18"/>
              </w:rPr>
              <w:t xml:space="preserve"> by 2050</w:t>
            </w:r>
          </w:p>
          <w:p w14:paraId="636C1146" w14:textId="76377EB7" w:rsidR="003D7A86" w:rsidRPr="00AB491A" w:rsidRDefault="00940149" w:rsidP="007F346F">
            <w:pPr>
              <w:jc w:val="center"/>
              <w:rPr>
                <w:sz w:val="18"/>
                <w:szCs w:val="18"/>
              </w:rPr>
            </w:pPr>
            <w:r>
              <w:rPr>
                <w:sz w:val="18"/>
                <w:szCs w:val="18"/>
              </w:rPr>
              <w:t xml:space="preserve">2050: </w:t>
            </w:r>
            <w:r w:rsidR="003D7A86">
              <w:rPr>
                <w:sz w:val="18"/>
                <w:szCs w:val="18"/>
              </w:rPr>
              <w:t>0.6</w:t>
            </w:r>
            <w:r w:rsidR="00FA555A">
              <w:rPr>
                <w:sz w:val="18"/>
                <w:szCs w:val="18"/>
              </w:rPr>
              <w:t xml:space="preserve"> (60%)</w:t>
            </w:r>
          </w:p>
        </w:tc>
        <w:tc>
          <w:tcPr>
            <w:tcW w:w="4110" w:type="dxa"/>
            <w:tcBorders>
              <w:top w:val="single" w:sz="4" w:space="0" w:color="auto"/>
              <w:left w:val="single" w:sz="4" w:space="0" w:color="auto"/>
              <w:bottom w:val="single" w:sz="4" w:space="0" w:color="auto"/>
            </w:tcBorders>
          </w:tcPr>
          <w:p w14:paraId="43DF9CD8" w14:textId="725E03D6" w:rsidR="003D7A86" w:rsidRPr="00AB491A" w:rsidRDefault="00E909E9" w:rsidP="007F346F">
            <w:pPr>
              <w:rPr>
                <w:sz w:val="18"/>
                <w:szCs w:val="18"/>
              </w:rPr>
            </w:pPr>
            <w:r>
              <w:rPr>
                <w:sz w:val="18"/>
                <w:szCs w:val="18"/>
              </w:rPr>
              <w:t>SWT</w:t>
            </w:r>
            <w:r w:rsidR="00F60DB5">
              <w:rPr>
                <w:sz w:val="18"/>
                <w:szCs w:val="18"/>
              </w:rPr>
              <w:t xml:space="preserve"> improved CCS from industry</w:t>
            </w:r>
            <w:r w:rsidR="003D7A86">
              <w:rPr>
                <w:sz w:val="18"/>
                <w:szCs w:val="18"/>
              </w:rPr>
              <w:t xml:space="preserve"> based on </w:t>
            </w:r>
            <w:proofErr w:type="spellStart"/>
            <w:r w:rsidR="003D7A86" w:rsidRPr="00474916">
              <w:rPr>
                <w:sz w:val="18"/>
                <w:szCs w:val="18"/>
              </w:rPr>
              <w:t>ClimateWorks</w:t>
            </w:r>
            <w:proofErr w:type="spellEnd"/>
            <w:r w:rsidR="003D7A86" w:rsidRPr="00474916">
              <w:rPr>
                <w:sz w:val="18"/>
                <w:szCs w:val="18"/>
              </w:rPr>
              <w:t xml:space="preserve"> (2020)</w:t>
            </w:r>
          </w:p>
        </w:tc>
      </w:tr>
      <w:tr w:rsidR="003D7A86" w:rsidRPr="00AB491A" w14:paraId="4A9A087E" w14:textId="77777777" w:rsidTr="002D17A6">
        <w:tc>
          <w:tcPr>
            <w:tcW w:w="2263" w:type="dxa"/>
            <w:tcBorders>
              <w:top w:val="single" w:sz="4" w:space="0" w:color="auto"/>
              <w:bottom w:val="single" w:sz="4" w:space="0" w:color="auto"/>
              <w:right w:val="single" w:sz="4" w:space="0" w:color="auto"/>
            </w:tcBorders>
          </w:tcPr>
          <w:p w14:paraId="77AD042F"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43867B88" w14:textId="77777777" w:rsidR="003D7A86" w:rsidRPr="00AB491A" w:rsidRDefault="003D7A86" w:rsidP="007F346F">
            <w:pPr>
              <w:rPr>
                <w:sz w:val="18"/>
                <w:szCs w:val="18"/>
              </w:rPr>
            </w:pPr>
            <w:r>
              <w:rPr>
                <w:sz w:val="18"/>
                <w:szCs w:val="18"/>
              </w:rPr>
              <w:t>Additional gas capture at waste disposal sites by 2050 (%)</w:t>
            </w:r>
          </w:p>
        </w:tc>
        <w:tc>
          <w:tcPr>
            <w:tcW w:w="2693" w:type="dxa"/>
            <w:tcBorders>
              <w:top w:val="single" w:sz="4" w:space="0" w:color="auto"/>
              <w:left w:val="single" w:sz="4" w:space="0" w:color="auto"/>
              <w:bottom w:val="single" w:sz="4" w:space="0" w:color="auto"/>
              <w:right w:val="single" w:sz="4" w:space="0" w:color="auto"/>
            </w:tcBorders>
          </w:tcPr>
          <w:p w14:paraId="49FDCE47" w14:textId="5A354C34" w:rsidR="00CB2032" w:rsidRDefault="00CB2032" w:rsidP="007F346F">
            <w:pPr>
              <w:jc w:val="center"/>
              <w:rPr>
                <w:sz w:val="18"/>
                <w:szCs w:val="18"/>
              </w:rPr>
            </w:pPr>
            <w:r>
              <w:rPr>
                <w:sz w:val="18"/>
                <w:szCs w:val="18"/>
              </w:rPr>
              <w:t xml:space="preserve">Some gas capture </w:t>
            </w:r>
            <w:r w:rsidR="00717AB6">
              <w:rPr>
                <w:sz w:val="18"/>
                <w:szCs w:val="18"/>
              </w:rPr>
              <w:t xml:space="preserve">from waste </w:t>
            </w:r>
            <w:r>
              <w:rPr>
                <w:sz w:val="18"/>
                <w:szCs w:val="18"/>
              </w:rPr>
              <w:t>by 2050</w:t>
            </w:r>
          </w:p>
          <w:p w14:paraId="193DDF02" w14:textId="7BA24E2C" w:rsidR="003D7A86" w:rsidRPr="00AB491A" w:rsidRDefault="00717AB6" w:rsidP="007F346F">
            <w:pPr>
              <w:jc w:val="center"/>
              <w:rPr>
                <w:sz w:val="18"/>
                <w:szCs w:val="18"/>
              </w:rPr>
            </w:pPr>
            <w:r>
              <w:rPr>
                <w:sz w:val="18"/>
                <w:szCs w:val="18"/>
              </w:rPr>
              <w:t xml:space="preserve">2050: </w:t>
            </w:r>
            <w:r w:rsidR="003D7A86">
              <w:rPr>
                <w:sz w:val="18"/>
                <w:szCs w:val="18"/>
              </w:rPr>
              <w:t>0.1</w:t>
            </w:r>
            <w:r w:rsidR="00FA555A">
              <w:rPr>
                <w:sz w:val="18"/>
                <w:szCs w:val="18"/>
              </w:rPr>
              <w:t xml:space="preserve"> (10%)</w:t>
            </w:r>
          </w:p>
        </w:tc>
        <w:tc>
          <w:tcPr>
            <w:tcW w:w="2552" w:type="dxa"/>
            <w:tcBorders>
              <w:top w:val="single" w:sz="4" w:space="0" w:color="auto"/>
              <w:left w:val="single" w:sz="4" w:space="0" w:color="auto"/>
              <w:bottom w:val="single" w:sz="4" w:space="0" w:color="auto"/>
              <w:right w:val="single" w:sz="4" w:space="0" w:color="auto"/>
            </w:tcBorders>
          </w:tcPr>
          <w:p w14:paraId="0567269E" w14:textId="31ECDEAB" w:rsidR="00CB2032" w:rsidRDefault="00717AB6" w:rsidP="007F346F">
            <w:pPr>
              <w:jc w:val="center"/>
              <w:rPr>
                <w:sz w:val="18"/>
                <w:szCs w:val="18"/>
              </w:rPr>
            </w:pPr>
            <w:r>
              <w:rPr>
                <w:sz w:val="18"/>
                <w:szCs w:val="18"/>
              </w:rPr>
              <w:t>Increased gas capture from waste by 2050</w:t>
            </w:r>
          </w:p>
          <w:p w14:paraId="75A117F4" w14:textId="7AAE2119" w:rsidR="003D7A86" w:rsidRPr="00AB491A" w:rsidRDefault="00717AB6" w:rsidP="007F346F">
            <w:pPr>
              <w:jc w:val="center"/>
              <w:rPr>
                <w:sz w:val="18"/>
                <w:szCs w:val="18"/>
              </w:rPr>
            </w:pPr>
            <w:r>
              <w:rPr>
                <w:sz w:val="18"/>
                <w:szCs w:val="18"/>
              </w:rPr>
              <w:t xml:space="preserve">2050: </w:t>
            </w:r>
            <w:r w:rsidR="003D7A86">
              <w:rPr>
                <w:sz w:val="18"/>
                <w:szCs w:val="18"/>
              </w:rPr>
              <w:t>0.6</w:t>
            </w:r>
            <w:r w:rsidR="00FA555A">
              <w:rPr>
                <w:sz w:val="18"/>
                <w:szCs w:val="18"/>
              </w:rPr>
              <w:t xml:space="preserve"> (60%)</w:t>
            </w:r>
          </w:p>
        </w:tc>
        <w:tc>
          <w:tcPr>
            <w:tcW w:w="4110" w:type="dxa"/>
            <w:tcBorders>
              <w:top w:val="single" w:sz="4" w:space="0" w:color="auto"/>
              <w:left w:val="single" w:sz="4" w:space="0" w:color="auto"/>
              <w:bottom w:val="single" w:sz="4" w:space="0" w:color="auto"/>
            </w:tcBorders>
          </w:tcPr>
          <w:p w14:paraId="4020EFBD" w14:textId="18FE819E" w:rsidR="003D7A86" w:rsidRPr="00AB491A" w:rsidRDefault="00E909E9" w:rsidP="007F346F">
            <w:pPr>
              <w:rPr>
                <w:sz w:val="18"/>
                <w:szCs w:val="18"/>
              </w:rPr>
            </w:pPr>
            <w:r>
              <w:rPr>
                <w:sz w:val="18"/>
                <w:szCs w:val="18"/>
              </w:rPr>
              <w:t>SWT</w:t>
            </w:r>
            <w:r w:rsidR="00F60DB5">
              <w:rPr>
                <w:sz w:val="18"/>
                <w:szCs w:val="18"/>
              </w:rPr>
              <w:t xml:space="preserve"> assumes increased gas capture from waste disposal sites, bas</w:t>
            </w:r>
            <w:r w:rsidR="003D7A86">
              <w:rPr>
                <w:sz w:val="18"/>
                <w:szCs w:val="18"/>
              </w:rPr>
              <w:t xml:space="preserve">ed on </w:t>
            </w:r>
            <w:proofErr w:type="spellStart"/>
            <w:r w:rsidR="003D7A86" w:rsidRPr="00474916">
              <w:rPr>
                <w:sz w:val="18"/>
                <w:szCs w:val="18"/>
              </w:rPr>
              <w:t>ClimateWorks</w:t>
            </w:r>
            <w:proofErr w:type="spellEnd"/>
            <w:r w:rsidR="003D7A86" w:rsidRPr="00474916">
              <w:rPr>
                <w:sz w:val="18"/>
                <w:szCs w:val="18"/>
              </w:rPr>
              <w:t xml:space="preserve"> (2020)</w:t>
            </w:r>
          </w:p>
        </w:tc>
      </w:tr>
      <w:tr w:rsidR="003D7A86" w:rsidRPr="00AB491A" w14:paraId="03AF0E49" w14:textId="77777777" w:rsidTr="002D17A6">
        <w:tc>
          <w:tcPr>
            <w:tcW w:w="2263" w:type="dxa"/>
            <w:tcBorders>
              <w:top w:val="single" w:sz="4" w:space="0" w:color="auto"/>
              <w:bottom w:val="single" w:sz="4" w:space="0" w:color="auto"/>
              <w:right w:val="single" w:sz="4" w:space="0" w:color="auto"/>
            </w:tcBorders>
          </w:tcPr>
          <w:p w14:paraId="124493A8"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6BE14B40" w14:textId="20E787D1" w:rsidR="003D7A86" w:rsidRPr="00AB491A" w:rsidRDefault="003D7A86" w:rsidP="007F346F">
            <w:pPr>
              <w:rPr>
                <w:sz w:val="18"/>
                <w:szCs w:val="18"/>
              </w:rPr>
            </w:pPr>
            <w:r>
              <w:rPr>
                <w:sz w:val="18"/>
                <w:szCs w:val="18"/>
              </w:rPr>
              <w:t>Target reduction in industrial process emissions by 2050</w:t>
            </w:r>
            <w:r w:rsidR="004127CE">
              <w:rPr>
                <w:sz w:val="18"/>
                <w:szCs w:val="18"/>
              </w:rPr>
              <w:t xml:space="preserve"> (%)</w:t>
            </w:r>
          </w:p>
        </w:tc>
        <w:tc>
          <w:tcPr>
            <w:tcW w:w="2693" w:type="dxa"/>
            <w:tcBorders>
              <w:top w:val="single" w:sz="4" w:space="0" w:color="auto"/>
              <w:left w:val="single" w:sz="4" w:space="0" w:color="auto"/>
              <w:bottom w:val="single" w:sz="4" w:space="0" w:color="auto"/>
              <w:right w:val="single" w:sz="4" w:space="0" w:color="auto"/>
            </w:tcBorders>
          </w:tcPr>
          <w:p w14:paraId="0BE7887F" w14:textId="448F4788" w:rsidR="004127CE" w:rsidRDefault="004127CE" w:rsidP="007F346F">
            <w:pPr>
              <w:jc w:val="center"/>
              <w:rPr>
                <w:sz w:val="18"/>
                <w:szCs w:val="18"/>
              </w:rPr>
            </w:pPr>
            <w:r>
              <w:rPr>
                <w:sz w:val="18"/>
                <w:szCs w:val="18"/>
              </w:rPr>
              <w:t>Some reduction by 2050:</w:t>
            </w:r>
          </w:p>
          <w:p w14:paraId="3D10D16F" w14:textId="4CCAE47C" w:rsidR="003D7A86" w:rsidRPr="00AB491A" w:rsidRDefault="004127CE" w:rsidP="007F346F">
            <w:pPr>
              <w:jc w:val="center"/>
              <w:rPr>
                <w:sz w:val="18"/>
                <w:szCs w:val="18"/>
              </w:rPr>
            </w:pPr>
            <w:r>
              <w:rPr>
                <w:sz w:val="18"/>
                <w:szCs w:val="18"/>
              </w:rPr>
              <w:t xml:space="preserve">2050: </w:t>
            </w:r>
            <w:r w:rsidR="003D7A86">
              <w:rPr>
                <w:sz w:val="18"/>
                <w:szCs w:val="18"/>
              </w:rPr>
              <w:t>0.1</w:t>
            </w:r>
            <w:r w:rsidR="00FA555A">
              <w:rPr>
                <w:sz w:val="18"/>
                <w:szCs w:val="18"/>
              </w:rPr>
              <w:t xml:space="preserve"> (10%)</w:t>
            </w:r>
          </w:p>
        </w:tc>
        <w:tc>
          <w:tcPr>
            <w:tcW w:w="2552" w:type="dxa"/>
            <w:tcBorders>
              <w:top w:val="single" w:sz="4" w:space="0" w:color="auto"/>
              <w:left w:val="single" w:sz="4" w:space="0" w:color="auto"/>
              <w:bottom w:val="single" w:sz="4" w:space="0" w:color="auto"/>
              <w:right w:val="single" w:sz="4" w:space="0" w:color="auto"/>
            </w:tcBorders>
          </w:tcPr>
          <w:p w14:paraId="53F034B8" w14:textId="7E9CEC6D" w:rsidR="00FA555A" w:rsidRDefault="00FA555A" w:rsidP="007F346F">
            <w:pPr>
              <w:jc w:val="center"/>
              <w:rPr>
                <w:sz w:val="18"/>
                <w:szCs w:val="18"/>
              </w:rPr>
            </w:pPr>
            <w:r>
              <w:rPr>
                <w:sz w:val="18"/>
                <w:szCs w:val="18"/>
              </w:rPr>
              <w:t>Increased reduction by 2050</w:t>
            </w:r>
          </w:p>
          <w:p w14:paraId="493F5A7A" w14:textId="31EE07C3" w:rsidR="003D7A86" w:rsidRPr="00AB491A" w:rsidRDefault="00FA555A" w:rsidP="007F346F">
            <w:pPr>
              <w:jc w:val="center"/>
              <w:rPr>
                <w:sz w:val="18"/>
                <w:szCs w:val="18"/>
              </w:rPr>
            </w:pPr>
            <w:r>
              <w:rPr>
                <w:sz w:val="18"/>
                <w:szCs w:val="18"/>
              </w:rPr>
              <w:t xml:space="preserve">2050: </w:t>
            </w:r>
            <w:r w:rsidR="003D7A86">
              <w:rPr>
                <w:sz w:val="18"/>
                <w:szCs w:val="18"/>
              </w:rPr>
              <w:t>0.5</w:t>
            </w:r>
            <w:r>
              <w:rPr>
                <w:sz w:val="18"/>
                <w:szCs w:val="18"/>
              </w:rPr>
              <w:t xml:space="preserve"> (50%)</w:t>
            </w:r>
          </w:p>
        </w:tc>
        <w:tc>
          <w:tcPr>
            <w:tcW w:w="4110" w:type="dxa"/>
            <w:tcBorders>
              <w:top w:val="single" w:sz="4" w:space="0" w:color="auto"/>
              <w:left w:val="single" w:sz="4" w:space="0" w:color="auto"/>
              <w:bottom w:val="single" w:sz="4" w:space="0" w:color="auto"/>
            </w:tcBorders>
          </w:tcPr>
          <w:p w14:paraId="1E7EDB48" w14:textId="21E669DA" w:rsidR="003D7A86" w:rsidRPr="00AB491A" w:rsidRDefault="00E909E9" w:rsidP="007F346F">
            <w:pPr>
              <w:rPr>
                <w:sz w:val="18"/>
                <w:szCs w:val="18"/>
              </w:rPr>
            </w:pPr>
            <w:r>
              <w:rPr>
                <w:sz w:val="18"/>
                <w:szCs w:val="18"/>
              </w:rPr>
              <w:t>SWT</w:t>
            </w:r>
            <w:r w:rsidR="00BF6B87">
              <w:rPr>
                <w:sz w:val="18"/>
                <w:szCs w:val="18"/>
              </w:rPr>
              <w:t xml:space="preserve"> assumes increased reduction of industrial process emissions </w:t>
            </w:r>
            <w:r w:rsidR="003D7A86">
              <w:rPr>
                <w:sz w:val="18"/>
                <w:szCs w:val="18"/>
              </w:rPr>
              <w:t xml:space="preserve">based on </w:t>
            </w:r>
            <w:proofErr w:type="spellStart"/>
            <w:r w:rsidR="003D7A86" w:rsidRPr="00474916">
              <w:rPr>
                <w:sz w:val="18"/>
                <w:szCs w:val="18"/>
              </w:rPr>
              <w:t>ClimateWorks</w:t>
            </w:r>
            <w:proofErr w:type="spellEnd"/>
            <w:r w:rsidR="003D7A86" w:rsidRPr="00474916">
              <w:rPr>
                <w:sz w:val="18"/>
                <w:szCs w:val="18"/>
              </w:rPr>
              <w:t xml:space="preserve"> (2020)</w:t>
            </w:r>
          </w:p>
        </w:tc>
      </w:tr>
      <w:tr w:rsidR="003D7A86" w:rsidRPr="00AB491A" w14:paraId="5B17092C" w14:textId="77777777" w:rsidTr="002D17A6">
        <w:tc>
          <w:tcPr>
            <w:tcW w:w="2263" w:type="dxa"/>
            <w:tcBorders>
              <w:top w:val="single" w:sz="4" w:space="0" w:color="auto"/>
              <w:bottom w:val="single" w:sz="4" w:space="0" w:color="auto"/>
              <w:right w:val="single" w:sz="4" w:space="0" w:color="auto"/>
            </w:tcBorders>
          </w:tcPr>
          <w:p w14:paraId="6DC3B1AD"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07842BAB" w14:textId="77777777" w:rsidR="003D7A86" w:rsidRPr="00AB491A" w:rsidRDefault="003D7A86" w:rsidP="007F346F">
            <w:pPr>
              <w:rPr>
                <w:sz w:val="18"/>
                <w:szCs w:val="18"/>
              </w:rPr>
            </w:pPr>
            <w:r>
              <w:rPr>
                <w:sz w:val="18"/>
                <w:szCs w:val="18"/>
              </w:rPr>
              <w:t>Deliberate phase out of fossil fuel capacity generators</w:t>
            </w:r>
          </w:p>
        </w:tc>
        <w:tc>
          <w:tcPr>
            <w:tcW w:w="2693" w:type="dxa"/>
            <w:tcBorders>
              <w:top w:val="single" w:sz="4" w:space="0" w:color="auto"/>
              <w:left w:val="single" w:sz="4" w:space="0" w:color="auto"/>
              <w:bottom w:val="single" w:sz="4" w:space="0" w:color="auto"/>
              <w:right w:val="single" w:sz="4" w:space="0" w:color="auto"/>
            </w:tcBorders>
          </w:tcPr>
          <w:p w14:paraId="748BEF4C" w14:textId="77777777" w:rsidR="003D7A86" w:rsidRPr="00AB491A" w:rsidRDefault="003D7A86" w:rsidP="007F346F">
            <w:pPr>
              <w:jc w:val="center"/>
              <w:rPr>
                <w:sz w:val="18"/>
                <w:szCs w:val="18"/>
              </w:rPr>
            </w:pPr>
            <w:r>
              <w:rPr>
                <w:sz w:val="18"/>
                <w:szCs w:val="18"/>
              </w:rPr>
              <w:t>None</w:t>
            </w:r>
          </w:p>
        </w:tc>
        <w:tc>
          <w:tcPr>
            <w:tcW w:w="2552" w:type="dxa"/>
            <w:tcBorders>
              <w:top w:val="single" w:sz="4" w:space="0" w:color="auto"/>
              <w:left w:val="single" w:sz="4" w:space="0" w:color="auto"/>
              <w:bottom w:val="single" w:sz="4" w:space="0" w:color="auto"/>
              <w:right w:val="single" w:sz="4" w:space="0" w:color="auto"/>
            </w:tcBorders>
          </w:tcPr>
          <w:p w14:paraId="0173776A" w14:textId="45840F5F" w:rsidR="003D7A86" w:rsidRPr="00653F04" w:rsidRDefault="008A65AA" w:rsidP="00653F04">
            <w:pPr>
              <w:jc w:val="center"/>
              <w:rPr>
                <w:sz w:val="18"/>
                <w:szCs w:val="18"/>
              </w:rPr>
            </w:pPr>
            <w:r>
              <w:rPr>
                <w:sz w:val="18"/>
                <w:szCs w:val="18"/>
              </w:rPr>
              <w:t>Accelerated phase out of fossil fuel generators</w:t>
            </w:r>
          </w:p>
        </w:tc>
        <w:tc>
          <w:tcPr>
            <w:tcW w:w="4110" w:type="dxa"/>
            <w:tcBorders>
              <w:top w:val="single" w:sz="4" w:space="0" w:color="auto"/>
              <w:left w:val="single" w:sz="4" w:space="0" w:color="auto"/>
              <w:bottom w:val="single" w:sz="4" w:space="0" w:color="auto"/>
            </w:tcBorders>
          </w:tcPr>
          <w:p w14:paraId="45B8BC27" w14:textId="47F4A44B" w:rsidR="003D7A86" w:rsidRPr="00AB491A" w:rsidRDefault="00E909E9" w:rsidP="007F346F">
            <w:pPr>
              <w:rPr>
                <w:sz w:val="18"/>
                <w:szCs w:val="18"/>
              </w:rPr>
            </w:pPr>
            <w:r>
              <w:rPr>
                <w:sz w:val="18"/>
                <w:szCs w:val="18"/>
              </w:rPr>
              <w:t>SWT</w:t>
            </w:r>
            <w:r w:rsidR="003D7A86">
              <w:rPr>
                <w:sz w:val="18"/>
                <w:szCs w:val="18"/>
              </w:rPr>
              <w:t xml:space="preserve"> </w:t>
            </w:r>
            <w:r w:rsidR="00941343">
              <w:rPr>
                <w:sz w:val="18"/>
                <w:szCs w:val="18"/>
              </w:rPr>
              <w:t>assumes</w:t>
            </w:r>
            <w:r w:rsidR="003D7A86">
              <w:rPr>
                <w:sz w:val="18"/>
                <w:szCs w:val="18"/>
              </w:rPr>
              <w:t xml:space="preserve"> no new coal and gas generation and </w:t>
            </w:r>
            <w:r w:rsidR="00941343">
              <w:rPr>
                <w:sz w:val="18"/>
                <w:szCs w:val="18"/>
              </w:rPr>
              <w:t>a</w:t>
            </w:r>
            <w:r w:rsidR="003D7A86">
              <w:rPr>
                <w:sz w:val="18"/>
                <w:szCs w:val="18"/>
              </w:rPr>
              <w:t>ccelerated phase out of coal and gas generation, increasing pace after 2030</w:t>
            </w:r>
            <w:r w:rsidR="00941343">
              <w:rPr>
                <w:sz w:val="18"/>
                <w:szCs w:val="18"/>
              </w:rPr>
              <w:t xml:space="preserve">, based on </w:t>
            </w:r>
            <w:proofErr w:type="spellStart"/>
            <w:r w:rsidR="00941343">
              <w:rPr>
                <w:sz w:val="18"/>
                <w:szCs w:val="18"/>
              </w:rPr>
              <w:t>ClimateWorks</w:t>
            </w:r>
            <w:proofErr w:type="spellEnd"/>
            <w:r w:rsidR="00941343">
              <w:rPr>
                <w:sz w:val="18"/>
                <w:szCs w:val="18"/>
              </w:rPr>
              <w:t xml:space="preserve"> (2020).</w:t>
            </w:r>
          </w:p>
        </w:tc>
      </w:tr>
      <w:tr w:rsidR="003D7A86" w:rsidRPr="00AB491A" w14:paraId="36AF4A24" w14:textId="77777777" w:rsidTr="002D17A6">
        <w:tc>
          <w:tcPr>
            <w:tcW w:w="2263" w:type="dxa"/>
            <w:tcBorders>
              <w:top w:val="single" w:sz="4" w:space="0" w:color="auto"/>
              <w:bottom w:val="single" w:sz="4" w:space="0" w:color="auto"/>
              <w:right w:val="single" w:sz="4" w:space="0" w:color="auto"/>
            </w:tcBorders>
            <w:shd w:val="clear" w:color="auto" w:fill="D9D9D9" w:themeFill="background1" w:themeFillShade="D9"/>
          </w:tcPr>
          <w:p w14:paraId="1DC7BC98"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29AE45F" w14:textId="77777777" w:rsidR="003D7A86" w:rsidRDefault="003D7A86" w:rsidP="007F346F">
            <w:pPr>
              <w:rPr>
                <w:sz w:val="18"/>
                <w:szCs w:val="18"/>
              </w:rPr>
            </w:pP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B37B91F" w14:textId="77777777" w:rsidR="003D7A86" w:rsidRPr="00AB491A" w:rsidRDefault="003D7A86" w:rsidP="007F346F">
            <w:pPr>
              <w:jc w:val="center"/>
              <w:rPr>
                <w:sz w:val="18"/>
                <w:szCs w:val="18"/>
              </w:rPr>
            </w:pP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3C5C557" w14:textId="77777777" w:rsidR="003D7A86" w:rsidRPr="00AB491A" w:rsidRDefault="003D7A86" w:rsidP="007F346F">
            <w:pPr>
              <w:jc w:val="center"/>
              <w:rPr>
                <w:sz w:val="18"/>
                <w:szCs w:val="18"/>
              </w:rPr>
            </w:pPr>
          </w:p>
        </w:tc>
        <w:tc>
          <w:tcPr>
            <w:tcW w:w="4110" w:type="dxa"/>
            <w:tcBorders>
              <w:top w:val="single" w:sz="4" w:space="0" w:color="auto"/>
              <w:left w:val="single" w:sz="4" w:space="0" w:color="auto"/>
              <w:bottom w:val="single" w:sz="4" w:space="0" w:color="auto"/>
            </w:tcBorders>
            <w:shd w:val="clear" w:color="auto" w:fill="D9D9D9" w:themeFill="background1" w:themeFillShade="D9"/>
          </w:tcPr>
          <w:p w14:paraId="55303D5F" w14:textId="77777777" w:rsidR="003D7A86" w:rsidRPr="00AB491A" w:rsidRDefault="003D7A86" w:rsidP="007F346F">
            <w:pPr>
              <w:rPr>
                <w:sz w:val="18"/>
                <w:szCs w:val="18"/>
              </w:rPr>
            </w:pPr>
          </w:p>
        </w:tc>
      </w:tr>
      <w:tr w:rsidR="003D7A86" w:rsidRPr="00AB491A" w14:paraId="480842BB" w14:textId="77777777" w:rsidTr="002D17A6">
        <w:tc>
          <w:tcPr>
            <w:tcW w:w="2263" w:type="dxa"/>
            <w:tcBorders>
              <w:top w:val="single" w:sz="4" w:space="0" w:color="auto"/>
              <w:bottom w:val="single" w:sz="4" w:space="0" w:color="auto"/>
              <w:right w:val="single" w:sz="4" w:space="0" w:color="auto"/>
            </w:tcBorders>
          </w:tcPr>
          <w:p w14:paraId="408AD990" w14:textId="4AF9C8C3" w:rsidR="003D7A86" w:rsidRDefault="008941D4" w:rsidP="007F346F">
            <w:pPr>
              <w:rPr>
                <w:sz w:val="18"/>
                <w:szCs w:val="18"/>
              </w:rPr>
            </w:pPr>
            <w:r>
              <w:rPr>
                <w:sz w:val="18"/>
                <w:szCs w:val="18"/>
              </w:rPr>
              <w:t>5. Urban and Peri-Urban Development</w:t>
            </w:r>
          </w:p>
        </w:tc>
        <w:tc>
          <w:tcPr>
            <w:tcW w:w="2557" w:type="dxa"/>
            <w:tcBorders>
              <w:top w:val="single" w:sz="4" w:space="0" w:color="auto"/>
              <w:left w:val="single" w:sz="4" w:space="0" w:color="auto"/>
              <w:bottom w:val="single" w:sz="4" w:space="0" w:color="auto"/>
              <w:right w:val="single" w:sz="4" w:space="0" w:color="auto"/>
            </w:tcBorders>
          </w:tcPr>
          <w:p w14:paraId="29C9410E" w14:textId="77777777" w:rsidR="003D7A86" w:rsidRPr="00AB491A" w:rsidRDefault="003D7A86" w:rsidP="007F346F">
            <w:pPr>
              <w:rPr>
                <w:sz w:val="18"/>
                <w:szCs w:val="18"/>
              </w:rPr>
            </w:pPr>
            <w:r>
              <w:rPr>
                <w:sz w:val="18"/>
                <w:szCs w:val="18"/>
              </w:rPr>
              <w:t>Additional vehicle efficiency expenditure as % GDP</w:t>
            </w:r>
          </w:p>
        </w:tc>
        <w:tc>
          <w:tcPr>
            <w:tcW w:w="2693" w:type="dxa"/>
            <w:tcBorders>
              <w:top w:val="single" w:sz="4" w:space="0" w:color="auto"/>
              <w:left w:val="single" w:sz="4" w:space="0" w:color="auto"/>
              <w:bottom w:val="single" w:sz="4" w:space="0" w:color="auto"/>
              <w:right w:val="single" w:sz="4" w:space="0" w:color="auto"/>
            </w:tcBorders>
          </w:tcPr>
          <w:p w14:paraId="28D18476" w14:textId="77777777" w:rsidR="003D7A86" w:rsidRPr="00AB491A" w:rsidRDefault="003D7A86" w:rsidP="007F346F">
            <w:pPr>
              <w:jc w:val="center"/>
              <w:rPr>
                <w:sz w:val="18"/>
                <w:szCs w:val="18"/>
              </w:rPr>
            </w:pPr>
            <w:r>
              <w:rPr>
                <w:sz w:val="18"/>
                <w:szCs w:val="18"/>
              </w:rPr>
              <w:t>None</w:t>
            </w:r>
          </w:p>
        </w:tc>
        <w:tc>
          <w:tcPr>
            <w:tcW w:w="2552" w:type="dxa"/>
            <w:tcBorders>
              <w:top w:val="single" w:sz="4" w:space="0" w:color="auto"/>
              <w:left w:val="single" w:sz="4" w:space="0" w:color="auto"/>
              <w:bottom w:val="single" w:sz="4" w:space="0" w:color="auto"/>
              <w:right w:val="single" w:sz="4" w:space="0" w:color="auto"/>
            </w:tcBorders>
          </w:tcPr>
          <w:p w14:paraId="420F4BEF" w14:textId="1982D841" w:rsidR="006C5BAD" w:rsidRDefault="006C5BAD" w:rsidP="007F346F">
            <w:pPr>
              <w:jc w:val="center"/>
              <w:rPr>
                <w:sz w:val="18"/>
                <w:szCs w:val="18"/>
              </w:rPr>
            </w:pPr>
            <w:r>
              <w:rPr>
                <w:sz w:val="18"/>
                <w:szCs w:val="18"/>
              </w:rPr>
              <w:t>Increased investment to 2030</w:t>
            </w:r>
          </w:p>
          <w:p w14:paraId="08D37C8F" w14:textId="29E1448B" w:rsidR="003D7A86" w:rsidRDefault="003D7A86" w:rsidP="007F346F">
            <w:pPr>
              <w:jc w:val="center"/>
              <w:rPr>
                <w:sz w:val="18"/>
                <w:szCs w:val="18"/>
              </w:rPr>
            </w:pPr>
            <w:r>
              <w:rPr>
                <w:sz w:val="18"/>
                <w:szCs w:val="18"/>
              </w:rPr>
              <w:t>2021: 0.5</w:t>
            </w:r>
          </w:p>
          <w:p w14:paraId="345E3DAF" w14:textId="77777777" w:rsidR="003D7A86" w:rsidRDefault="003D7A86" w:rsidP="007F346F">
            <w:pPr>
              <w:jc w:val="center"/>
              <w:rPr>
                <w:sz w:val="18"/>
                <w:szCs w:val="18"/>
              </w:rPr>
            </w:pPr>
            <w:r>
              <w:rPr>
                <w:sz w:val="18"/>
                <w:szCs w:val="18"/>
              </w:rPr>
              <w:t>2022: 0.5</w:t>
            </w:r>
          </w:p>
          <w:p w14:paraId="1E714435" w14:textId="77777777" w:rsidR="003D7A86" w:rsidRPr="00AB491A" w:rsidRDefault="003D7A86" w:rsidP="007F346F">
            <w:pPr>
              <w:jc w:val="center"/>
              <w:rPr>
                <w:sz w:val="18"/>
                <w:szCs w:val="18"/>
              </w:rPr>
            </w:pPr>
            <w:r>
              <w:rPr>
                <w:sz w:val="18"/>
                <w:szCs w:val="18"/>
              </w:rPr>
              <w:t>2023-2030: 0.5</w:t>
            </w:r>
          </w:p>
        </w:tc>
        <w:tc>
          <w:tcPr>
            <w:tcW w:w="4110" w:type="dxa"/>
            <w:tcBorders>
              <w:top w:val="single" w:sz="4" w:space="0" w:color="auto"/>
              <w:left w:val="single" w:sz="4" w:space="0" w:color="auto"/>
              <w:bottom w:val="single" w:sz="4" w:space="0" w:color="auto"/>
            </w:tcBorders>
          </w:tcPr>
          <w:p w14:paraId="7A5272BA" w14:textId="7E2F7EFD" w:rsidR="003D7A86" w:rsidRPr="00AB491A" w:rsidRDefault="00E909E9" w:rsidP="007F346F">
            <w:pPr>
              <w:rPr>
                <w:sz w:val="18"/>
                <w:szCs w:val="18"/>
              </w:rPr>
            </w:pPr>
            <w:r>
              <w:rPr>
                <w:sz w:val="18"/>
                <w:szCs w:val="18"/>
              </w:rPr>
              <w:t>SWT</w:t>
            </w:r>
            <w:r w:rsidR="0057188E">
              <w:rPr>
                <w:sz w:val="18"/>
                <w:szCs w:val="18"/>
              </w:rPr>
              <w:t xml:space="preserve"> assumes increased investment in vehicle efficiency. </w:t>
            </w:r>
            <w:r w:rsidR="0057188E" w:rsidRPr="0057188E">
              <w:rPr>
                <w:sz w:val="18"/>
                <w:szCs w:val="18"/>
              </w:rPr>
              <w:t xml:space="preserve">Additional expenditure parameterised based on </w:t>
            </w:r>
            <w:r w:rsidR="0057188E" w:rsidRPr="0057188E">
              <w:rPr>
                <w:sz w:val="18"/>
                <w:szCs w:val="18"/>
              </w:rPr>
              <w:fldChar w:fldCharType="begin"/>
            </w:r>
            <w:r w:rsidR="0057188E" w:rsidRPr="0057188E">
              <w:rPr>
                <w:sz w:val="18"/>
                <w:szCs w:val="18"/>
              </w:rPr>
              <w:instrText xml:space="preserve"> ADDIN EN.CITE &lt;EndNote&gt;&lt;Cite AuthorYear="1"&gt;&lt;Author&gt;Commonwealth of Australia&lt;/Author&gt;&lt;Year&gt;2016&lt;/Year&gt;&lt;RecNum&gt;878&lt;/RecNum&gt;&lt;DisplayText&gt;Commonwealth of Australia (2016)&lt;/DisplayText&gt;&lt;record&gt;&lt;rec-number&gt;878&lt;/rec-number&gt;&lt;foreign-keys&gt;&lt;key app="EN" db-id="9vsrvaat7fadwtesfsrpw5w5t0x5v500ef25" timestamp="1542425316"&gt;878&lt;/key&gt;&lt;/foreign-keys&gt;&lt;ref-type name="Generic"&gt;13&lt;/ref-type&gt;&lt;contributors&gt;&lt;authors&gt;&lt;author&gt;Commonwealth of Australia,&lt;/author&gt;&lt;/authors&gt;&lt;/contributors&gt;&lt;titles&gt;&lt;title&gt;Improving the efficiency of new light vehicles&lt;/title&gt;&lt;/titles&gt;&lt;dates&gt;&lt;year&gt;2016&lt;/year&gt;&lt;/dates&gt;&lt;pub-location&gt;Canberra,&lt;/pub-location&gt;&lt;publisher&gt;Australian Government&lt;/publisher&gt;&lt;urls&gt;&lt;/urls&gt;&lt;/record&gt;&lt;/Cite&gt;&lt;/EndNote&gt;</w:instrText>
            </w:r>
            <w:r w:rsidR="0057188E" w:rsidRPr="0057188E">
              <w:rPr>
                <w:sz w:val="18"/>
                <w:szCs w:val="18"/>
              </w:rPr>
              <w:fldChar w:fldCharType="separate"/>
            </w:r>
            <w:r w:rsidR="0057188E" w:rsidRPr="0057188E">
              <w:rPr>
                <w:sz w:val="18"/>
                <w:szCs w:val="18"/>
              </w:rPr>
              <w:t>Commonwealth of Australia (2016)</w:t>
            </w:r>
            <w:r w:rsidR="0057188E" w:rsidRPr="0057188E">
              <w:rPr>
                <w:sz w:val="18"/>
                <w:szCs w:val="18"/>
              </w:rPr>
              <w:fldChar w:fldCharType="end"/>
            </w:r>
            <w:r w:rsidR="0057188E" w:rsidRPr="0057188E">
              <w:rPr>
                <w:sz w:val="18"/>
                <w:szCs w:val="18"/>
              </w:rPr>
              <w:t xml:space="preserve"> data on fuel efficiency. </w:t>
            </w:r>
          </w:p>
        </w:tc>
      </w:tr>
      <w:tr w:rsidR="003D7A86" w:rsidRPr="00AB491A" w14:paraId="38ED3D1E" w14:textId="77777777" w:rsidTr="002D17A6">
        <w:tc>
          <w:tcPr>
            <w:tcW w:w="2263" w:type="dxa"/>
            <w:tcBorders>
              <w:top w:val="single" w:sz="4" w:space="0" w:color="auto"/>
              <w:bottom w:val="single" w:sz="4" w:space="0" w:color="auto"/>
              <w:right w:val="single" w:sz="4" w:space="0" w:color="auto"/>
            </w:tcBorders>
          </w:tcPr>
          <w:p w14:paraId="7FF4CED4"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6DAFA57B" w14:textId="77777777" w:rsidR="003D7A86" w:rsidRPr="00AB491A" w:rsidRDefault="003D7A86" w:rsidP="007F346F">
            <w:pPr>
              <w:rPr>
                <w:sz w:val="18"/>
                <w:szCs w:val="18"/>
              </w:rPr>
            </w:pPr>
            <w:r>
              <w:rPr>
                <w:sz w:val="18"/>
                <w:szCs w:val="18"/>
              </w:rPr>
              <w:t>Additional energy efficiency expenditure as % GDP – services and households</w:t>
            </w:r>
          </w:p>
        </w:tc>
        <w:tc>
          <w:tcPr>
            <w:tcW w:w="2693" w:type="dxa"/>
            <w:tcBorders>
              <w:top w:val="single" w:sz="4" w:space="0" w:color="auto"/>
              <w:left w:val="single" w:sz="4" w:space="0" w:color="auto"/>
              <w:bottom w:val="single" w:sz="4" w:space="0" w:color="auto"/>
              <w:right w:val="single" w:sz="4" w:space="0" w:color="auto"/>
            </w:tcBorders>
          </w:tcPr>
          <w:p w14:paraId="066C534D" w14:textId="77777777" w:rsidR="003D7A86" w:rsidRPr="00AB491A" w:rsidRDefault="003D7A86" w:rsidP="007F346F">
            <w:pPr>
              <w:jc w:val="center"/>
              <w:rPr>
                <w:sz w:val="18"/>
                <w:szCs w:val="18"/>
              </w:rPr>
            </w:pPr>
            <w:r>
              <w:rPr>
                <w:sz w:val="18"/>
                <w:szCs w:val="18"/>
              </w:rPr>
              <w:t>None</w:t>
            </w:r>
          </w:p>
        </w:tc>
        <w:tc>
          <w:tcPr>
            <w:tcW w:w="2552" w:type="dxa"/>
            <w:tcBorders>
              <w:top w:val="single" w:sz="4" w:space="0" w:color="auto"/>
              <w:left w:val="single" w:sz="4" w:space="0" w:color="auto"/>
              <w:bottom w:val="single" w:sz="4" w:space="0" w:color="auto"/>
              <w:right w:val="single" w:sz="4" w:space="0" w:color="auto"/>
            </w:tcBorders>
          </w:tcPr>
          <w:p w14:paraId="131F2747" w14:textId="12A94445" w:rsidR="006C5BAD" w:rsidRDefault="006C5BAD" w:rsidP="007F346F">
            <w:pPr>
              <w:jc w:val="center"/>
              <w:rPr>
                <w:sz w:val="18"/>
                <w:szCs w:val="18"/>
              </w:rPr>
            </w:pPr>
            <w:r>
              <w:rPr>
                <w:sz w:val="18"/>
                <w:szCs w:val="18"/>
              </w:rPr>
              <w:t>Increased investment to 2030</w:t>
            </w:r>
          </w:p>
          <w:p w14:paraId="04C46EF1" w14:textId="4BAEFCA5" w:rsidR="003D7A86" w:rsidRDefault="003D7A86" w:rsidP="007F346F">
            <w:pPr>
              <w:jc w:val="center"/>
              <w:rPr>
                <w:sz w:val="18"/>
                <w:szCs w:val="18"/>
              </w:rPr>
            </w:pPr>
            <w:r>
              <w:rPr>
                <w:sz w:val="18"/>
                <w:szCs w:val="18"/>
              </w:rPr>
              <w:t>2021: 0.2</w:t>
            </w:r>
          </w:p>
          <w:p w14:paraId="7EE0CF57" w14:textId="77777777" w:rsidR="003D7A86" w:rsidRDefault="003D7A86" w:rsidP="007F346F">
            <w:pPr>
              <w:jc w:val="center"/>
              <w:rPr>
                <w:sz w:val="18"/>
                <w:szCs w:val="18"/>
              </w:rPr>
            </w:pPr>
            <w:r>
              <w:rPr>
                <w:sz w:val="18"/>
                <w:szCs w:val="18"/>
              </w:rPr>
              <w:t>2022: 0.2</w:t>
            </w:r>
          </w:p>
          <w:p w14:paraId="117F3ADD" w14:textId="77777777" w:rsidR="003D7A86" w:rsidRPr="00AB491A" w:rsidRDefault="003D7A86" w:rsidP="007F346F">
            <w:pPr>
              <w:jc w:val="center"/>
              <w:rPr>
                <w:sz w:val="18"/>
                <w:szCs w:val="18"/>
              </w:rPr>
            </w:pPr>
            <w:r>
              <w:rPr>
                <w:sz w:val="18"/>
                <w:szCs w:val="18"/>
              </w:rPr>
              <w:t>2023-2030: 0.2</w:t>
            </w:r>
          </w:p>
        </w:tc>
        <w:tc>
          <w:tcPr>
            <w:tcW w:w="4110" w:type="dxa"/>
            <w:tcBorders>
              <w:top w:val="single" w:sz="4" w:space="0" w:color="auto"/>
              <w:left w:val="single" w:sz="4" w:space="0" w:color="auto"/>
              <w:bottom w:val="single" w:sz="4" w:space="0" w:color="auto"/>
            </w:tcBorders>
          </w:tcPr>
          <w:p w14:paraId="5901E64F" w14:textId="30291F75" w:rsidR="003D7A86" w:rsidRPr="00AB491A" w:rsidRDefault="00E909E9" w:rsidP="002F5E7F">
            <w:pPr>
              <w:rPr>
                <w:sz w:val="18"/>
                <w:szCs w:val="18"/>
              </w:rPr>
            </w:pPr>
            <w:r>
              <w:rPr>
                <w:sz w:val="18"/>
                <w:szCs w:val="18"/>
              </w:rPr>
              <w:t>SWT</w:t>
            </w:r>
            <w:r w:rsidR="002F5E7F">
              <w:rPr>
                <w:sz w:val="18"/>
                <w:szCs w:val="18"/>
              </w:rPr>
              <w:t xml:space="preserve"> assumes increased investment in households and commercial buildings. </w:t>
            </w:r>
            <w:r w:rsidR="003D7A86" w:rsidRPr="00CD3DC2">
              <w:rPr>
                <w:sz w:val="18"/>
                <w:szCs w:val="18"/>
              </w:rPr>
              <w:t xml:space="preserve">Targets based on </w:t>
            </w:r>
            <w:proofErr w:type="spellStart"/>
            <w:r w:rsidR="003D7A86" w:rsidRPr="00CD3DC2">
              <w:rPr>
                <w:sz w:val="18"/>
                <w:szCs w:val="18"/>
              </w:rPr>
              <w:t>ClimateWorks</w:t>
            </w:r>
            <w:proofErr w:type="spellEnd"/>
            <w:r w:rsidR="003D7A86" w:rsidRPr="00CD3DC2">
              <w:rPr>
                <w:sz w:val="18"/>
                <w:szCs w:val="18"/>
              </w:rPr>
              <w:t xml:space="preserve"> and Australia Energy Efficiency Strategy </w:t>
            </w:r>
            <w:r w:rsidR="003D7A86" w:rsidRPr="00CD3DC2">
              <w:rPr>
                <w:sz w:val="18"/>
                <w:szCs w:val="18"/>
              </w:rPr>
              <w:fldChar w:fldCharType="begin"/>
            </w:r>
            <w:r w:rsidR="003D7A86" w:rsidRPr="00CD3DC2">
              <w:rPr>
                <w:sz w:val="18"/>
                <w:szCs w:val="18"/>
              </w:rPr>
              <w:instrText xml:space="preserve"> ADDIN EN.CITE &lt;EndNote&gt;&lt;Cite&gt;&lt;Author&gt;ClimateWorks Australia&lt;/Author&gt;&lt;Year&gt;2020&lt;/Year&gt;&lt;RecNum&gt;1484&lt;/RecNum&gt;&lt;DisplayText&gt;(ClimateWorks Australia, 2020, The Climate Institute, 2008)&lt;/DisplayText&gt;&lt;record&gt;&lt;rec-number&gt;1484&lt;/rec-number&gt;&lt;foreign-keys&gt;&lt;key app="EN" db-id="9vsrvaat7fadwtesfsrpw5w5t0x5v500ef25" timestamp="1600963142"&gt;1484&lt;/key&gt;&lt;/foreign-keys&gt;&lt;ref-type name="Generic"&gt;13&lt;/ref-type&gt;&lt;contributors&gt;&lt;authors&gt;&lt;author&gt;ClimateWorks Australia,&lt;/author&gt;&lt;/authors&gt;&lt;/contributors&gt;&lt;titles&gt;&lt;title&gt;Decarbonisation Futures: Solutions, actions and benchmarks for a net zero emissions Australia&lt;/title&gt;&lt;/titles&gt;&lt;dates&gt;&lt;year&gt;2020&lt;/year&gt;&lt;/dates&gt;&lt;pub-location&gt;Melbourne&lt;/pub-location&gt;&lt;publisher&gt;ClimateWorks&lt;/publisher&gt;&lt;urls&gt;&lt;/urls&gt;&lt;/record&gt;&lt;/Cite&gt;&lt;Cite&gt;&lt;Author&gt;The Climate Institute&lt;/Author&gt;&lt;Year&gt;2008&lt;/Year&gt;&lt;RecNum&gt;879&lt;/RecNum&gt;&lt;record&gt;&lt;rec-number&gt;879&lt;/rec-number&gt;&lt;foreign-keys&gt;&lt;key app="EN" db-id="9vsrvaat7fadwtesfsrpw5w5t0x5v500ef25" timestamp="1542425926"&gt;879&lt;/key&gt;&lt;/foreign-keys&gt;&lt;ref-type name="Generic"&gt;13&lt;/ref-type&gt;&lt;contributors&gt;&lt;authors&gt;&lt;author&gt;The Climate Institute,&lt;/author&gt;&lt;/authors&gt;&lt;/contributors&gt;&lt;titles&gt;&lt;title&gt;Australia&amp;apos;s National Strategy for Energy Efficiency&lt;/title&gt;&lt;/titles&gt;&lt;dates&gt;&lt;year&gt;2008&lt;/year&gt;&lt;/dates&gt;&lt;pub-location&gt;Canberra&lt;/pub-location&gt;&lt;publisher&gt;The Climate Institute&lt;/publisher&gt;&lt;urls&gt;&lt;/urls&gt;&lt;/record&gt;&lt;/Cite&gt;&lt;/EndNote&gt;</w:instrText>
            </w:r>
            <w:r w:rsidR="003D7A86" w:rsidRPr="00CD3DC2">
              <w:rPr>
                <w:sz w:val="18"/>
                <w:szCs w:val="18"/>
              </w:rPr>
              <w:fldChar w:fldCharType="separate"/>
            </w:r>
            <w:r w:rsidR="003D7A86" w:rsidRPr="00CD3DC2">
              <w:rPr>
                <w:sz w:val="18"/>
                <w:szCs w:val="18"/>
              </w:rPr>
              <w:t>(</w:t>
            </w:r>
            <w:proofErr w:type="spellStart"/>
            <w:r w:rsidR="003D7A86" w:rsidRPr="00CD3DC2">
              <w:rPr>
                <w:sz w:val="18"/>
                <w:szCs w:val="18"/>
              </w:rPr>
              <w:t>ClimateWorks</w:t>
            </w:r>
            <w:proofErr w:type="spellEnd"/>
            <w:r w:rsidR="003D7A86" w:rsidRPr="00CD3DC2">
              <w:rPr>
                <w:sz w:val="18"/>
                <w:szCs w:val="18"/>
              </w:rPr>
              <w:t xml:space="preserve"> Australia, 2020, The Climate Institute, 2008)</w:t>
            </w:r>
            <w:r w:rsidR="003D7A86" w:rsidRPr="00CD3DC2">
              <w:rPr>
                <w:sz w:val="18"/>
                <w:szCs w:val="18"/>
              </w:rPr>
              <w:fldChar w:fldCharType="end"/>
            </w:r>
          </w:p>
        </w:tc>
      </w:tr>
      <w:tr w:rsidR="003D7A86" w:rsidRPr="00AB491A" w14:paraId="2A9F34F9" w14:textId="77777777" w:rsidTr="002D17A6">
        <w:tc>
          <w:tcPr>
            <w:tcW w:w="2263" w:type="dxa"/>
            <w:tcBorders>
              <w:top w:val="single" w:sz="4" w:space="0" w:color="auto"/>
              <w:bottom w:val="single" w:sz="4" w:space="0" w:color="auto"/>
              <w:right w:val="single" w:sz="4" w:space="0" w:color="auto"/>
            </w:tcBorders>
          </w:tcPr>
          <w:p w14:paraId="01C53646"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05BFC1A6" w14:textId="77777777" w:rsidR="003D7A86" w:rsidRPr="00AB491A" w:rsidRDefault="003D7A86" w:rsidP="007F346F">
            <w:pPr>
              <w:rPr>
                <w:sz w:val="18"/>
                <w:szCs w:val="18"/>
              </w:rPr>
            </w:pPr>
            <w:r>
              <w:rPr>
                <w:sz w:val="18"/>
                <w:szCs w:val="18"/>
              </w:rPr>
              <w:t>Fuel switch commercial buildings by 2030 and 2050 (%)</w:t>
            </w:r>
          </w:p>
        </w:tc>
        <w:tc>
          <w:tcPr>
            <w:tcW w:w="2693" w:type="dxa"/>
            <w:tcBorders>
              <w:top w:val="single" w:sz="4" w:space="0" w:color="auto"/>
              <w:left w:val="single" w:sz="4" w:space="0" w:color="auto"/>
              <w:bottom w:val="single" w:sz="4" w:space="0" w:color="auto"/>
              <w:right w:val="single" w:sz="4" w:space="0" w:color="auto"/>
            </w:tcBorders>
          </w:tcPr>
          <w:p w14:paraId="4D16539C" w14:textId="1FD3510C" w:rsidR="006C5BAD" w:rsidRDefault="006C5BAD" w:rsidP="007F346F">
            <w:pPr>
              <w:jc w:val="center"/>
              <w:rPr>
                <w:sz w:val="18"/>
                <w:szCs w:val="18"/>
              </w:rPr>
            </w:pPr>
            <w:r>
              <w:rPr>
                <w:sz w:val="18"/>
                <w:szCs w:val="18"/>
              </w:rPr>
              <w:t>Baseline electrification by 2050</w:t>
            </w:r>
          </w:p>
          <w:p w14:paraId="2874A2D9" w14:textId="0EF2D7A5" w:rsidR="003D7A86" w:rsidRPr="00AB491A" w:rsidRDefault="003D7A86" w:rsidP="007F346F">
            <w:pPr>
              <w:jc w:val="center"/>
              <w:rPr>
                <w:sz w:val="18"/>
                <w:szCs w:val="18"/>
              </w:rPr>
            </w:pPr>
            <w:r>
              <w:rPr>
                <w:sz w:val="18"/>
                <w:szCs w:val="18"/>
              </w:rPr>
              <w:t>2050: 0.3</w:t>
            </w:r>
            <w:r w:rsidR="007347D3">
              <w:rPr>
                <w:sz w:val="18"/>
                <w:szCs w:val="18"/>
              </w:rPr>
              <w:t xml:space="preserve"> (30%)</w:t>
            </w:r>
          </w:p>
        </w:tc>
        <w:tc>
          <w:tcPr>
            <w:tcW w:w="2552" w:type="dxa"/>
            <w:tcBorders>
              <w:top w:val="single" w:sz="4" w:space="0" w:color="auto"/>
              <w:left w:val="single" w:sz="4" w:space="0" w:color="auto"/>
              <w:bottom w:val="single" w:sz="4" w:space="0" w:color="auto"/>
              <w:right w:val="single" w:sz="4" w:space="0" w:color="auto"/>
            </w:tcBorders>
          </w:tcPr>
          <w:p w14:paraId="08585902" w14:textId="7727DE7C" w:rsidR="006C5BAD" w:rsidRDefault="006C5BAD" w:rsidP="007F346F">
            <w:pPr>
              <w:jc w:val="center"/>
              <w:rPr>
                <w:sz w:val="18"/>
                <w:szCs w:val="18"/>
              </w:rPr>
            </w:pPr>
            <w:r>
              <w:rPr>
                <w:sz w:val="18"/>
                <w:szCs w:val="18"/>
              </w:rPr>
              <w:t xml:space="preserve">Accelerated </w:t>
            </w:r>
            <w:r w:rsidR="007347D3">
              <w:rPr>
                <w:sz w:val="18"/>
                <w:szCs w:val="18"/>
              </w:rPr>
              <w:t>el</w:t>
            </w:r>
            <w:r>
              <w:rPr>
                <w:sz w:val="18"/>
                <w:szCs w:val="18"/>
              </w:rPr>
              <w:t>ectrification by 2050</w:t>
            </w:r>
          </w:p>
          <w:p w14:paraId="1D982961" w14:textId="31EBA549" w:rsidR="003D7A86" w:rsidRPr="00AB491A" w:rsidRDefault="003D7A86" w:rsidP="007F346F">
            <w:pPr>
              <w:jc w:val="center"/>
              <w:rPr>
                <w:sz w:val="18"/>
                <w:szCs w:val="18"/>
              </w:rPr>
            </w:pPr>
            <w:r>
              <w:rPr>
                <w:sz w:val="18"/>
                <w:szCs w:val="18"/>
              </w:rPr>
              <w:t>2050: 1</w:t>
            </w:r>
            <w:r w:rsidR="007347D3">
              <w:rPr>
                <w:sz w:val="18"/>
                <w:szCs w:val="18"/>
              </w:rPr>
              <w:t xml:space="preserve"> (100%)</w:t>
            </w:r>
          </w:p>
        </w:tc>
        <w:tc>
          <w:tcPr>
            <w:tcW w:w="4110" w:type="dxa"/>
            <w:tcBorders>
              <w:top w:val="single" w:sz="4" w:space="0" w:color="auto"/>
              <w:left w:val="single" w:sz="4" w:space="0" w:color="auto"/>
              <w:bottom w:val="single" w:sz="4" w:space="0" w:color="auto"/>
            </w:tcBorders>
          </w:tcPr>
          <w:p w14:paraId="71782E90" w14:textId="41CE15D1" w:rsidR="003D7A86" w:rsidRPr="008E3982" w:rsidRDefault="00E909E9" w:rsidP="0052056D">
            <w:pPr>
              <w:rPr>
                <w:sz w:val="18"/>
                <w:szCs w:val="18"/>
              </w:rPr>
            </w:pPr>
            <w:r>
              <w:rPr>
                <w:sz w:val="18"/>
                <w:szCs w:val="18"/>
              </w:rPr>
              <w:t>SWT</w:t>
            </w:r>
            <w:r w:rsidR="0052056D">
              <w:rPr>
                <w:sz w:val="18"/>
                <w:szCs w:val="18"/>
              </w:rPr>
              <w:t xml:space="preserve"> assumes accelerated electrification of commercial buildings. </w:t>
            </w:r>
            <w:r w:rsidR="003D7A86" w:rsidRPr="008E3982">
              <w:rPr>
                <w:sz w:val="18"/>
                <w:szCs w:val="18"/>
              </w:rPr>
              <w:t xml:space="preserve">Targets and switching based on </w:t>
            </w:r>
            <w:proofErr w:type="spellStart"/>
            <w:r w:rsidR="003D7A86" w:rsidRPr="008E3982">
              <w:rPr>
                <w:sz w:val="18"/>
                <w:szCs w:val="18"/>
              </w:rPr>
              <w:t>ClimateWorks</w:t>
            </w:r>
            <w:proofErr w:type="spellEnd"/>
            <w:r w:rsidR="003D7A86" w:rsidRPr="008E3982">
              <w:rPr>
                <w:sz w:val="18"/>
                <w:szCs w:val="18"/>
              </w:rPr>
              <w:t xml:space="preserve"> and ASBEC </w:t>
            </w:r>
            <w:r w:rsidR="003D7A86" w:rsidRPr="008E3982">
              <w:rPr>
                <w:sz w:val="18"/>
                <w:szCs w:val="18"/>
              </w:rPr>
              <w:fldChar w:fldCharType="begin"/>
            </w:r>
            <w:r w:rsidR="003D7A86" w:rsidRPr="008E3982">
              <w:rPr>
                <w:sz w:val="18"/>
                <w:szCs w:val="18"/>
              </w:rPr>
              <w:instrText xml:space="preserve"> ADDIN EN.CITE &lt;EndNote&gt;&lt;Cite&gt;&lt;Author&gt;ClimateWorks Australia&lt;/Author&gt;&lt;Year&gt;2020&lt;/Year&gt;&lt;RecNum&gt;1484&lt;/RecNum&gt;&lt;DisplayText&gt;(ClimateWorks Australia, 2020, ASBEC, 2016)&lt;/DisplayText&gt;&lt;record&gt;&lt;rec-number&gt;1484&lt;/rec-number&gt;&lt;foreign-keys&gt;&lt;key app="EN" db-id="9vsrvaat7fadwtesfsrpw5w5t0x5v500ef25" timestamp="1600963142"&gt;1484&lt;/key&gt;&lt;/foreign-keys&gt;&lt;ref-type name="Generic"&gt;13&lt;/ref-type&gt;&lt;contributors&gt;&lt;authors&gt;&lt;author&gt;ClimateWorks Australia,&lt;/author&gt;&lt;/authors&gt;&lt;/contributors&gt;&lt;titles&gt;&lt;title&gt;Decarbonisation Futures: Solutions, actions and benchmarks for a net zero emissions Australia&lt;/title&gt;&lt;/titles&gt;&lt;dates&gt;&lt;year&gt;2020&lt;/year&gt;&lt;/dates&gt;&lt;pub-location&gt;Melbourne&lt;/pub-location&gt;&lt;publisher&gt;ClimateWorks&lt;/publisher&gt;&lt;urls&gt;&lt;/urls&gt;&lt;/record&gt;&lt;/Cite&gt;&lt;Cite&gt;&lt;Author&gt;ASBEC&lt;/Author&gt;&lt;Year&gt;2016&lt;/Year&gt;&lt;RecNum&gt;1500&lt;/RecNum&gt;&lt;record&gt;&lt;rec-number&gt;1500&lt;/rec-number&gt;&lt;foreign-keys&gt;&lt;key app="EN" db-id="9vsrvaat7fadwtesfsrpw5w5t0x5v500ef25" timestamp="1603463051"&gt;1500&lt;/key&gt;&lt;/foreign-keys&gt;&lt;ref-type name="Generic"&gt;13&lt;/ref-type&gt;&lt;contributors&gt;&lt;authors&gt;&lt;author&gt;ASBEC,&lt;/author&gt;&lt;/authors&gt;&lt;/contributors&gt;&lt;titles&gt;&lt;title&gt;Low Carbon High Performance: How buildings can make a major contribution to Australia’s emissions and productivity goals&lt;/title&gt;&lt;/titles&gt;&lt;dates&gt;&lt;year&gt;2016&lt;/year&gt;&lt;/dates&gt;&lt;pub-location&gt;Melbourne&lt;/pub-location&gt;&lt;publisher&gt;Australian Sustainable Built Environment Council&lt;/publisher&gt;&lt;urls&gt;&lt;/urls&gt;&lt;/record&gt;&lt;/Cite&gt;&lt;/EndNote&gt;</w:instrText>
            </w:r>
            <w:r w:rsidR="003D7A86" w:rsidRPr="008E3982">
              <w:rPr>
                <w:sz w:val="18"/>
                <w:szCs w:val="18"/>
              </w:rPr>
              <w:fldChar w:fldCharType="separate"/>
            </w:r>
            <w:r w:rsidR="003D7A86" w:rsidRPr="008E3982">
              <w:rPr>
                <w:sz w:val="18"/>
                <w:szCs w:val="18"/>
              </w:rPr>
              <w:t>(</w:t>
            </w:r>
            <w:proofErr w:type="spellStart"/>
            <w:r w:rsidR="003D7A86" w:rsidRPr="008E3982">
              <w:rPr>
                <w:sz w:val="18"/>
                <w:szCs w:val="18"/>
              </w:rPr>
              <w:t>ClimateWorks</w:t>
            </w:r>
            <w:proofErr w:type="spellEnd"/>
            <w:r w:rsidR="003D7A86" w:rsidRPr="008E3982">
              <w:rPr>
                <w:sz w:val="18"/>
                <w:szCs w:val="18"/>
              </w:rPr>
              <w:t xml:space="preserve"> Australia, 2020, ASBEC, 2016)</w:t>
            </w:r>
            <w:r w:rsidR="003D7A86" w:rsidRPr="008E3982">
              <w:rPr>
                <w:sz w:val="18"/>
                <w:szCs w:val="18"/>
              </w:rPr>
              <w:fldChar w:fldCharType="end"/>
            </w:r>
            <w:r w:rsidR="006C17A5">
              <w:rPr>
                <w:sz w:val="18"/>
                <w:szCs w:val="18"/>
              </w:rPr>
              <w:t xml:space="preserve"> and previous modelling for Australia </w:t>
            </w:r>
            <w:r w:rsidR="006C17A5">
              <w:rPr>
                <w:sz w:val="18"/>
                <w:szCs w:val="18"/>
              </w:rPr>
              <w:fldChar w:fldCharType="begin"/>
            </w:r>
            <w:r w:rsidR="006C17A5">
              <w:rPr>
                <w:sz w:val="18"/>
                <w:szCs w:val="18"/>
              </w:rPr>
              <w:instrText xml:space="preserve"> ADDIN EN.CITE &lt;EndNote&gt;&lt;Cite&gt;&lt;Author&gt;Allen&lt;/Author&gt;&lt;Year&gt;2021&lt;/Year&gt;&lt;RecNum&gt;1721&lt;/RecNum&gt;&lt;DisplayText&gt;(Allen et al., 2021)&lt;/DisplayText&gt;&lt;record&gt;&lt;rec-number&gt;1721&lt;/rec-number&gt;&lt;foreign-keys&gt;&lt;key app="EN" db-id="9vsrvaat7fadwtesfsrpw5w5t0x5v500ef25" timestamp="1609277168"&gt;1721&lt;/key&gt;&lt;/foreign-keys&gt;&lt;ref-type name="Journal Article"&gt;17&lt;/ref-type&gt;&lt;contributors&gt;&lt;authors&gt;&lt;author&gt;Allen, C&lt;/author&gt;&lt;author&gt;Oldfield, P&lt;/author&gt;&lt;author&gt;Teh, SH&lt;/author&gt;&lt;author&gt;Wiedmann, T&lt;/author&gt;&lt;author&gt;Langdon, S&lt;/author&gt;&lt;author&gt;Yu, M&lt;/author&gt;&lt;author&gt;Yang, J&lt;/author&gt;&lt;/authors&gt;&lt;/contributors&gt;&lt;titles&gt;&lt;title&gt;Modelling ambitious climate mitigation pathways for Australia&amp;apos;s built environment&lt;/title&gt;&lt;secondary-title&gt;Sustainable Cities and Society&lt;/secondary-title&gt;&lt;/titles&gt;&lt;periodical&gt;&lt;full-title&gt;Sustainable Cities and Society&lt;/full-title&gt;&lt;/periodical&gt;&lt;volume&gt;published online 18 November 2021&lt;/volume&gt;&lt;dates&gt;&lt;year&gt;2021&lt;/year&gt;&lt;/dates&gt;&lt;urls&gt;&lt;/urls&gt;&lt;electronic-resource-num&gt;https://doi.org/10.1016/j.scs.2021.103554&lt;/electronic-resource-num&gt;&lt;/record&gt;&lt;/Cite&gt;&lt;/EndNote&gt;</w:instrText>
            </w:r>
            <w:r w:rsidR="006C17A5">
              <w:rPr>
                <w:sz w:val="18"/>
                <w:szCs w:val="18"/>
              </w:rPr>
              <w:fldChar w:fldCharType="separate"/>
            </w:r>
            <w:r w:rsidR="006C17A5">
              <w:rPr>
                <w:noProof/>
                <w:sz w:val="18"/>
                <w:szCs w:val="18"/>
              </w:rPr>
              <w:t>(Allen et al., 2021)</w:t>
            </w:r>
            <w:r w:rsidR="006C17A5">
              <w:rPr>
                <w:sz w:val="18"/>
                <w:szCs w:val="18"/>
              </w:rPr>
              <w:fldChar w:fldCharType="end"/>
            </w:r>
          </w:p>
        </w:tc>
      </w:tr>
      <w:tr w:rsidR="003D7A86" w:rsidRPr="00AB491A" w14:paraId="12EBA3ED" w14:textId="77777777" w:rsidTr="002D17A6">
        <w:tc>
          <w:tcPr>
            <w:tcW w:w="2263" w:type="dxa"/>
            <w:tcBorders>
              <w:top w:val="single" w:sz="4" w:space="0" w:color="auto"/>
              <w:bottom w:val="single" w:sz="4" w:space="0" w:color="auto"/>
              <w:right w:val="single" w:sz="4" w:space="0" w:color="auto"/>
            </w:tcBorders>
          </w:tcPr>
          <w:p w14:paraId="38C010D8"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3B5306E2" w14:textId="77777777" w:rsidR="003D7A86" w:rsidRPr="00AB491A" w:rsidRDefault="003D7A86" w:rsidP="007F346F">
            <w:pPr>
              <w:rPr>
                <w:sz w:val="18"/>
                <w:szCs w:val="18"/>
              </w:rPr>
            </w:pPr>
            <w:r>
              <w:rPr>
                <w:sz w:val="18"/>
                <w:szCs w:val="18"/>
              </w:rPr>
              <w:t>Fuel switch residential buildings by 2030 and 2050 (%)</w:t>
            </w:r>
          </w:p>
        </w:tc>
        <w:tc>
          <w:tcPr>
            <w:tcW w:w="2693" w:type="dxa"/>
            <w:tcBorders>
              <w:top w:val="single" w:sz="4" w:space="0" w:color="auto"/>
              <w:left w:val="single" w:sz="4" w:space="0" w:color="auto"/>
              <w:bottom w:val="single" w:sz="4" w:space="0" w:color="auto"/>
              <w:right w:val="single" w:sz="4" w:space="0" w:color="auto"/>
            </w:tcBorders>
          </w:tcPr>
          <w:p w14:paraId="2604228B" w14:textId="77777777" w:rsidR="004E1D59" w:rsidRDefault="004E1D59" w:rsidP="004E1D59">
            <w:pPr>
              <w:jc w:val="center"/>
              <w:rPr>
                <w:sz w:val="18"/>
                <w:szCs w:val="18"/>
              </w:rPr>
            </w:pPr>
            <w:r>
              <w:rPr>
                <w:sz w:val="18"/>
                <w:szCs w:val="18"/>
              </w:rPr>
              <w:t>Baseline electrification by 2050</w:t>
            </w:r>
          </w:p>
          <w:p w14:paraId="7B3BF2D3" w14:textId="376DD264" w:rsidR="003D7A86" w:rsidRPr="00AB491A" w:rsidRDefault="003D7A86" w:rsidP="007F346F">
            <w:pPr>
              <w:jc w:val="center"/>
              <w:rPr>
                <w:sz w:val="18"/>
                <w:szCs w:val="18"/>
              </w:rPr>
            </w:pPr>
            <w:r>
              <w:rPr>
                <w:sz w:val="18"/>
                <w:szCs w:val="18"/>
              </w:rPr>
              <w:t>2050: 0.3</w:t>
            </w:r>
            <w:r w:rsidR="004E1D59">
              <w:rPr>
                <w:sz w:val="18"/>
                <w:szCs w:val="18"/>
              </w:rPr>
              <w:t xml:space="preserve"> (30%)</w:t>
            </w:r>
          </w:p>
        </w:tc>
        <w:tc>
          <w:tcPr>
            <w:tcW w:w="2552" w:type="dxa"/>
            <w:tcBorders>
              <w:top w:val="single" w:sz="4" w:space="0" w:color="auto"/>
              <w:left w:val="single" w:sz="4" w:space="0" w:color="auto"/>
              <w:bottom w:val="single" w:sz="4" w:space="0" w:color="auto"/>
              <w:right w:val="single" w:sz="4" w:space="0" w:color="auto"/>
            </w:tcBorders>
          </w:tcPr>
          <w:p w14:paraId="260FADF2" w14:textId="77777777" w:rsidR="004E1D59" w:rsidRDefault="004E1D59" w:rsidP="004E1D59">
            <w:pPr>
              <w:jc w:val="center"/>
              <w:rPr>
                <w:sz w:val="18"/>
                <w:szCs w:val="18"/>
              </w:rPr>
            </w:pPr>
            <w:r>
              <w:rPr>
                <w:sz w:val="18"/>
                <w:szCs w:val="18"/>
              </w:rPr>
              <w:t>Accelerated electrification by 2050</w:t>
            </w:r>
          </w:p>
          <w:p w14:paraId="45DF89FB" w14:textId="47DBAEB3" w:rsidR="003D7A86" w:rsidRPr="00AB491A" w:rsidRDefault="003D7A86" w:rsidP="007F346F">
            <w:pPr>
              <w:jc w:val="center"/>
              <w:rPr>
                <w:sz w:val="18"/>
                <w:szCs w:val="18"/>
              </w:rPr>
            </w:pPr>
            <w:r>
              <w:rPr>
                <w:sz w:val="18"/>
                <w:szCs w:val="18"/>
              </w:rPr>
              <w:t>2050: 1</w:t>
            </w:r>
            <w:r w:rsidR="004E1D59">
              <w:rPr>
                <w:sz w:val="18"/>
                <w:szCs w:val="18"/>
              </w:rPr>
              <w:t xml:space="preserve"> (100%)</w:t>
            </w:r>
          </w:p>
        </w:tc>
        <w:tc>
          <w:tcPr>
            <w:tcW w:w="4110" w:type="dxa"/>
            <w:tcBorders>
              <w:top w:val="single" w:sz="4" w:space="0" w:color="auto"/>
              <w:left w:val="single" w:sz="4" w:space="0" w:color="auto"/>
              <w:bottom w:val="single" w:sz="4" w:space="0" w:color="auto"/>
            </w:tcBorders>
          </w:tcPr>
          <w:p w14:paraId="2BBD2971" w14:textId="0517FF2C" w:rsidR="003D7A86" w:rsidRPr="00494726" w:rsidRDefault="00E909E9" w:rsidP="007F346F">
            <w:pPr>
              <w:rPr>
                <w:color w:val="FF0000"/>
                <w:sz w:val="18"/>
                <w:szCs w:val="18"/>
              </w:rPr>
            </w:pPr>
            <w:r>
              <w:rPr>
                <w:sz w:val="18"/>
                <w:szCs w:val="18"/>
              </w:rPr>
              <w:t>SWT</w:t>
            </w:r>
            <w:r w:rsidR="0052056D">
              <w:rPr>
                <w:sz w:val="18"/>
                <w:szCs w:val="18"/>
              </w:rPr>
              <w:t xml:space="preserve"> assumes accelerated electrification of residential buildings. </w:t>
            </w:r>
            <w:r w:rsidR="0052056D" w:rsidRPr="008E3982">
              <w:rPr>
                <w:sz w:val="18"/>
                <w:szCs w:val="18"/>
              </w:rPr>
              <w:t xml:space="preserve">Targets and switching based on </w:t>
            </w:r>
            <w:proofErr w:type="spellStart"/>
            <w:r w:rsidR="0052056D" w:rsidRPr="008E3982">
              <w:rPr>
                <w:sz w:val="18"/>
                <w:szCs w:val="18"/>
              </w:rPr>
              <w:t>ClimateWorks</w:t>
            </w:r>
            <w:proofErr w:type="spellEnd"/>
            <w:r w:rsidR="0052056D" w:rsidRPr="008E3982">
              <w:rPr>
                <w:sz w:val="18"/>
                <w:szCs w:val="18"/>
              </w:rPr>
              <w:t xml:space="preserve"> and ASBEC </w:t>
            </w:r>
            <w:r w:rsidR="0052056D" w:rsidRPr="008E3982">
              <w:rPr>
                <w:sz w:val="18"/>
                <w:szCs w:val="18"/>
              </w:rPr>
              <w:fldChar w:fldCharType="begin"/>
            </w:r>
            <w:r w:rsidR="0052056D" w:rsidRPr="008E3982">
              <w:rPr>
                <w:sz w:val="18"/>
                <w:szCs w:val="18"/>
              </w:rPr>
              <w:instrText xml:space="preserve"> ADDIN EN.CITE &lt;EndNote&gt;&lt;Cite&gt;&lt;Author&gt;ClimateWorks Australia&lt;/Author&gt;&lt;Year&gt;2020&lt;/Year&gt;&lt;RecNum&gt;1484&lt;/RecNum&gt;&lt;DisplayText&gt;(ClimateWorks Australia, 2020, ASBEC, 2016)&lt;/DisplayText&gt;&lt;record&gt;&lt;rec-number&gt;1484&lt;/rec-number&gt;&lt;foreign-keys&gt;&lt;key app="EN" db-id="9vsrvaat7fadwtesfsrpw5w5t0x5v500ef25" timestamp="1600963142"&gt;1484&lt;/key&gt;&lt;/foreign-keys&gt;&lt;ref-type name="Generic"&gt;13&lt;/ref-type&gt;&lt;contributors&gt;&lt;authors&gt;&lt;author&gt;ClimateWorks Australia,&lt;/author&gt;&lt;/authors&gt;&lt;/contributors&gt;&lt;titles&gt;&lt;title&gt;Decarbonisation Futures: Solutions, actions and benchmarks for a net zero emissions Australia&lt;/title&gt;&lt;/titles&gt;&lt;dates&gt;&lt;year&gt;2020&lt;/year&gt;&lt;/dates&gt;&lt;pub-location&gt;Melbourne&lt;/pub-location&gt;&lt;publisher&gt;ClimateWorks&lt;/publisher&gt;&lt;urls&gt;&lt;/urls&gt;&lt;/record&gt;&lt;/Cite&gt;&lt;Cite&gt;&lt;Author&gt;ASBEC&lt;/Author&gt;&lt;Year&gt;2016&lt;/Year&gt;&lt;RecNum&gt;1500&lt;/RecNum&gt;&lt;record&gt;&lt;rec-number&gt;1500&lt;/rec-number&gt;&lt;foreign-keys&gt;&lt;key app="EN" db-id="9vsrvaat7fadwtesfsrpw5w5t0x5v500ef25" timestamp="1603463051"&gt;1500&lt;/key&gt;&lt;/foreign-keys&gt;&lt;ref-type name="Generic"&gt;13&lt;/ref-type&gt;&lt;contributors&gt;&lt;authors&gt;&lt;author&gt;ASBEC,&lt;/author&gt;&lt;/authors&gt;&lt;/contributors&gt;&lt;titles&gt;&lt;title&gt;Low Carbon High Performance: How buildings can make a major contribution to Australia’s emissions and productivity goals&lt;/title&gt;&lt;/titles&gt;&lt;dates&gt;&lt;year&gt;2016&lt;/year&gt;&lt;/dates&gt;&lt;pub-location&gt;Melbourne&lt;/pub-location&gt;&lt;publisher&gt;Australian Sustainable Built Environment Council&lt;/publisher&gt;&lt;urls&gt;&lt;/urls&gt;&lt;/record&gt;&lt;/Cite&gt;&lt;/EndNote&gt;</w:instrText>
            </w:r>
            <w:r w:rsidR="0052056D" w:rsidRPr="008E3982">
              <w:rPr>
                <w:sz w:val="18"/>
                <w:szCs w:val="18"/>
              </w:rPr>
              <w:fldChar w:fldCharType="separate"/>
            </w:r>
            <w:r w:rsidR="0052056D" w:rsidRPr="008E3982">
              <w:rPr>
                <w:sz w:val="18"/>
                <w:szCs w:val="18"/>
              </w:rPr>
              <w:t>(</w:t>
            </w:r>
            <w:proofErr w:type="spellStart"/>
            <w:r w:rsidR="0052056D" w:rsidRPr="008E3982">
              <w:rPr>
                <w:sz w:val="18"/>
                <w:szCs w:val="18"/>
              </w:rPr>
              <w:t>ClimateWorks</w:t>
            </w:r>
            <w:proofErr w:type="spellEnd"/>
            <w:r w:rsidR="0052056D" w:rsidRPr="008E3982">
              <w:rPr>
                <w:sz w:val="18"/>
                <w:szCs w:val="18"/>
              </w:rPr>
              <w:t xml:space="preserve"> Australia, 2020, ASBEC, 2016)</w:t>
            </w:r>
            <w:r w:rsidR="0052056D" w:rsidRPr="008E3982">
              <w:rPr>
                <w:sz w:val="18"/>
                <w:szCs w:val="18"/>
              </w:rPr>
              <w:fldChar w:fldCharType="end"/>
            </w:r>
            <w:r w:rsidR="0052056D">
              <w:rPr>
                <w:sz w:val="18"/>
                <w:szCs w:val="18"/>
              </w:rPr>
              <w:t xml:space="preserve"> and previous modelling for Australia </w:t>
            </w:r>
            <w:r w:rsidR="0052056D">
              <w:rPr>
                <w:sz w:val="18"/>
                <w:szCs w:val="18"/>
              </w:rPr>
              <w:fldChar w:fldCharType="begin"/>
            </w:r>
            <w:r w:rsidR="0052056D">
              <w:rPr>
                <w:sz w:val="18"/>
                <w:szCs w:val="18"/>
              </w:rPr>
              <w:instrText xml:space="preserve"> ADDIN EN.CITE &lt;EndNote&gt;&lt;Cite&gt;&lt;Author&gt;Allen&lt;/Author&gt;&lt;Year&gt;2021&lt;/Year&gt;&lt;RecNum&gt;1721&lt;/RecNum&gt;&lt;DisplayText&gt;(Allen et al., 2021)&lt;/DisplayText&gt;&lt;record&gt;&lt;rec-number&gt;1721&lt;/rec-number&gt;&lt;foreign-keys&gt;&lt;key app="EN" db-id="9vsrvaat7fadwtesfsrpw5w5t0x5v500ef25" timestamp="1609277168"&gt;1721&lt;/key&gt;&lt;/foreign-keys&gt;&lt;ref-type name="Journal Article"&gt;17&lt;/ref-type&gt;&lt;contributors&gt;&lt;authors&gt;&lt;author&gt;Allen, C&lt;/author&gt;&lt;author&gt;Oldfield, P&lt;/author&gt;&lt;author&gt;Teh, SH&lt;/author&gt;&lt;author&gt;Wiedmann, T&lt;/author&gt;&lt;author&gt;Langdon, S&lt;/author&gt;&lt;author&gt;Yu, M&lt;/author&gt;&lt;author&gt;Yang, J&lt;/author&gt;&lt;/authors&gt;&lt;/contributors&gt;&lt;titles&gt;&lt;title&gt;Modelling ambitious climate mitigation pathways for Australia&amp;apos;s built environment&lt;/title&gt;&lt;secondary-title&gt;Sustainable Cities and Society&lt;/secondary-title&gt;&lt;/titles&gt;&lt;periodical&gt;&lt;full-title&gt;Sustainable Cities and Society&lt;/full-title&gt;&lt;/periodical&gt;&lt;volume&gt;published online 18 November 2021&lt;/volume&gt;&lt;dates&gt;&lt;year&gt;2021&lt;/year&gt;&lt;/dates&gt;&lt;urls&gt;&lt;/urls&gt;&lt;electronic-resource-num&gt;https://doi.org/10.1016/j.scs.2021.103554&lt;/electronic-resource-num&gt;&lt;/record&gt;&lt;/Cite&gt;&lt;/EndNote&gt;</w:instrText>
            </w:r>
            <w:r w:rsidR="0052056D">
              <w:rPr>
                <w:sz w:val="18"/>
                <w:szCs w:val="18"/>
              </w:rPr>
              <w:fldChar w:fldCharType="separate"/>
            </w:r>
            <w:r w:rsidR="0052056D">
              <w:rPr>
                <w:noProof/>
                <w:sz w:val="18"/>
                <w:szCs w:val="18"/>
              </w:rPr>
              <w:t>(Allen et al., 2021)</w:t>
            </w:r>
            <w:r w:rsidR="0052056D">
              <w:rPr>
                <w:sz w:val="18"/>
                <w:szCs w:val="18"/>
              </w:rPr>
              <w:fldChar w:fldCharType="end"/>
            </w:r>
          </w:p>
        </w:tc>
      </w:tr>
      <w:tr w:rsidR="003D7A86" w:rsidRPr="00AB491A" w14:paraId="17CC6EF9" w14:textId="77777777" w:rsidTr="002D17A6">
        <w:tc>
          <w:tcPr>
            <w:tcW w:w="2263" w:type="dxa"/>
            <w:tcBorders>
              <w:top w:val="single" w:sz="4" w:space="0" w:color="auto"/>
              <w:bottom w:val="single" w:sz="4" w:space="0" w:color="auto"/>
              <w:right w:val="single" w:sz="4" w:space="0" w:color="auto"/>
            </w:tcBorders>
          </w:tcPr>
          <w:p w14:paraId="74FC86B3"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16C8656F" w14:textId="77777777" w:rsidR="003D7A86" w:rsidRPr="00AB491A" w:rsidRDefault="003D7A86" w:rsidP="007F346F">
            <w:pPr>
              <w:rPr>
                <w:sz w:val="18"/>
                <w:szCs w:val="18"/>
              </w:rPr>
            </w:pPr>
            <w:r>
              <w:rPr>
                <w:sz w:val="18"/>
                <w:szCs w:val="18"/>
              </w:rPr>
              <w:t>Target share of timber buildings by 2050</w:t>
            </w:r>
          </w:p>
        </w:tc>
        <w:tc>
          <w:tcPr>
            <w:tcW w:w="2693" w:type="dxa"/>
            <w:tcBorders>
              <w:top w:val="single" w:sz="4" w:space="0" w:color="auto"/>
              <w:left w:val="single" w:sz="4" w:space="0" w:color="auto"/>
              <w:bottom w:val="single" w:sz="4" w:space="0" w:color="auto"/>
              <w:right w:val="single" w:sz="4" w:space="0" w:color="auto"/>
            </w:tcBorders>
          </w:tcPr>
          <w:p w14:paraId="20E81616" w14:textId="77777777" w:rsidR="003D7A86" w:rsidRPr="00AB491A" w:rsidRDefault="003D7A86" w:rsidP="007F346F">
            <w:pPr>
              <w:jc w:val="center"/>
              <w:rPr>
                <w:sz w:val="18"/>
                <w:szCs w:val="18"/>
              </w:rPr>
            </w:pPr>
            <w:r>
              <w:rPr>
                <w:sz w:val="18"/>
                <w:szCs w:val="18"/>
              </w:rPr>
              <w:t>None</w:t>
            </w:r>
          </w:p>
        </w:tc>
        <w:tc>
          <w:tcPr>
            <w:tcW w:w="2552" w:type="dxa"/>
            <w:tcBorders>
              <w:top w:val="single" w:sz="4" w:space="0" w:color="auto"/>
              <w:left w:val="single" w:sz="4" w:space="0" w:color="auto"/>
              <w:bottom w:val="single" w:sz="4" w:space="0" w:color="auto"/>
              <w:right w:val="single" w:sz="4" w:space="0" w:color="auto"/>
            </w:tcBorders>
          </w:tcPr>
          <w:p w14:paraId="4626FBA3" w14:textId="122FE1DE" w:rsidR="00EB6C4B" w:rsidRDefault="00EB6C4B" w:rsidP="007F346F">
            <w:pPr>
              <w:jc w:val="center"/>
              <w:rPr>
                <w:sz w:val="18"/>
                <w:szCs w:val="18"/>
              </w:rPr>
            </w:pPr>
            <w:r>
              <w:rPr>
                <w:sz w:val="18"/>
                <w:szCs w:val="18"/>
              </w:rPr>
              <w:t>Mandated target for 2050</w:t>
            </w:r>
          </w:p>
          <w:p w14:paraId="02A41DC4" w14:textId="0B473773" w:rsidR="003D7A86" w:rsidRPr="00AB491A" w:rsidRDefault="003D7A86" w:rsidP="007F346F">
            <w:pPr>
              <w:jc w:val="center"/>
              <w:rPr>
                <w:sz w:val="18"/>
                <w:szCs w:val="18"/>
              </w:rPr>
            </w:pPr>
            <w:r>
              <w:rPr>
                <w:sz w:val="18"/>
                <w:szCs w:val="18"/>
              </w:rPr>
              <w:t>2050: 0.3</w:t>
            </w:r>
            <w:r w:rsidR="00EB6C4B">
              <w:rPr>
                <w:sz w:val="18"/>
                <w:szCs w:val="18"/>
              </w:rPr>
              <w:t xml:space="preserve"> (30%)</w:t>
            </w:r>
          </w:p>
        </w:tc>
        <w:tc>
          <w:tcPr>
            <w:tcW w:w="4110" w:type="dxa"/>
            <w:tcBorders>
              <w:top w:val="single" w:sz="4" w:space="0" w:color="auto"/>
              <w:left w:val="single" w:sz="4" w:space="0" w:color="auto"/>
              <w:bottom w:val="single" w:sz="4" w:space="0" w:color="auto"/>
            </w:tcBorders>
          </w:tcPr>
          <w:p w14:paraId="6D169E86" w14:textId="441290EC" w:rsidR="003D7A86" w:rsidRPr="00CD7BE4" w:rsidRDefault="00E909E9" w:rsidP="00EC0E93">
            <w:pPr>
              <w:rPr>
                <w:sz w:val="18"/>
                <w:szCs w:val="18"/>
              </w:rPr>
            </w:pPr>
            <w:r>
              <w:rPr>
                <w:sz w:val="18"/>
                <w:szCs w:val="18"/>
              </w:rPr>
              <w:t>SWT</w:t>
            </w:r>
            <w:r w:rsidR="0052056D">
              <w:rPr>
                <w:sz w:val="18"/>
                <w:szCs w:val="18"/>
              </w:rPr>
              <w:t xml:space="preserve"> assumes a mandated target for timber buildings in 2050</w:t>
            </w:r>
            <w:r w:rsidR="00EC0E93">
              <w:rPr>
                <w:sz w:val="18"/>
                <w:szCs w:val="18"/>
              </w:rPr>
              <w:t xml:space="preserve">, based on national modelling for Australia </w:t>
            </w:r>
            <w:r w:rsidR="00EC0E93">
              <w:rPr>
                <w:sz w:val="18"/>
                <w:szCs w:val="18"/>
              </w:rPr>
              <w:fldChar w:fldCharType="begin"/>
            </w:r>
            <w:r w:rsidR="00EC0E93">
              <w:rPr>
                <w:sz w:val="18"/>
                <w:szCs w:val="18"/>
              </w:rPr>
              <w:instrText xml:space="preserve"> ADDIN EN.CITE &lt;EndNote&gt;&lt;Cite&gt;&lt;Author&gt;Allen&lt;/Author&gt;&lt;Year&gt;2021&lt;/Year&gt;&lt;RecNum&gt;1721&lt;/RecNum&gt;&lt;DisplayText&gt;(Allen et al., 2021)&lt;/DisplayText&gt;&lt;record&gt;&lt;rec-number&gt;1721&lt;/rec-number&gt;&lt;foreign-keys&gt;&lt;key app="EN" db-id="9vsrvaat7fadwtesfsrpw5w5t0x5v500ef25" timestamp="1609277168"&gt;1721&lt;/key&gt;&lt;/foreign-keys&gt;&lt;ref-type name="Journal Article"&gt;17&lt;/ref-type&gt;&lt;contributors&gt;&lt;authors&gt;&lt;author&gt;Allen, C&lt;/author&gt;&lt;author&gt;Oldfield, P&lt;/author&gt;&lt;author&gt;Teh, SH&lt;/author&gt;&lt;author&gt;Wiedmann, T&lt;/author&gt;&lt;author&gt;Langdon, S&lt;/author&gt;&lt;author&gt;Yu, M&lt;/author&gt;&lt;author&gt;Yang, J&lt;/author&gt;&lt;/authors&gt;&lt;/contributors&gt;&lt;titles&gt;&lt;title&gt;Modelling ambitious climate mitigation pathways for Australia&amp;apos;s built environment&lt;/title&gt;&lt;secondary-title&gt;Sustainable Cities and Society&lt;/secondary-title&gt;&lt;/titles&gt;&lt;periodical&gt;&lt;full-title&gt;Sustainable Cities and Society&lt;/full-title&gt;&lt;/periodical&gt;&lt;volume&gt;published online 18 November 2021&lt;/volume&gt;&lt;dates&gt;&lt;year&gt;2021&lt;/year&gt;&lt;/dates&gt;&lt;urls&gt;&lt;/urls&gt;&lt;electronic-resource-num&gt;https://doi.org/10.1016/j.scs.2021.103554&lt;/electronic-resource-num&gt;&lt;/record&gt;&lt;/Cite&gt;&lt;/EndNote&gt;</w:instrText>
            </w:r>
            <w:r w:rsidR="00EC0E93">
              <w:rPr>
                <w:sz w:val="18"/>
                <w:szCs w:val="18"/>
              </w:rPr>
              <w:fldChar w:fldCharType="separate"/>
            </w:r>
            <w:r w:rsidR="00EC0E93">
              <w:rPr>
                <w:noProof/>
                <w:sz w:val="18"/>
                <w:szCs w:val="18"/>
              </w:rPr>
              <w:t>(Allen et al., 2021)</w:t>
            </w:r>
            <w:r w:rsidR="00EC0E93">
              <w:rPr>
                <w:sz w:val="18"/>
                <w:szCs w:val="18"/>
              </w:rPr>
              <w:fldChar w:fldCharType="end"/>
            </w:r>
            <w:r w:rsidR="00EC0E93">
              <w:rPr>
                <w:sz w:val="18"/>
                <w:szCs w:val="18"/>
              </w:rPr>
              <w:t>. Building m</w:t>
            </w:r>
            <w:r w:rsidR="003D7A86" w:rsidRPr="00CD7BE4">
              <w:rPr>
                <w:sz w:val="18"/>
                <w:szCs w:val="18"/>
              </w:rPr>
              <w:t xml:space="preserve">aterial intensities based on </w:t>
            </w:r>
            <w:r w:rsidR="003D7A86" w:rsidRPr="00CD7BE4">
              <w:rPr>
                <w:sz w:val="18"/>
                <w:szCs w:val="18"/>
              </w:rPr>
              <w:fldChar w:fldCharType="begin"/>
            </w:r>
            <w:r w:rsidR="003D7A86" w:rsidRPr="00CD7BE4">
              <w:rPr>
                <w:sz w:val="18"/>
                <w:szCs w:val="18"/>
              </w:rPr>
              <w:instrText xml:space="preserve"> ADDIN EN.CITE &lt;EndNote&gt;&lt;Cite AuthorYear="1"&gt;&lt;Author&gt;Skullestad&lt;/Author&gt;&lt;Year&gt;2016&lt;/Year&gt;&lt;RecNum&gt;1508&lt;/RecNum&gt;&lt;DisplayText&gt;Skullestad et al. (2016)&lt;/DisplayText&gt;&lt;record&gt;&lt;rec-number&gt;1508&lt;/rec-number&gt;&lt;foreign-keys&gt;&lt;key app="EN" db-id="9vsrvaat7fadwtesfsrpw5w5t0x5v500ef25" timestamp="1603814054"&gt;1508&lt;/key&gt;&lt;/foreign-keys&gt;&lt;ref-type name="Journal Article"&gt;17&lt;/ref-type&gt;&lt;contributors&gt;&lt;authors&gt;&lt;author&gt;Skullestad, Julie Lyslo&lt;/author&gt;&lt;author&gt;Bohne, Rolf André&lt;/author&gt;&lt;author&gt;Lohne, Jardar&lt;/author&gt;&lt;/authors&gt;&lt;/contributors&gt;&lt;titles&gt;&lt;title&gt;High-rise timber buildings as a climate change mitigation measure–A comparative LCA of structural system alternatives&lt;/title&gt;&lt;secondary-title&gt;Energy Procedia&lt;/secondary-title&gt;&lt;/titles&gt;&lt;periodical&gt;&lt;full-title&gt;Energy Procedia&lt;/full-title&gt;&lt;/periodical&gt;&lt;pages&gt;112-123&lt;/pages&gt;&lt;volume&gt;96&lt;/volume&gt;&lt;dates&gt;&lt;year&gt;2016&lt;/year&gt;&lt;/dates&gt;&lt;isbn&gt;1876-6102&lt;/isbn&gt;&lt;urls&gt;&lt;/urls&gt;&lt;electronic-resource-num&gt;https://doi.org/10.1016/j.egypro.2016.09.112&lt;/electronic-resource-num&gt;&lt;/record&gt;&lt;/Cite&gt;&lt;/EndNote&gt;</w:instrText>
            </w:r>
            <w:r w:rsidR="003D7A86" w:rsidRPr="00CD7BE4">
              <w:rPr>
                <w:sz w:val="18"/>
                <w:szCs w:val="18"/>
              </w:rPr>
              <w:fldChar w:fldCharType="separate"/>
            </w:r>
            <w:proofErr w:type="spellStart"/>
            <w:r w:rsidR="003D7A86" w:rsidRPr="00CD7BE4">
              <w:rPr>
                <w:sz w:val="18"/>
                <w:szCs w:val="18"/>
              </w:rPr>
              <w:t>Skullestad</w:t>
            </w:r>
            <w:proofErr w:type="spellEnd"/>
            <w:r w:rsidR="003D7A86" w:rsidRPr="00CD7BE4">
              <w:rPr>
                <w:sz w:val="18"/>
                <w:szCs w:val="18"/>
              </w:rPr>
              <w:t xml:space="preserve"> et al. (2016)</w:t>
            </w:r>
            <w:r w:rsidR="003D7A86" w:rsidRPr="00CD7BE4">
              <w:rPr>
                <w:sz w:val="18"/>
                <w:szCs w:val="18"/>
              </w:rPr>
              <w:fldChar w:fldCharType="end"/>
            </w:r>
            <w:r w:rsidR="00EC0E93">
              <w:rPr>
                <w:sz w:val="18"/>
                <w:szCs w:val="18"/>
              </w:rPr>
              <w:t xml:space="preserve"> and </w:t>
            </w:r>
            <w:r w:rsidR="00EC0E93">
              <w:rPr>
                <w:sz w:val="18"/>
                <w:szCs w:val="18"/>
              </w:rPr>
              <w:fldChar w:fldCharType="begin"/>
            </w:r>
            <w:r w:rsidR="00EC0E93">
              <w:rPr>
                <w:sz w:val="18"/>
                <w:szCs w:val="18"/>
              </w:rPr>
              <w:instrText xml:space="preserve"> ADDIN EN.CITE &lt;EndNote&gt;&lt;Cite AuthorYear="1"&gt;&lt;Author&gt;Allen&lt;/Author&gt;&lt;Year&gt;2021&lt;/Year&gt;&lt;RecNum&gt;1721&lt;/RecNum&gt;&lt;DisplayText&gt;Allen et al. (2021)&lt;/DisplayText&gt;&lt;record&gt;&lt;rec-number&gt;1721&lt;/rec-number&gt;&lt;foreign-keys&gt;&lt;key app="EN" db-id="9vsrvaat7fadwtesfsrpw5w5t0x5v500ef25" timestamp="1609277168"&gt;1721&lt;/key&gt;&lt;/foreign-keys&gt;&lt;ref-type name="Journal Article"&gt;17&lt;/ref-type&gt;&lt;contributors&gt;&lt;authors&gt;&lt;author&gt;Allen, C&lt;/author&gt;&lt;author&gt;Oldfield, P&lt;/author&gt;&lt;author&gt;Teh, SH&lt;/author&gt;&lt;author&gt;Wiedmann, T&lt;/author&gt;&lt;author&gt;Langdon, S&lt;/author&gt;&lt;author&gt;Yu, M&lt;/author&gt;&lt;author&gt;Yang, J&lt;/author&gt;&lt;/authors&gt;&lt;/contributors&gt;&lt;titles&gt;&lt;title&gt;Modelling ambitious climate mitigation pathways for Australia&amp;apos;s built environment&lt;/title&gt;&lt;secondary-title&gt;Sustainable Cities and Society&lt;/secondary-title&gt;&lt;/titles&gt;&lt;periodical&gt;&lt;full-title&gt;Sustainable Cities and Society&lt;/full-title&gt;&lt;/periodical&gt;&lt;volume&gt;published online 18 November 2021&lt;/volume&gt;&lt;dates&gt;&lt;year&gt;2021&lt;/year&gt;&lt;/dates&gt;&lt;urls&gt;&lt;/urls&gt;&lt;electronic-resource-num&gt;https://doi.org/10.1016/j.scs.2021.103554&lt;/electronic-resource-num&gt;&lt;/record&gt;&lt;/Cite&gt;&lt;/EndNote&gt;</w:instrText>
            </w:r>
            <w:r w:rsidR="00EC0E93">
              <w:rPr>
                <w:sz w:val="18"/>
                <w:szCs w:val="18"/>
              </w:rPr>
              <w:fldChar w:fldCharType="separate"/>
            </w:r>
            <w:r w:rsidR="00EC0E93">
              <w:rPr>
                <w:noProof/>
                <w:sz w:val="18"/>
                <w:szCs w:val="18"/>
              </w:rPr>
              <w:t>Allen et al. (2021)</w:t>
            </w:r>
            <w:r w:rsidR="00EC0E93">
              <w:rPr>
                <w:sz w:val="18"/>
                <w:szCs w:val="18"/>
              </w:rPr>
              <w:fldChar w:fldCharType="end"/>
            </w:r>
          </w:p>
        </w:tc>
      </w:tr>
      <w:tr w:rsidR="003D7A86" w:rsidRPr="00AB491A" w14:paraId="3B31CEF1" w14:textId="77777777" w:rsidTr="002D17A6">
        <w:tc>
          <w:tcPr>
            <w:tcW w:w="2263" w:type="dxa"/>
            <w:tcBorders>
              <w:top w:val="single" w:sz="4" w:space="0" w:color="auto"/>
              <w:bottom w:val="single" w:sz="4" w:space="0" w:color="auto"/>
              <w:right w:val="single" w:sz="4" w:space="0" w:color="auto"/>
            </w:tcBorders>
          </w:tcPr>
          <w:p w14:paraId="18CA0D6B"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1A7175E0" w14:textId="77777777" w:rsidR="003D7A86" w:rsidRDefault="003D7A86" w:rsidP="007F346F">
            <w:pPr>
              <w:rPr>
                <w:sz w:val="18"/>
                <w:szCs w:val="18"/>
              </w:rPr>
            </w:pPr>
            <w:r>
              <w:rPr>
                <w:sz w:val="18"/>
                <w:szCs w:val="18"/>
              </w:rPr>
              <w:t>Target improvement in timber resource recovery and reuse by 2050</w:t>
            </w:r>
          </w:p>
        </w:tc>
        <w:tc>
          <w:tcPr>
            <w:tcW w:w="2693" w:type="dxa"/>
            <w:tcBorders>
              <w:top w:val="single" w:sz="4" w:space="0" w:color="auto"/>
              <w:left w:val="single" w:sz="4" w:space="0" w:color="auto"/>
              <w:bottom w:val="single" w:sz="4" w:space="0" w:color="auto"/>
              <w:right w:val="single" w:sz="4" w:space="0" w:color="auto"/>
            </w:tcBorders>
          </w:tcPr>
          <w:p w14:paraId="6E55A659" w14:textId="77777777" w:rsidR="003D7A86" w:rsidRDefault="003D7A86" w:rsidP="007F346F">
            <w:pPr>
              <w:jc w:val="center"/>
              <w:rPr>
                <w:sz w:val="18"/>
                <w:szCs w:val="18"/>
              </w:rPr>
            </w:pPr>
            <w:r>
              <w:rPr>
                <w:sz w:val="18"/>
                <w:szCs w:val="18"/>
              </w:rPr>
              <w:t>No</w:t>
            </w:r>
            <w:r w:rsidR="00181E22">
              <w:rPr>
                <w:sz w:val="18"/>
                <w:szCs w:val="18"/>
              </w:rPr>
              <w:t xml:space="preserve"> increase</w:t>
            </w:r>
          </w:p>
          <w:p w14:paraId="0DC3C81A" w14:textId="6784D01D" w:rsidR="00181E22" w:rsidRPr="00AB491A" w:rsidRDefault="00181E22" w:rsidP="007F346F">
            <w:pPr>
              <w:jc w:val="center"/>
              <w:rPr>
                <w:sz w:val="18"/>
                <w:szCs w:val="18"/>
              </w:rPr>
            </w:pPr>
            <w:r>
              <w:rPr>
                <w:sz w:val="18"/>
                <w:szCs w:val="18"/>
              </w:rPr>
              <w:t xml:space="preserve">Baseline = </w:t>
            </w:r>
            <w:r w:rsidR="006E783D">
              <w:rPr>
                <w:sz w:val="18"/>
                <w:szCs w:val="18"/>
              </w:rPr>
              <w:t>0.42 (</w:t>
            </w:r>
            <w:r>
              <w:rPr>
                <w:sz w:val="18"/>
                <w:szCs w:val="18"/>
              </w:rPr>
              <w:t>42%</w:t>
            </w:r>
            <w:r w:rsidR="006E783D">
              <w:rPr>
                <w:sz w:val="18"/>
                <w:szCs w:val="18"/>
              </w:rPr>
              <w:t>)</w:t>
            </w:r>
          </w:p>
        </w:tc>
        <w:tc>
          <w:tcPr>
            <w:tcW w:w="2552" w:type="dxa"/>
            <w:tcBorders>
              <w:top w:val="single" w:sz="4" w:space="0" w:color="auto"/>
              <w:left w:val="single" w:sz="4" w:space="0" w:color="auto"/>
              <w:bottom w:val="single" w:sz="4" w:space="0" w:color="auto"/>
              <w:right w:val="single" w:sz="4" w:space="0" w:color="auto"/>
            </w:tcBorders>
          </w:tcPr>
          <w:p w14:paraId="4EB71FAE" w14:textId="6423427D" w:rsidR="00181E22" w:rsidRDefault="00181E22" w:rsidP="007F346F">
            <w:pPr>
              <w:jc w:val="center"/>
              <w:rPr>
                <w:sz w:val="18"/>
                <w:szCs w:val="18"/>
              </w:rPr>
            </w:pPr>
            <w:r>
              <w:rPr>
                <w:sz w:val="18"/>
                <w:szCs w:val="18"/>
              </w:rPr>
              <w:t>Target increased by 2050</w:t>
            </w:r>
          </w:p>
          <w:p w14:paraId="2AE049FD" w14:textId="679F6A1B" w:rsidR="003D7A86" w:rsidRPr="00AB491A" w:rsidRDefault="00181E22" w:rsidP="007F346F">
            <w:pPr>
              <w:jc w:val="center"/>
              <w:rPr>
                <w:sz w:val="18"/>
                <w:szCs w:val="18"/>
              </w:rPr>
            </w:pPr>
            <w:r>
              <w:rPr>
                <w:sz w:val="18"/>
                <w:szCs w:val="18"/>
              </w:rPr>
              <w:t xml:space="preserve">2050: </w:t>
            </w:r>
            <w:r w:rsidR="003D7A86">
              <w:rPr>
                <w:sz w:val="18"/>
                <w:szCs w:val="18"/>
              </w:rPr>
              <w:t>0.8</w:t>
            </w:r>
            <w:r>
              <w:rPr>
                <w:sz w:val="18"/>
                <w:szCs w:val="18"/>
              </w:rPr>
              <w:t xml:space="preserve"> (80%)</w:t>
            </w:r>
          </w:p>
        </w:tc>
        <w:tc>
          <w:tcPr>
            <w:tcW w:w="4110" w:type="dxa"/>
            <w:tcBorders>
              <w:top w:val="single" w:sz="4" w:space="0" w:color="auto"/>
              <w:left w:val="single" w:sz="4" w:space="0" w:color="auto"/>
              <w:bottom w:val="single" w:sz="4" w:space="0" w:color="auto"/>
            </w:tcBorders>
          </w:tcPr>
          <w:p w14:paraId="79833FC1" w14:textId="3A242A8B" w:rsidR="003D7A86" w:rsidRPr="00A62A78" w:rsidRDefault="00E909E9" w:rsidP="007F346F">
            <w:pPr>
              <w:rPr>
                <w:sz w:val="18"/>
                <w:szCs w:val="18"/>
              </w:rPr>
            </w:pPr>
            <w:r>
              <w:rPr>
                <w:sz w:val="18"/>
                <w:szCs w:val="18"/>
              </w:rPr>
              <w:t>SWT</w:t>
            </w:r>
            <w:r w:rsidR="00EC0E93">
              <w:rPr>
                <w:sz w:val="18"/>
                <w:szCs w:val="18"/>
              </w:rPr>
              <w:t xml:space="preserve"> assumes increased timber resource recovery and reuse</w:t>
            </w:r>
            <w:r w:rsidR="00747129">
              <w:rPr>
                <w:sz w:val="18"/>
                <w:szCs w:val="18"/>
              </w:rPr>
              <w:t xml:space="preserve"> by 2050. </w:t>
            </w:r>
            <w:r w:rsidR="003D7A86" w:rsidRPr="00A62A78">
              <w:rPr>
                <w:sz w:val="18"/>
                <w:szCs w:val="18"/>
              </w:rPr>
              <w:t xml:space="preserve">Estimates of average carbon </w:t>
            </w:r>
            <w:r w:rsidR="003D7A86" w:rsidRPr="00A62A78">
              <w:rPr>
                <w:sz w:val="18"/>
                <w:szCs w:val="18"/>
              </w:rPr>
              <w:lastRenderedPageBreak/>
              <w:t xml:space="preserve">sequestration and average end of life emissions based on </w:t>
            </w:r>
            <w:r w:rsidR="00747129">
              <w:rPr>
                <w:sz w:val="18"/>
                <w:szCs w:val="18"/>
              </w:rPr>
              <w:t>national</w:t>
            </w:r>
            <w:r w:rsidR="003D7A86" w:rsidRPr="00A62A78">
              <w:rPr>
                <w:sz w:val="18"/>
                <w:szCs w:val="18"/>
              </w:rPr>
              <w:t xml:space="preserve"> data </w:t>
            </w:r>
            <w:r w:rsidR="003D7A86" w:rsidRPr="00A62A78">
              <w:rPr>
                <w:sz w:val="18"/>
                <w:szCs w:val="18"/>
              </w:rPr>
              <w:fldChar w:fldCharType="begin"/>
            </w:r>
            <w:r w:rsidR="003D7A86" w:rsidRPr="00A62A78">
              <w:rPr>
                <w:sz w:val="18"/>
                <w:szCs w:val="18"/>
              </w:rPr>
              <w:instrText xml:space="preserve"> ADDIN EN.CITE &lt;EndNote&gt;&lt;Cite&gt;&lt;Author&gt;Wood Solutions&lt;/Author&gt;&lt;Year&gt;2017&lt;/Year&gt;&lt;RecNum&gt;1527&lt;/RecNum&gt;&lt;DisplayText&gt;(Wood Solutions, 2017)&lt;/DisplayText&gt;&lt;record&gt;&lt;rec-number&gt;1527&lt;/rec-number&gt;&lt;foreign-keys&gt;&lt;key app="EN" db-id="9vsrvaat7fadwtesfsrpw5w5t0x5v500ef25" timestamp="1604870750"&gt;1527&lt;/key&gt;&lt;/foreign-keys&gt;&lt;ref-type name="Generic"&gt;13&lt;/ref-type&gt;&lt;contributors&gt;&lt;authors&gt;&lt;author&gt;Wood Solutions,&lt;/author&gt;&lt;/authors&gt;&lt;/contributors&gt;&lt;titles&gt;&lt;title&gt;Environmental Product Declarations&lt;/title&gt;&lt;/titles&gt;&lt;dates&gt;&lt;year&gt;2017&lt;/year&gt;&lt;/dates&gt;&lt;pub-location&gt;Melbourne&lt;/pub-location&gt;&lt;publisher&gt;Forest and Wood Products Australia Ltd&lt;/publisher&gt;&lt;urls&gt;&lt;related-urls&gt;&lt;url&gt;https://www.woodsolutions.com.au/articles/environmental-product-declarations&lt;/url&gt;&lt;/related-urls&gt;&lt;/urls&gt;&lt;/record&gt;&lt;/Cite&gt;&lt;/EndNote&gt;</w:instrText>
            </w:r>
            <w:r w:rsidR="003D7A86" w:rsidRPr="00A62A78">
              <w:rPr>
                <w:sz w:val="18"/>
                <w:szCs w:val="18"/>
              </w:rPr>
              <w:fldChar w:fldCharType="separate"/>
            </w:r>
            <w:r w:rsidR="003D7A86" w:rsidRPr="00A62A78">
              <w:rPr>
                <w:sz w:val="18"/>
                <w:szCs w:val="18"/>
              </w:rPr>
              <w:t>(Wood Solutions, 2017)</w:t>
            </w:r>
            <w:r w:rsidR="003D7A86" w:rsidRPr="00A62A78">
              <w:rPr>
                <w:sz w:val="18"/>
                <w:szCs w:val="18"/>
              </w:rPr>
              <w:fldChar w:fldCharType="end"/>
            </w:r>
            <w:r w:rsidR="003D7A86" w:rsidRPr="00A62A78">
              <w:rPr>
                <w:sz w:val="18"/>
                <w:szCs w:val="18"/>
              </w:rPr>
              <w:t>.</w:t>
            </w:r>
          </w:p>
        </w:tc>
      </w:tr>
      <w:tr w:rsidR="003D7A86" w:rsidRPr="00AB491A" w14:paraId="658D5643" w14:textId="77777777" w:rsidTr="002D17A6">
        <w:tc>
          <w:tcPr>
            <w:tcW w:w="2263" w:type="dxa"/>
            <w:tcBorders>
              <w:top w:val="single" w:sz="4" w:space="0" w:color="auto"/>
              <w:bottom w:val="single" w:sz="4" w:space="0" w:color="auto"/>
              <w:right w:val="single" w:sz="4" w:space="0" w:color="auto"/>
            </w:tcBorders>
          </w:tcPr>
          <w:p w14:paraId="00DCC8E6"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3113CEC3" w14:textId="77777777" w:rsidR="003D7A86" w:rsidRDefault="003D7A86" w:rsidP="007F346F">
            <w:pPr>
              <w:rPr>
                <w:sz w:val="18"/>
                <w:szCs w:val="18"/>
              </w:rPr>
            </w:pPr>
            <w:r>
              <w:rPr>
                <w:sz w:val="18"/>
                <w:szCs w:val="18"/>
              </w:rPr>
              <w:t>Target reduction in per capita waste generation by 2030 and 2050</w:t>
            </w:r>
          </w:p>
        </w:tc>
        <w:tc>
          <w:tcPr>
            <w:tcW w:w="2693" w:type="dxa"/>
            <w:tcBorders>
              <w:top w:val="single" w:sz="4" w:space="0" w:color="auto"/>
              <w:left w:val="single" w:sz="4" w:space="0" w:color="auto"/>
              <w:bottom w:val="single" w:sz="4" w:space="0" w:color="auto"/>
              <w:right w:val="single" w:sz="4" w:space="0" w:color="auto"/>
            </w:tcBorders>
          </w:tcPr>
          <w:p w14:paraId="110378FC" w14:textId="03031EBA" w:rsidR="002B6020" w:rsidRDefault="002B6020" w:rsidP="007F346F">
            <w:pPr>
              <w:jc w:val="center"/>
              <w:rPr>
                <w:sz w:val="18"/>
                <w:szCs w:val="18"/>
              </w:rPr>
            </w:pPr>
            <w:r>
              <w:rPr>
                <w:sz w:val="18"/>
                <w:szCs w:val="18"/>
              </w:rPr>
              <w:t>Some baseline improvement</w:t>
            </w:r>
          </w:p>
          <w:p w14:paraId="5FEFD2F3" w14:textId="1653DE7B" w:rsidR="003D7A86" w:rsidRDefault="003D7A86" w:rsidP="007F346F">
            <w:pPr>
              <w:jc w:val="center"/>
              <w:rPr>
                <w:sz w:val="18"/>
                <w:szCs w:val="18"/>
              </w:rPr>
            </w:pPr>
            <w:r>
              <w:rPr>
                <w:sz w:val="18"/>
                <w:szCs w:val="18"/>
              </w:rPr>
              <w:t>2030: 0.05</w:t>
            </w:r>
            <w:r w:rsidR="002B6020">
              <w:rPr>
                <w:sz w:val="18"/>
                <w:szCs w:val="18"/>
              </w:rPr>
              <w:t xml:space="preserve"> (5%)</w:t>
            </w:r>
          </w:p>
          <w:p w14:paraId="0E7C9DE4" w14:textId="4A84BF0C" w:rsidR="003D7A86" w:rsidRPr="00AB491A" w:rsidRDefault="003D7A86" w:rsidP="007F346F">
            <w:pPr>
              <w:jc w:val="center"/>
              <w:rPr>
                <w:sz w:val="18"/>
                <w:szCs w:val="18"/>
              </w:rPr>
            </w:pPr>
            <w:r>
              <w:rPr>
                <w:sz w:val="18"/>
                <w:szCs w:val="18"/>
              </w:rPr>
              <w:t xml:space="preserve">2050: 0.1 </w:t>
            </w:r>
            <w:r w:rsidR="002B6020">
              <w:rPr>
                <w:sz w:val="18"/>
                <w:szCs w:val="18"/>
              </w:rPr>
              <w:t>(10%)</w:t>
            </w:r>
          </w:p>
        </w:tc>
        <w:tc>
          <w:tcPr>
            <w:tcW w:w="2552" w:type="dxa"/>
            <w:tcBorders>
              <w:top w:val="single" w:sz="4" w:space="0" w:color="auto"/>
              <w:left w:val="single" w:sz="4" w:space="0" w:color="auto"/>
              <w:bottom w:val="single" w:sz="4" w:space="0" w:color="auto"/>
              <w:right w:val="single" w:sz="4" w:space="0" w:color="auto"/>
            </w:tcBorders>
          </w:tcPr>
          <w:p w14:paraId="2391F54F" w14:textId="0796F210" w:rsidR="002B6020" w:rsidRDefault="002B6020" w:rsidP="007F346F">
            <w:pPr>
              <w:jc w:val="center"/>
              <w:rPr>
                <w:sz w:val="18"/>
                <w:szCs w:val="18"/>
              </w:rPr>
            </w:pPr>
            <w:r>
              <w:rPr>
                <w:sz w:val="18"/>
                <w:szCs w:val="18"/>
              </w:rPr>
              <w:t>Increased improvement</w:t>
            </w:r>
          </w:p>
          <w:p w14:paraId="5DC1FB4F" w14:textId="77294FBB" w:rsidR="003D7A86" w:rsidRDefault="003D7A86" w:rsidP="007F346F">
            <w:pPr>
              <w:jc w:val="center"/>
              <w:rPr>
                <w:sz w:val="18"/>
                <w:szCs w:val="18"/>
              </w:rPr>
            </w:pPr>
            <w:r>
              <w:rPr>
                <w:sz w:val="18"/>
                <w:szCs w:val="18"/>
              </w:rPr>
              <w:t>2030: 0.15</w:t>
            </w:r>
            <w:r w:rsidR="002B6020">
              <w:rPr>
                <w:sz w:val="18"/>
                <w:szCs w:val="18"/>
              </w:rPr>
              <w:t xml:space="preserve"> (15%)</w:t>
            </w:r>
          </w:p>
          <w:p w14:paraId="75D2EA7A" w14:textId="0EA2D3F3" w:rsidR="003D7A86" w:rsidRPr="00AB491A" w:rsidRDefault="003D7A86" w:rsidP="007F346F">
            <w:pPr>
              <w:jc w:val="center"/>
              <w:rPr>
                <w:sz w:val="18"/>
                <w:szCs w:val="18"/>
              </w:rPr>
            </w:pPr>
            <w:r>
              <w:rPr>
                <w:sz w:val="18"/>
                <w:szCs w:val="18"/>
              </w:rPr>
              <w:t>2050: 0.3 (</w:t>
            </w:r>
            <w:r w:rsidR="002B6020">
              <w:rPr>
                <w:sz w:val="18"/>
                <w:szCs w:val="18"/>
              </w:rPr>
              <w:t>30%)</w:t>
            </w:r>
          </w:p>
        </w:tc>
        <w:tc>
          <w:tcPr>
            <w:tcW w:w="4110" w:type="dxa"/>
            <w:tcBorders>
              <w:top w:val="single" w:sz="4" w:space="0" w:color="auto"/>
              <w:left w:val="single" w:sz="4" w:space="0" w:color="auto"/>
              <w:bottom w:val="single" w:sz="4" w:space="0" w:color="auto"/>
            </w:tcBorders>
          </w:tcPr>
          <w:p w14:paraId="377A2FED" w14:textId="21E20F56" w:rsidR="003D7A86" w:rsidRPr="00AB491A" w:rsidRDefault="00E909E9" w:rsidP="007F346F">
            <w:pPr>
              <w:rPr>
                <w:sz w:val="18"/>
                <w:szCs w:val="18"/>
              </w:rPr>
            </w:pPr>
            <w:r>
              <w:rPr>
                <w:sz w:val="18"/>
                <w:szCs w:val="18"/>
              </w:rPr>
              <w:t>SWT</w:t>
            </w:r>
            <w:r w:rsidR="00D32E4C">
              <w:rPr>
                <w:sz w:val="18"/>
                <w:szCs w:val="18"/>
              </w:rPr>
              <w:t xml:space="preserve"> assumes greater reduction in per capita waste generation based on</w:t>
            </w:r>
            <w:r w:rsidR="009E35EC">
              <w:rPr>
                <w:sz w:val="18"/>
                <w:szCs w:val="18"/>
              </w:rPr>
              <w:t xml:space="preserve"> the National Waste Policy Action Plan</w:t>
            </w:r>
            <w:r w:rsidR="00D32E4C">
              <w:rPr>
                <w:sz w:val="18"/>
                <w:szCs w:val="18"/>
              </w:rPr>
              <w:t xml:space="preserve"> </w:t>
            </w:r>
            <w:r w:rsidR="009E35EC">
              <w:rPr>
                <w:sz w:val="18"/>
                <w:szCs w:val="18"/>
              </w:rPr>
              <w:fldChar w:fldCharType="begin"/>
            </w:r>
            <w:r w:rsidR="009E35EC">
              <w:rPr>
                <w:sz w:val="18"/>
                <w:szCs w:val="18"/>
              </w:rPr>
              <w:instrText xml:space="preserve"> ADDIN EN.CITE &lt;EndNote&gt;&lt;Cite&gt;&lt;Author&gt;Australian Government&lt;/Author&gt;&lt;Year&gt;2019&lt;/Year&gt;&lt;RecNum&gt;2721&lt;/RecNum&gt;&lt;DisplayText&gt;(Australian Government, 2019)&lt;/DisplayText&gt;&lt;record&gt;&lt;rec-number&gt;2721&lt;/rec-number&gt;&lt;foreign-keys&gt;&lt;key app="EN" db-id="9vsrvaat7fadwtesfsrpw5w5t0x5v500ef25" timestamp="1664178429"&gt;2721&lt;/key&gt;&lt;/foreign-keys&gt;&lt;ref-type name="Generic"&gt;13&lt;/ref-type&gt;&lt;contributors&gt;&lt;authors&gt;&lt;author&gt;Australian Government,&lt;/author&gt;&lt;/authors&gt;&lt;/contributors&gt;&lt;titles&gt;&lt;title&gt;Australian Waste Policy Action Plan&lt;/title&gt;&lt;/titles&gt;&lt;dates&gt;&lt;year&gt;2019&lt;/year&gt;&lt;/dates&gt;&lt;pub-location&gt;Canberra&lt;/pub-location&gt;&lt;publisher&gt;Commonwealth of Australia&lt;/publisher&gt;&lt;urls&gt;&lt;/urls&gt;&lt;/record&gt;&lt;/Cite&gt;&lt;/EndNote&gt;</w:instrText>
            </w:r>
            <w:r w:rsidR="009E35EC">
              <w:rPr>
                <w:sz w:val="18"/>
                <w:szCs w:val="18"/>
              </w:rPr>
              <w:fldChar w:fldCharType="separate"/>
            </w:r>
            <w:r w:rsidR="009E35EC">
              <w:rPr>
                <w:noProof/>
                <w:sz w:val="18"/>
                <w:szCs w:val="18"/>
              </w:rPr>
              <w:t>(Australian Government, 2019)</w:t>
            </w:r>
            <w:r w:rsidR="009E35EC">
              <w:rPr>
                <w:sz w:val="18"/>
                <w:szCs w:val="18"/>
              </w:rPr>
              <w:fldChar w:fldCharType="end"/>
            </w:r>
          </w:p>
        </w:tc>
      </w:tr>
      <w:tr w:rsidR="003D7A86" w:rsidRPr="00AB491A" w14:paraId="5DEFFE3D" w14:textId="77777777" w:rsidTr="002D17A6">
        <w:tc>
          <w:tcPr>
            <w:tcW w:w="2263" w:type="dxa"/>
            <w:tcBorders>
              <w:top w:val="single" w:sz="4" w:space="0" w:color="auto"/>
              <w:bottom w:val="single" w:sz="4" w:space="0" w:color="auto"/>
              <w:right w:val="single" w:sz="4" w:space="0" w:color="auto"/>
            </w:tcBorders>
          </w:tcPr>
          <w:p w14:paraId="7A3326E5"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1768283D" w14:textId="77777777" w:rsidR="003D7A86" w:rsidRDefault="003D7A86" w:rsidP="007F346F">
            <w:pPr>
              <w:rPr>
                <w:sz w:val="18"/>
                <w:szCs w:val="18"/>
              </w:rPr>
            </w:pPr>
            <w:r>
              <w:rPr>
                <w:sz w:val="18"/>
                <w:szCs w:val="18"/>
              </w:rPr>
              <w:t>Target reduction in non-recycled municipal waste due to improved waste management by 2030 and 2050 (%)</w:t>
            </w:r>
          </w:p>
        </w:tc>
        <w:tc>
          <w:tcPr>
            <w:tcW w:w="2693" w:type="dxa"/>
            <w:tcBorders>
              <w:top w:val="single" w:sz="4" w:space="0" w:color="auto"/>
              <w:left w:val="single" w:sz="4" w:space="0" w:color="auto"/>
              <w:bottom w:val="single" w:sz="4" w:space="0" w:color="auto"/>
              <w:right w:val="single" w:sz="4" w:space="0" w:color="auto"/>
            </w:tcBorders>
          </w:tcPr>
          <w:p w14:paraId="5170066A" w14:textId="4CDC76B0" w:rsidR="009337D0" w:rsidRDefault="009337D0" w:rsidP="007F346F">
            <w:pPr>
              <w:jc w:val="center"/>
              <w:rPr>
                <w:sz w:val="18"/>
                <w:szCs w:val="18"/>
              </w:rPr>
            </w:pPr>
            <w:r>
              <w:rPr>
                <w:sz w:val="18"/>
                <w:szCs w:val="18"/>
              </w:rPr>
              <w:t>Some baseline improvement</w:t>
            </w:r>
          </w:p>
          <w:p w14:paraId="11DC682E" w14:textId="52B16F1B" w:rsidR="003D7A86" w:rsidRDefault="003D7A86" w:rsidP="007F346F">
            <w:pPr>
              <w:jc w:val="center"/>
              <w:rPr>
                <w:sz w:val="18"/>
                <w:szCs w:val="18"/>
              </w:rPr>
            </w:pPr>
            <w:r>
              <w:rPr>
                <w:sz w:val="18"/>
                <w:szCs w:val="18"/>
              </w:rPr>
              <w:t>2030: 0.1</w:t>
            </w:r>
            <w:r w:rsidR="009337D0">
              <w:rPr>
                <w:sz w:val="18"/>
                <w:szCs w:val="18"/>
              </w:rPr>
              <w:t xml:space="preserve"> (10%)</w:t>
            </w:r>
          </w:p>
          <w:p w14:paraId="4F957325" w14:textId="0E0DA6AF" w:rsidR="003D7A86" w:rsidRPr="00AB491A" w:rsidRDefault="003D7A86" w:rsidP="007F346F">
            <w:pPr>
              <w:jc w:val="center"/>
              <w:rPr>
                <w:sz w:val="18"/>
                <w:szCs w:val="18"/>
              </w:rPr>
            </w:pPr>
            <w:r>
              <w:rPr>
                <w:sz w:val="18"/>
                <w:szCs w:val="18"/>
              </w:rPr>
              <w:t xml:space="preserve">2050: 0.2 </w:t>
            </w:r>
            <w:r w:rsidR="009337D0">
              <w:rPr>
                <w:sz w:val="18"/>
                <w:szCs w:val="18"/>
              </w:rPr>
              <w:t>(20%</w:t>
            </w:r>
            <w:r>
              <w:rPr>
                <w:sz w:val="18"/>
                <w:szCs w:val="18"/>
              </w:rPr>
              <w:t>)</w:t>
            </w:r>
          </w:p>
        </w:tc>
        <w:tc>
          <w:tcPr>
            <w:tcW w:w="2552" w:type="dxa"/>
            <w:tcBorders>
              <w:top w:val="single" w:sz="4" w:space="0" w:color="auto"/>
              <w:left w:val="single" w:sz="4" w:space="0" w:color="auto"/>
              <w:bottom w:val="single" w:sz="4" w:space="0" w:color="auto"/>
              <w:right w:val="single" w:sz="4" w:space="0" w:color="auto"/>
            </w:tcBorders>
          </w:tcPr>
          <w:p w14:paraId="38BCAFD5" w14:textId="6C30021E" w:rsidR="009337D0" w:rsidRDefault="009337D0" w:rsidP="007F346F">
            <w:pPr>
              <w:jc w:val="center"/>
              <w:rPr>
                <w:sz w:val="18"/>
                <w:szCs w:val="18"/>
              </w:rPr>
            </w:pPr>
            <w:r>
              <w:rPr>
                <w:sz w:val="18"/>
                <w:szCs w:val="18"/>
              </w:rPr>
              <w:t>Increased improvement</w:t>
            </w:r>
          </w:p>
          <w:p w14:paraId="336F2264" w14:textId="16884D30" w:rsidR="003D7A86" w:rsidRDefault="003D7A86" w:rsidP="007F346F">
            <w:pPr>
              <w:jc w:val="center"/>
              <w:rPr>
                <w:sz w:val="18"/>
                <w:szCs w:val="18"/>
              </w:rPr>
            </w:pPr>
            <w:r>
              <w:rPr>
                <w:sz w:val="18"/>
                <w:szCs w:val="18"/>
              </w:rPr>
              <w:t>2030: 0.35</w:t>
            </w:r>
            <w:r w:rsidR="009337D0">
              <w:rPr>
                <w:sz w:val="18"/>
                <w:szCs w:val="18"/>
              </w:rPr>
              <w:t xml:space="preserve"> (35%)</w:t>
            </w:r>
          </w:p>
          <w:p w14:paraId="498728E6" w14:textId="0F4FDE22" w:rsidR="003D7A86" w:rsidRPr="00AB491A" w:rsidRDefault="003D7A86" w:rsidP="007F346F">
            <w:pPr>
              <w:jc w:val="center"/>
              <w:rPr>
                <w:sz w:val="18"/>
                <w:szCs w:val="18"/>
              </w:rPr>
            </w:pPr>
            <w:r>
              <w:rPr>
                <w:sz w:val="18"/>
                <w:szCs w:val="18"/>
              </w:rPr>
              <w:t>2050: 0.6 (</w:t>
            </w:r>
            <w:r w:rsidR="009337D0">
              <w:rPr>
                <w:sz w:val="18"/>
                <w:szCs w:val="18"/>
              </w:rPr>
              <w:t>60%</w:t>
            </w:r>
            <w:r>
              <w:rPr>
                <w:sz w:val="18"/>
                <w:szCs w:val="18"/>
              </w:rPr>
              <w:t>)</w:t>
            </w:r>
          </w:p>
        </w:tc>
        <w:tc>
          <w:tcPr>
            <w:tcW w:w="4110" w:type="dxa"/>
            <w:tcBorders>
              <w:top w:val="single" w:sz="4" w:space="0" w:color="auto"/>
              <w:left w:val="single" w:sz="4" w:space="0" w:color="auto"/>
              <w:bottom w:val="single" w:sz="4" w:space="0" w:color="auto"/>
            </w:tcBorders>
          </w:tcPr>
          <w:p w14:paraId="6138DFD6" w14:textId="71905AC5" w:rsidR="003D7A86" w:rsidRPr="00AB491A" w:rsidRDefault="009E35EC" w:rsidP="009E35EC">
            <w:pPr>
              <w:rPr>
                <w:sz w:val="18"/>
                <w:szCs w:val="18"/>
              </w:rPr>
            </w:pPr>
            <w:r>
              <w:rPr>
                <w:sz w:val="18"/>
                <w:szCs w:val="18"/>
              </w:rPr>
              <w:t xml:space="preserve">Based on the National Waste Policy Action Plan </w:t>
            </w:r>
            <w:r>
              <w:rPr>
                <w:sz w:val="18"/>
                <w:szCs w:val="18"/>
              </w:rPr>
              <w:fldChar w:fldCharType="begin"/>
            </w:r>
            <w:r>
              <w:rPr>
                <w:sz w:val="18"/>
                <w:szCs w:val="18"/>
              </w:rPr>
              <w:instrText xml:space="preserve"> ADDIN EN.CITE &lt;EndNote&gt;&lt;Cite&gt;&lt;Author&gt;Australian Government&lt;/Author&gt;&lt;Year&gt;2019&lt;/Year&gt;&lt;RecNum&gt;2721&lt;/RecNum&gt;&lt;DisplayText&gt;(Australian Government, 2019)&lt;/DisplayText&gt;&lt;record&gt;&lt;rec-number&gt;2721&lt;/rec-number&gt;&lt;foreign-keys&gt;&lt;key app="EN" db-id="9vsrvaat7fadwtesfsrpw5w5t0x5v500ef25" timestamp="1664178429"&gt;2721&lt;/key&gt;&lt;/foreign-keys&gt;&lt;ref-type name="Generic"&gt;13&lt;/ref-type&gt;&lt;contributors&gt;&lt;authors&gt;&lt;author&gt;Australian Government,&lt;/author&gt;&lt;/authors&gt;&lt;/contributors&gt;&lt;titles&gt;&lt;title&gt;Australian Waste Policy Action Plan&lt;/title&gt;&lt;/titles&gt;&lt;dates&gt;&lt;year&gt;2019&lt;/year&gt;&lt;/dates&gt;&lt;pub-location&gt;Canberra&lt;/pub-location&gt;&lt;publisher&gt;Commonwealth of Australia&lt;/publisher&gt;&lt;urls&gt;&lt;/urls&gt;&lt;/record&gt;&lt;/Cite&gt;&lt;/EndNote&gt;</w:instrText>
            </w:r>
            <w:r>
              <w:rPr>
                <w:sz w:val="18"/>
                <w:szCs w:val="18"/>
              </w:rPr>
              <w:fldChar w:fldCharType="separate"/>
            </w:r>
            <w:r>
              <w:rPr>
                <w:noProof/>
                <w:sz w:val="18"/>
                <w:szCs w:val="18"/>
              </w:rPr>
              <w:t>(Australian Government, 2019)</w:t>
            </w:r>
            <w:r>
              <w:rPr>
                <w:sz w:val="18"/>
                <w:szCs w:val="18"/>
              </w:rPr>
              <w:fldChar w:fldCharType="end"/>
            </w:r>
            <w:r>
              <w:rPr>
                <w:sz w:val="18"/>
                <w:szCs w:val="18"/>
              </w:rPr>
              <w:t xml:space="preserve"> with</w:t>
            </w:r>
            <w:r w:rsidR="003D7A86">
              <w:rPr>
                <w:sz w:val="18"/>
                <w:szCs w:val="18"/>
              </w:rPr>
              <w:t xml:space="preserve"> improved resource recovery from non-recycled solid waste.  </w:t>
            </w:r>
            <w:r w:rsidR="00F2579D">
              <w:rPr>
                <w:sz w:val="18"/>
                <w:szCs w:val="18"/>
              </w:rPr>
              <w:t>Assumes increased improvement under</w:t>
            </w:r>
            <w:r w:rsidR="003D7A86">
              <w:rPr>
                <w:sz w:val="18"/>
                <w:szCs w:val="18"/>
              </w:rPr>
              <w:t xml:space="preserve"> </w:t>
            </w:r>
            <w:r w:rsidR="00E909E9">
              <w:rPr>
                <w:sz w:val="18"/>
                <w:szCs w:val="18"/>
              </w:rPr>
              <w:t>SWT</w:t>
            </w:r>
            <w:r w:rsidR="003D7A86">
              <w:rPr>
                <w:sz w:val="18"/>
                <w:szCs w:val="18"/>
              </w:rPr>
              <w:t xml:space="preserve"> – 15% organic </w:t>
            </w:r>
            <w:proofErr w:type="gramStart"/>
            <w:r w:rsidR="003D7A86">
              <w:rPr>
                <w:sz w:val="18"/>
                <w:szCs w:val="18"/>
              </w:rPr>
              <w:t>waste;</w:t>
            </w:r>
            <w:proofErr w:type="gramEnd"/>
            <w:r w:rsidR="003D7A86">
              <w:rPr>
                <w:sz w:val="18"/>
                <w:szCs w:val="18"/>
              </w:rPr>
              <w:t xml:space="preserve"> 20% recycled content (maximum expected reduction 35% by 2030)</w:t>
            </w:r>
            <w:r w:rsidR="00F2579D">
              <w:rPr>
                <w:sz w:val="18"/>
                <w:szCs w:val="18"/>
              </w:rPr>
              <w:t xml:space="preserve">. </w:t>
            </w:r>
          </w:p>
        </w:tc>
      </w:tr>
      <w:tr w:rsidR="003D7A86" w:rsidRPr="00AB491A" w14:paraId="3E2DA920" w14:textId="77777777" w:rsidTr="002D17A6">
        <w:tc>
          <w:tcPr>
            <w:tcW w:w="2263" w:type="dxa"/>
            <w:tcBorders>
              <w:top w:val="single" w:sz="4" w:space="0" w:color="auto"/>
              <w:bottom w:val="single" w:sz="4" w:space="0" w:color="auto"/>
              <w:right w:val="single" w:sz="4" w:space="0" w:color="auto"/>
            </w:tcBorders>
          </w:tcPr>
          <w:p w14:paraId="5AF960C5"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2C025403" w14:textId="77777777" w:rsidR="003D7A86" w:rsidRDefault="003D7A86" w:rsidP="007F346F">
            <w:pPr>
              <w:rPr>
                <w:sz w:val="18"/>
                <w:szCs w:val="18"/>
              </w:rPr>
            </w:pPr>
            <w:r>
              <w:rPr>
                <w:sz w:val="18"/>
                <w:szCs w:val="18"/>
              </w:rPr>
              <w:t xml:space="preserve">Target share of new vehicles electric by 2030, 2040, 2050 (%) – by vehicle type (passenger, commercial, cycle, articulated trucks, other trucks, buses) </w:t>
            </w:r>
          </w:p>
        </w:tc>
        <w:tc>
          <w:tcPr>
            <w:tcW w:w="2693" w:type="dxa"/>
            <w:tcBorders>
              <w:top w:val="single" w:sz="4" w:space="0" w:color="auto"/>
              <w:left w:val="single" w:sz="4" w:space="0" w:color="auto"/>
              <w:bottom w:val="single" w:sz="4" w:space="0" w:color="auto"/>
              <w:right w:val="single" w:sz="4" w:space="0" w:color="auto"/>
            </w:tcBorders>
          </w:tcPr>
          <w:p w14:paraId="705DC6E3" w14:textId="77777777" w:rsidR="003D7A86" w:rsidRDefault="003D7A86" w:rsidP="007F346F">
            <w:pPr>
              <w:jc w:val="center"/>
              <w:rPr>
                <w:sz w:val="18"/>
                <w:szCs w:val="18"/>
              </w:rPr>
            </w:pPr>
            <w:r>
              <w:rPr>
                <w:sz w:val="18"/>
                <w:szCs w:val="18"/>
              </w:rPr>
              <w:t xml:space="preserve">2030: </w:t>
            </w:r>
            <w:r w:rsidRPr="00660A6C">
              <w:rPr>
                <w:sz w:val="18"/>
                <w:szCs w:val="18"/>
              </w:rPr>
              <w:t>0.1, 0.1, 0.1, 0.05, 0.1, 0.1</w:t>
            </w:r>
          </w:p>
          <w:p w14:paraId="58A3DD76" w14:textId="77777777" w:rsidR="003D7A86" w:rsidRDefault="003D7A86" w:rsidP="007F346F">
            <w:pPr>
              <w:jc w:val="center"/>
              <w:rPr>
                <w:sz w:val="18"/>
                <w:szCs w:val="18"/>
              </w:rPr>
            </w:pPr>
            <w:r>
              <w:rPr>
                <w:sz w:val="18"/>
                <w:szCs w:val="18"/>
              </w:rPr>
              <w:t xml:space="preserve">2040: </w:t>
            </w:r>
            <w:r w:rsidRPr="00660A6C">
              <w:rPr>
                <w:sz w:val="18"/>
                <w:szCs w:val="18"/>
              </w:rPr>
              <w:t>0.4, 0.4, 0.4, 0.3, 0.4, 0.4</w:t>
            </w:r>
          </w:p>
          <w:p w14:paraId="2173E065" w14:textId="044BF512" w:rsidR="002D17A6" w:rsidRPr="00AB491A" w:rsidRDefault="003D7A86" w:rsidP="002D17A6">
            <w:pPr>
              <w:jc w:val="center"/>
              <w:rPr>
                <w:sz w:val="18"/>
                <w:szCs w:val="18"/>
              </w:rPr>
            </w:pPr>
            <w:r>
              <w:rPr>
                <w:sz w:val="18"/>
                <w:szCs w:val="18"/>
              </w:rPr>
              <w:t xml:space="preserve">2050: </w:t>
            </w:r>
            <w:r w:rsidRPr="00603D60">
              <w:rPr>
                <w:sz w:val="18"/>
                <w:szCs w:val="18"/>
              </w:rPr>
              <w:t>0.65, 0.65, 0.65, 0.65, 0.65, 0.65</w:t>
            </w:r>
          </w:p>
        </w:tc>
        <w:tc>
          <w:tcPr>
            <w:tcW w:w="2552" w:type="dxa"/>
            <w:tcBorders>
              <w:top w:val="single" w:sz="4" w:space="0" w:color="auto"/>
              <w:left w:val="single" w:sz="4" w:space="0" w:color="auto"/>
              <w:bottom w:val="single" w:sz="4" w:space="0" w:color="auto"/>
              <w:right w:val="single" w:sz="4" w:space="0" w:color="auto"/>
            </w:tcBorders>
          </w:tcPr>
          <w:p w14:paraId="75744513" w14:textId="77777777" w:rsidR="003D7A86" w:rsidRDefault="003D7A86" w:rsidP="007F346F">
            <w:pPr>
              <w:jc w:val="center"/>
              <w:rPr>
                <w:sz w:val="18"/>
                <w:szCs w:val="18"/>
              </w:rPr>
            </w:pPr>
            <w:r>
              <w:rPr>
                <w:sz w:val="18"/>
                <w:szCs w:val="18"/>
              </w:rPr>
              <w:t xml:space="preserve">2030: </w:t>
            </w:r>
            <w:r w:rsidRPr="00A76712">
              <w:rPr>
                <w:sz w:val="18"/>
                <w:szCs w:val="18"/>
              </w:rPr>
              <w:t>0.4, 0.3, 0.3, 0.2, 0.3, 0.4</w:t>
            </w:r>
          </w:p>
          <w:p w14:paraId="088AE790" w14:textId="77777777" w:rsidR="003D7A86" w:rsidRDefault="003D7A86" w:rsidP="007F346F">
            <w:pPr>
              <w:jc w:val="center"/>
              <w:rPr>
                <w:sz w:val="18"/>
                <w:szCs w:val="18"/>
              </w:rPr>
            </w:pPr>
            <w:r>
              <w:rPr>
                <w:sz w:val="18"/>
                <w:szCs w:val="18"/>
              </w:rPr>
              <w:t xml:space="preserve">2040: </w:t>
            </w:r>
            <w:r w:rsidRPr="003F7AA1">
              <w:rPr>
                <w:sz w:val="18"/>
                <w:szCs w:val="18"/>
              </w:rPr>
              <w:t>0.9, 0.9, 0.9,0.7,0.9,0.9</w:t>
            </w:r>
          </w:p>
          <w:p w14:paraId="53E223F4" w14:textId="77777777" w:rsidR="003D7A86" w:rsidRPr="00AB491A" w:rsidRDefault="003D7A86" w:rsidP="007F346F">
            <w:pPr>
              <w:jc w:val="center"/>
              <w:rPr>
                <w:sz w:val="18"/>
                <w:szCs w:val="18"/>
              </w:rPr>
            </w:pPr>
            <w:r>
              <w:rPr>
                <w:sz w:val="18"/>
                <w:szCs w:val="18"/>
              </w:rPr>
              <w:t xml:space="preserve">2050: </w:t>
            </w:r>
            <w:r w:rsidRPr="00AE79FD">
              <w:rPr>
                <w:sz w:val="18"/>
                <w:szCs w:val="18"/>
              </w:rPr>
              <w:t>1, 1, 1, 0.</w:t>
            </w:r>
            <w:r>
              <w:rPr>
                <w:sz w:val="18"/>
                <w:szCs w:val="18"/>
              </w:rPr>
              <w:t>9</w:t>
            </w:r>
            <w:r w:rsidRPr="00AE79FD">
              <w:rPr>
                <w:sz w:val="18"/>
                <w:szCs w:val="18"/>
              </w:rPr>
              <w:t>, 1, 1</w:t>
            </w:r>
          </w:p>
        </w:tc>
        <w:tc>
          <w:tcPr>
            <w:tcW w:w="4110" w:type="dxa"/>
            <w:tcBorders>
              <w:top w:val="single" w:sz="4" w:space="0" w:color="auto"/>
              <w:left w:val="single" w:sz="4" w:space="0" w:color="auto"/>
              <w:bottom w:val="single" w:sz="4" w:space="0" w:color="auto"/>
            </w:tcBorders>
          </w:tcPr>
          <w:p w14:paraId="258A1AAA" w14:textId="59DF4992" w:rsidR="003D7A86" w:rsidRPr="00614D2A" w:rsidRDefault="00E909E9" w:rsidP="007F346F">
            <w:pPr>
              <w:rPr>
                <w:sz w:val="18"/>
                <w:szCs w:val="18"/>
              </w:rPr>
            </w:pPr>
            <w:r>
              <w:rPr>
                <w:sz w:val="18"/>
                <w:szCs w:val="18"/>
              </w:rPr>
              <w:t>SWT</w:t>
            </w:r>
            <w:r w:rsidR="00DE2F0C">
              <w:rPr>
                <w:sz w:val="18"/>
                <w:szCs w:val="18"/>
              </w:rPr>
              <w:t xml:space="preserve"> assumes accelerated shift to BEVs in new vehicle sales for all types. </w:t>
            </w:r>
            <w:r w:rsidR="003D7A86" w:rsidRPr="00614D2A">
              <w:rPr>
                <w:sz w:val="18"/>
                <w:szCs w:val="18"/>
              </w:rPr>
              <w:t xml:space="preserve">Baseline based on AEMO projections </w:t>
            </w:r>
            <w:r w:rsidR="003D7A86" w:rsidRPr="00614D2A">
              <w:rPr>
                <w:sz w:val="18"/>
                <w:szCs w:val="18"/>
              </w:rPr>
              <w:fldChar w:fldCharType="begin"/>
            </w:r>
            <w:r w:rsidR="003D7A86" w:rsidRPr="00614D2A">
              <w:rPr>
                <w:sz w:val="18"/>
                <w:szCs w:val="18"/>
              </w:rPr>
              <w:instrText xml:space="preserve"> ADDIN EN.CITE &lt;EndNote&gt;&lt;Cite&gt;&lt;Author&gt;Energeia&lt;/Author&gt;&lt;Year&gt;2018&lt;/Year&gt;&lt;RecNum&gt;873&lt;/RecNum&gt;&lt;DisplayText&gt;(Energeia, 2018, Energeia, 2017)&lt;/DisplayText&gt;&lt;record&gt;&lt;rec-number&gt;873&lt;/rec-number&gt;&lt;foreign-keys&gt;&lt;key app="EN" db-id="9vsrvaat7fadwtesfsrpw5w5t0x5v500ef25" timestamp="1542423173"&gt;873&lt;/key&gt;&lt;/foreign-keys&gt;&lt;ref-type name="Generic"&gt;13&lt;/ref-type&gt;&lt;contributors&gt;&lt;authors&gt;&lt;author&gt;Energeia,&lt;/author&gt;&lt;/authors&gt;&lt;/contributors&gt;&lt;titles&gt;&lt;title&gt;Australian Electric Vehicle Market Study: Report prepared for the Australian Renewable Energy Agency and the Clean Energy Finance Corporation&lt;/title&gt;&lt;/titles&gt;&lt;dates&gt;&lt;year&gt;2018&lt;/year&gt;&lt;/dates&gt;&lt;pub-location&gt;Canberra, Australia&lt;/pub-location&gt;&lt;publisher&gt;Australian Government&lt;/publisher&gt;&lt;urls&gt;&lt;/urls&gt;&lt;/record&gt;&lt;/Cite&gt;&lt;Cite&gt;&lt;Author&gt;Energeia&lt;/Author&gt;&lt;Year&gt;2017&lt;/Year&gt;&lt;RecNum&gt;1505&lt;/RecNum&gt;&lt;record&gt;&lt;rec-number&gt;1505&lt;/rec-number&gt;&lt;foreign-keys&gt;&lt;key app="EN" db-id="9vsrvaat7fadwtesfsrpw5w5t0x5v500ef25" timestamp="1603470444"&gt;1505&lt;/key&gt;&lt;/foreign-keys&gt;&lt;ref-type name="Generic"&gt;13&lt;/ref-type&gt;&lt;contributors&gt;&lt;authors&gt;&lt;author&gt;Energeia,&lt;/author&gt;&lt;/authors&gt;&lt;/contributors&gt;&lt;titles&gt;&lt;title&gt;Electric Vehicles Insights: Prepared for the Australian Energy Market Operator&amp;apos;s 2017 Electricity Forecast Insights&lt;/title&gt;&lt;/titles&gt;&lt;dates&gt;&lt;year&gt;2017&lt;/year&gt;&lt;/dates&gt;&lt;pub-location&gt;Canberra&lt;/pub-location&gt;&lt;publisher&gt;Energeia&lt;/publisher&gt;&lt;urls&gt;&lt;/urls&gt;&lt;/record&gt;&lt;/Cite&gt;&lt;/EndNote&gt;</w:instrText>
            </w:r>
            <w:r w:rsidR="003D7A86" w:rsidRPr="00614D2A">
              <w:rPr>
                <w:sz w:val="18"/>
                <w:szCs w:val="18"/>
              </w:rPr>
              <w:fldChar w:fldCharType="separate"/>
            </w:r>
            <w:r w:rsidR="003D7A86" w:rsidRPr="00614D2A">
              <w:rPr>
                <w:sz w:val="18"/>
                <w:szCs w:val="18"/>
              </w:rPr>
              <w:t>(Energeia, 2018, Energeia, 2017)</w:t>
            </w:r>
            <w:r w:rsidR="003D7A86" w:rsidRPr="00614D2A">
              <w:rPr>
                <w:sz w:val="18"/>
                <w:szCs w:val="18"/>
              </w:rPr>
              <w:fldChar w:fldCharType="end"/>
            </w:r>
            <w:r w:rsidR="003D7A86">
              <w:rPr>
                <w:sz w:val="18"/>
                <w:szCs w:val="18"/>
              </w:rPr>
              <w:t xml:space="preserve">. </w:t>
            </w:r>
            <w:r>
              <w:rPr>
                <w:sz w:val="18"/>
                <w:szCs w:val="18"/>
              </w:rPr>
              <w:t>SWT</w:t>
            </w:r>
            <w:r w:rsidR="003D7A86">
              <w:rPr>
                <w:sz w:val="18"/>
                <w:szCs w:val="18"/>
              </w:rPr>
              <w:t xml:space="preserve"> based on </w:t>
            </w:r>
            <w:r w:rsidR="003D7A86">
              <w:rPr>
                <w:sz w:val="18"/>
                <w:szCs w:val="18"/>
              </w:rPr>
              <w:fldChar w:fldCharType="begin">
                <w:fldData xml:space="preserve">PEVuZE5vdGU+PENpdGU+PEF1dGhvcj5DbGltYXRlV29ya3MgQXVzdHJhbGlhPC9BdXRob3I+PFll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</w:fldData>
              </w:fldChar>
            </w:r>
            <w:r w:rsidR="003D7A86">
              <w:rPr>
                <w:sz w:val="18"/>
                <w:szCs w:val="18"/>
              </w:rPr>
              <w:instrText xml:space="preserve"> ADDIN EN.CITE </w:instrText>
            </w:r>
            <w:r w:rsidR="003D7A86">
              <w:rPr>
                <w:sz w:val="18"/>
                <w:szCs w:val="18"/>
              </w:rPr>
              <w:fldChar w:fldCharType="begin">
                <w:fldData xml:space="preserve">PEVuZE5vdGU+PENpdGU+PEF1dGhvcj5DbGltYXRlV29ya3MgQXVzdHJhbGlhPC9BdXRob3I+PFll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</w:fldData>
              </w:fldChar>
            </w:r>
            <w:r w:rsidR="003D7A86">
              <w:rPr>
                <w:sz w:val="18"/>
                <w:szCs w:val="18"/>
              </w:rPr>
              <w:instrText xml:space="preserve"> ADDIN EN.CITE.DATA </w:instrText>
            </w:r>
            <w:r w:rsidR="003D7A86">
              <w:rPr>
                <w:sz w:val="18"/>
                <w:szCs w:val="18"/>
              </w:rPr>
            </w:r>
            <w:r w:rsidR="003D7A86">
              <w:rPr>
                <w:sz w:val="18"/>
                <w:szCs w:val="18"/>
              </w:rPr>
              <w:fldChar w:fldCharType="end"/>
            </w:r>
            <w:r w:rsidR="003D7A86">
              <w:rPr>
                <w:sz w:val="18"/>
                <w:szCs w:val="18"/>
              </w:rPr>
            </w:r>
            <w:r w:rsidR="003D7A86">
              <w:rPr>
                <w:sz w:val="18"/>
                <w:szCs w:val="18"/>
              </w:rPr>
              <w:fldChar w:fldCharType="separate"/>
            </w:r>
            <w:r w:rsidR="003D7A86">
              <w:rPr>
                <w:noProof/>
                <w:sz w:val="18"/>
                <w:szCs w:val="18"/>
              </w:rPr>
              <w:t>(ClimateWorks Australia, 2020, Broadbent et al., 2022a, Broadbent et al., 2022b)</w:t>
            </w:r>
            <w:r w:rsidR="003D7A86">
              <w:rPr>
                <w:sz w:val="18"/>
                <w:szCs w:val="18"/>
              </w:rPr>
              <w:fldChar w:fldCharType="end"/>
            </w:r>
          </w:p>
        </w:tc>
      </w:tr>
      <w:tr w:rsidR="003D7A86" w:rsidRPr="00AB491A" w14:paraId="7C87C28B" w14:textId="77777777" w:rsidTr="002D17A6">
        <w:tc>
          <w:tcPr>
            <w:tcW w:w="2263" w:type="dxa"/>
            <w:tcBorders>
              <w:top w:val="single" w:sz="4" w:space="0" w:color="auto"/>
              <w:bottom w:val="single" w:sz="4" w:space="0" w:color="auto"/>
              <w:right w:val="single" w:sz="4" w:space="0" w:color="auto"/>
            </w:tcBorders>
          </w:tcPr>
          <w:p w14:paraId="78BE0165"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2C48788D" w14:textId="77777777" w:rsidR="003D7A86" w:rsidRDefault="003D7A86" w:rsidP="007F346F">
            <w:pPr>
              <w:rPr>
                <w:sz w:val="18"/>
                <w:szCs w:val="18"/>
              </w:rPr>
            </w:pPr>
            <w:r>
              <w:rPr>
                <w:sz w:val="18"/>
                <w:szCs w:val="18"/>
              </w:rPr>
              <w:t>Forced phase out of internal combustion vehicles</w:t>
            </w:r>
          </w:p>
        </w:tc>
        <w:tc>
          <w:tcPr>
            <w:tcW w:w="2693" w:type="dxa"/>
            <w:tcBorders>
              <w:top w:val="single" w:sz="4" w:space="0" w:color="auto"/>
              <w:left w:val="single" w:sz="4" w:space="0" w:color="auto"/>
              <w:bottom w:val="single" w:sz="4" w:space="0" w:color="auto"/>
              <w:right w:val="single" w:sz="4" w:space="0" w:color="auto"/>
            </w:tcBorders>
          </w:tcPr>
          <w:p w14:paraId="7345929C" w14:textId="77777777" w:rsidR="003D7A86" w:rsidRPr="00AB491A" w:rsidRDefault="003D7A86" w:rsidP="007F346F">
            <w:pPr>
              <w:jc w:val="center"/>
              <w:rPr>
                <w:sz w:val="18"/>
                <w:szCs w:val="18"/>
              </w:rPr>
            </w:pPr>
            <w:r w:rsidRPr="001D4EC5">
              <w:rPr>
                <w:sz w:val="18"/>
                <w:szCs w:val="18"/>
              </w:rPr>
              <w:t xml:space="preserve">None.  Standard </w:t>
            </w:r>
            <w:proofErr w:type="gramStart"/>
            <w:r w:rsidRPr="001D4EC5">
              <w:rPr>
                <w:sz w:val="18"/>
                <w:szCs w:val="18"/>
              </w:rPr>
              <w:t>vehicle</w:t>
            </w:r>
            <w:proofErr w:type="gramEnd"/>
            <w:r w:rsidRPr="001D4EC5">
              <w:rPr>
                <w:sz w:val="18"/>
                <w:szCs w:val="18"/>
              </w:rPr>
              <w:t xml:space="preserve"> phase out (20, 22, 20, 24, 22, 20)</w:t>
            </w:r>
          </w:p>
        </w:tc>
        <w:tc>
          <w:tcPr>
            <w:tcW w:w="2552" w:type="dxa"/>
            <w:tcBorders>
              <w:top w:val="single" w:sz="4" w:space="0" w:color="auto"/>
              <w:left w:val="single" w:sz="4" w:space="0" w:color="auto"/>
              <w:bottom w:val="single" w:sz="4" w:space="0" w:color="auto"/>
              <w:right w:val="single" w:sz="4" w:space="0" w:color="auto"/>
            </w:tcBorders>
          </w:tcPr>
          <w:p w14:paraId="4F165F42" w14:textId="77777777" w:rsidR="003D7A86" w:rsidRDefault="003D7A86" w:rsidP="007F346F">
            <w:pPr>
              <w:jc w:val="center"/>
              <w:rPr>
                <w:sz w:val="18"/>
                <w:szCs w:val="18"/>
              </w:rPr>
            </w:pPr>
            <w:r>
              <w:rPr>
                <w:sz w:val="18"/>
                <w:szCs w:val="18"/>
              </w:rPr>
              <w:t>Accelerated phase out to 2045 (10, 10, 10, 10, 10, 10)</w:t>
            </w:r>
          </w:p>
          <w:p w14:paraId="28515918" w14:textId="77777777" w:rsidR="003D7A86" w:rsidRPr="00AB491A" w:rsidRDefault="003D7A86" w:rsidP="007F346F">
            <w:pPr>
              <w:jc w:val="center"/>
              <w:rPr>
                <w:sz w:val="18"/>
                <w:szCs w:val="18"/>
              </w:rPr>
            </w:pPr>
            <w:r>
              <w:rPr>
                <w:sz w:val="18"/>
                <w:szCs w:val="18"/>
              </w:rPr>
              <w:t>Complete phase out from 2045 to 2050 (1, 1, 1, 1, 1, 1)</w:t>
            </w:r>
          </w:p>
        </w:tc>
        <w:tc>
          <w:tcPr>
            <w:tcW w:w="4110" w:type="dxa"/>
            <w:tcBorders>
              <w:top w:val="single" w:sz="4" w:space="0" w:color="auto"/>
              <w:left w:val="single" w:sz="4" w:space="0" w:color="auto"/>
              <w:bottom w:val="single" w:sz="4" w:space="0" w:color="auto"/>
            </w:tcBorders>
          </w:tcPr>
          <w:p w14:paraId="53D3B9B2" w14:textId="02FB9A1B" w:rsidR="003D7A86" w:rsidRPr="00AB491A" w:rsidRDefault="00E909E9" w:rsidP="007F346F">
            <w:pPr>
              <w:rPr>
                <w:sz w:val="18"/>
                <w:szCs w:val="18"/>
              </w:rPr>
            </w:pPr>
            <w:r>
              <w:rPr>
                <w:sz w:val="18"/>
                <w:szCs w:val="18"/>
              </w:rPr>
              <w:t>SWT</w:t>
            </w:r>
            <w:r w:rsidR="00F23589">
              <w:rPr>
                <w:sz w:val="18"/>
                <w:szCs w:val="18"/>
              </w:rPr>
              <w:t xml:space="preserve"> assumes an accelerated phase out and then complete phase out from 2045, b</w:t>
            </w:r>
            <w:r w:rsidR="003D7A86">
              <w:rPr>
                <w:sz w:val="18"/>
                <w:szCs w:val="18"/>
              </w:rPr>
              <w:t xml:space="preserve">ased on </w:t>
            </w:r>
            <w:r w:rsidR="003D7A86">
              <w:rPr>
                <w:sz w:val="18"/>
                <w:szCs w:val="18"/>
              </w:rPr>
              <w:fldChar w:fldCharType="begin">
                <w:fldData xml:space="preserve">PEVuZE5vdGU+PENpdGU+PEF1dGhvcj5BQlM8L0F1dGhvcj48WWVhcj4yMDIwPC9ZZWFyPjxSZWNO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</w:fldData>
              </w:fldChar>
            </w:r>
            <w:r w:rsidR="008178CA">
              <w:rPr>
                <w:sz w:val="18"/>
                <w:szCs w:val="18"/>
              </w:rPr>
              <w:instrText xml:space="preserve"> ADDIN EN.CITE </w:instrText>
            </w:r>
            <w:r w:rsidR="008178CA">
              <w:rPr>
                <w:sz w:val="18"/>
                <w:szCs w:val="18"/>
              </w:rPr>
              <w:fldChar w:fldCharType="begin">
                <w:fldData xml:space="preserve">PEVuZE5vdGU+PENpdGU+PEF1dGhvcj5BQlM8L0F1dGhvcj48WWVhcj4yMDIwPC9ZZWFyPjxSZWNO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</w:fldData>
              </w:fldChar>
            </w:r>
            <w:r w:rsidR="008178CA">
              <w:rPr>
                <w:sz w:val="18"/>
                <w:szCs w:val="18"/>
              </w:rPr>
              <w:instrText xml:space="preserve"> ADDIN EN.CITE.DATA </w:instrText>
            </w:r>
            <w:r w:rsidR="008178CA">
              <w:rPr>
                <w:sz w:val="18"/>
                <w:szCs w:val="18"/>
              </w:rPr>
            </w:r>
            <w:r w:rsidR="008178CA">
              <w:rPr>
                <w:sz w:val="18"/>
                <w:szCs w:val="18"/>
              </w:rPr>
              <w:fldChar w:fldCharType="end"/>
            </w:r>
            <w:r w:rsidR="003D7A86">
              <w:rPr>
                <w:sz w:val="18"/>
                <w:szCs w:val="18"/>
              </w:rPr>
            </w:r>
            <w:r w:rsidR="003D7A86">
              <w:rPr>
                <w:sz w:val="18"/>
                <w:szCs w:val="18"/>
              </w:rPr>
              <w:fldChar w:fldCharType="separate"/>
            </w:r>
            <w:r w:rsidR="008178CA">
              <w:rPr>
                <w:noProof/>
                <w:sz w:val="18"/>
                <w:szCs w:val="18"/>
              </w:rPr>
              <w:t>(ABS, 2020b, ABS, 2020c, Broadbent et al., 2022a)</w:t>
            </w:r>
            <w:r w:rsidR="003D7A86">
              <w:rPr>
                <w:sz w:val="18"/>
                <w:szCs w:val="18"/>
              </w:rPr>
              <w:fldChar w:fldCharType="end"/>
            </w:r>
            <w:r w:rsidR="00F23589">
              <w:rPr>
                <w:sz w:val="18"/>
                <w:szCs w:val="18"/>
              </w:rPr>
              <w:t xml:space="preserve">. </w:t>
            </w:r>
          </w:p>
        </w:tc>
      </w:tr>
      <w:tr w:rsidR="002D17A6" w:rsidRPr="00AB491A" w14:paraId="464D35C1" w14:textId="77777777" w:rsidTr="002D17A6">
        <w:tc>
          <w:tcPr>
            <w:tcW w:w="2263" w:type="dxa"/>
            <w:tcBorders>
              <w:top w:val="single" w:sz="4" w:space="0" w:color="auto"/>
              <w:bottom w:val="single" w:sz="4" w:space="0" w:color="auto"/>
              <w:right w:val="single" w:sz="4" w:space="0" w:color="auto"/>
            </w:tcBorders>
          </w:tcPr>
          <w:p w14:paraId="7B6E92C9" w14:textId="16D25BF1" w:rsidR="002D17A6" w:rsidRDefault="002D17A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5C021AE9" w14:textId="1F1DF1F0" w:rsidR="002D17A6" w:rsidRDefault="00811B71" w:rsidP="007F346F">
            <w:pPr>
              <w:rPr>
                <w:sz w:val="18"/>
                <w:szCs w:val="18"/>
              </w:rPr>
            </w:pPr>
            <w:r>
              <w:rPr>
                <w:sz w:val="18"/>
                <w:szCs w:val="18"/>
              </w:rPr>
              <w:t>Required investment in electric vehicle subsidies and charging infrastructure (%GDP)</w:t>
            </w:r>
          </w:p>
        </w:tc>
        <w:tc>
          <w:tcPr>
            <w:tcW w:w="2693" w:type="dxa"/>
            <w:tcBorders>
              <w:top w:val="single" w:sz="4" w:space="0" w:color="auto"/>
              <w:left w:val="single" w:sz="4" w:space="0" w:color="auto"/>
              <w:bottom w:val="single" w:sz="4" w:space="0" w:color="auto"/>
              <w:right w:val="single" w:sz="4" w:space="0" w:color="auto"/>
            </w:tcBorders>
          </w:tcPr>
          <w:p w14:paraId="6019F5C9" w14:textId="77777777" w:rsidR="002D17A6" w:rsidRDefault="003F2883" w:rsidP="007F346F">
            <w:pPr>
              <w:jc w:val="center"/>
              <w:rPr>
                <w:sz w:val="18"/>
                <w:szCs w:val="18"/>
              </w:rPr>
            </w:pPr>
            <w:r>
              <w:rPr>
                <w:sz w:val="18"/>
                <w:szCs w:val="18"/>
              </w:rPr>
              <w:t>Modest expenditure to 2050</w:t>
            </w:r>
          </w:p>
          <w:p w14:paraId="65526DBF" w14:textId="07326B72" w:rsidR="003F2883" w:rsidRDefault="003F2883" w:rsidP="007F346F">
            <w:pPr>
              <w:jc w:val="center"/>
              <w:rPr>
                <w:sz w:val="18"/>
                <w:szCs w:val="18"/>
              </w:rPr>
            </w:pPr>
            <w:r>
              <w:rPr>
                <w:sz w:val="18"/>
                <w:szCs w:val="18"/>
              </w:rPr>
              <w:t>2021:</w:t>
            </w:r>
            <w:r w:rsidR="00240E96">
              <w:rPr>
                <w:sz w:val="18"/>
                <w:szCs w:val="18"/>
              </w:rPr>
              <w:t xml:space="preserve"> 0.001</w:t>
            </w:r>
          </w:p>
          <w:p w14:paraId="09E648EA" w14:textId="4D60B861" w:rsidR="003F2883" w:rsidRDefault="003F2883" w:rsidP="007F346F">
            <w:pPr>
              <w:jc w:val="center"/>
              <w:rPr>
                <w:sz w:val="18"/>
                <w:szCs w:val="18"/>
              </w:rPr>
            </w:pPr>
            <w:r>
              <w:rPr>
                <w:sz w:val="18"/>
                <w:szCs w:val="18"/>
              </w:rPr>
              <w:t>2030:</w:t>
            </w:r>
            <w:r w:rsidR="00240E96">
              <w:rPr>
                <w:sz w:val="18"/>
                <w:szCs w:val="18"/>
              </w:rPr>
              <w:t xml:space="preserve"> 0.013</w:t>
            </w:r>
          </w:p>
          <w:p w14:paraId="57CF3A14" w14:textId="64942119" w:rsidR="003F2883" w:rsidRPr="001D4EC5" w:rsidRDefault="003F2883" w:rsidP="007F346F">
            <w:pPr>
              <w:jc w:val="center"/>
              <w:rPr>
                <w:sz w:val="18"/>
                <w:szCs w:val="18"/>
              </w:rPr>
            </w:pPr>
            <w:r>
              <w:rPr>
                <w:sz w:val="18"/>
                <w:szCs w:val="18"/>
              </w:rPr>
              <w:t xml:space="preserve">2050: </w:t>
            </w:r>
            <w:r w:rsidR="00240E96">
              <w:rPr>
                <w:sz w:val="18"/>
                <w:szCs w:val="18"/>
              </w:rPr>
              <w:t>0.021</w:t>
            </w:r>
          </w:p>
        </w:tc>
        <w:tc>
          <w:tcPr>
            <w:tcW w:w="2552" w:type="dxa"/>
            <w:tcBorders>
              <w:top w:val="single" w:sz="4" w:space="0" w:color="auto"/>
              <w:left w:val="single" w:sz="4" w:space="0" w:color="auto"/>
              <w:bottom w:val="single" w:sz="4" w:space="0" w:color="auto"/>
              <w:right w:val="single" w:sz="4" w:space="0" w:color="auto"/>
            </w:tcBorders>
          </w:tcPr>
          <w:p w14:paraId="1C2102AA" w14:textId="77777777" w:rsidR="002D17A6" w:rsidRDefault="003F2883" w:rsidP="007F346F">
            <w:pPr>
              <w:jc w:val="center"/>
              <w:rPr>
                <w:sz w:val="18"/>
                <w:szCs w:val="18"/>
              </w:rPr>
            </w:pPr>
            <w:r>
              <w:rPr>
                <w:sz w:val="18"/>
                <w:szCs w:val="18"/>
              </w:rPr>
              <w:t>Increased expenditure to 2050</w:t>
            </w:r>
          </w:p>
          <w:p w14:paraId="3A03F091" w14:textId="3B2484C9" w:rsidR="003F2883" w:rsidRDefault="003F2883" w:rsidP="007F346F">
            <w:pPr>
              <w:jc w:val="center"/>
              <w:rPr>
                <w:sz w:val="18"/>
                <w:szCs w:val="18"/>
              </w:rPr>
            </w:pPr>
            <w:r>
              <w:rPr>
                <w:sz w:val="18"/>
                <w:szCs w:val="18"/>
              </w:rPr>
              <w:t>2021:</w:t>
            </w:r>
            <w:r w:rsidR="00240E96">
              <w:rPr>
                <w:sz w:val="18"/>
                <w:szCs w:val="18"/>
              </w:rPr>
              <w:t xml:space="preserve"> 0.001</w:t>
            </w:r>
          </w:p>
          <w:p w14:paraId="730CBB74" w14:textId="0F74E8FD" w:rsidR="003F2883" w:rsidRDefault="003F2883" w:rsidP="007F346F">
            <w:pPr>
              <w:jc w:val="center"/>
              <w:rPr>
                <w:sz w:val="18"/>
                <w:szCs w:val="18"/>
              </w:rPr>
            </w:pPr>
            <w:r>
              <w:rPr>
                <w:sz w:val="18"/>
                <w:szCs w:val="18"/>
              </w:rPr>
              <w:t>2030:</w:t>
            </w:r>
            <w:r w:rsidR="00240E96">
              <w:rPr>
                <w:sz w:val="18"/>
                <w:szCs w:val="18"/>
              </w:rPr>
              <w:t xml:space="preserve"> 0.017</w:t>
            </w:r>
          </w:p>
          <w:p w14:paraId="43F3FE83" w14:textId="2D4D325A" w:rsidR="003F2883" w:rsidRDefault="003F2883" w:rsidP="007F346F">
            <w:pPr>
              <w:jc w:val="center"/>
              <w:rPr>
                <w:sz w:val="18"/>
                <w:szCs w:val="18"/>
              </w:rPr>
            </w:pPr>
            <w:r>
              <w:rPr>
                <w:sz w:val="18"/>
                <w:szCs w:val="18"/>
              </w:rPr>
              <w:t>2050: 0.036</w:t>
            </w:r>
          </w:p>
        </w:tc>
        <w:tc>
          <w:tcPr>
            <w:tcW w:w="4110" w:type="dxa"/>
            <w:tcBorders>
              <w:top w:val="single" w:sz="4" w:space="0" w:color="auto"/>
              <w:left w:val="single" w:sz="4" w:space="0" w:color="auto"/>
              <w:bottom w:val="single" w:sz="4" w:space="0" w:color="auto"/>
            </w:tcBorders>
          </w:tcPr>
          <w:p w14:paraId="0277BAFD" w14:textId="448FD6D0" w:rsidR="002D17A6" w:rsidRDefault="00847801" w:rsidP="007F346F">
            <w:pPr>
              <w:rPr>
                <w:sz w:val="18"/>
                <w:szCs w:val="18"/>
              </w:rPr>
            </w:pPr>
            <w:r>
              <w:rPr>
                <w:sz w:val="18"/>
                <w:szCs w:val="18"/>
              </w:rPr>
              <w:t xml:space="preserve">Modelled costs based on BEV uptake calibrated on </w:t>
            </w:r>
            <w:r>
              <w:rPr>
                <w:sz w:val="18"/>
                <w:szCs w:val="18"/>
              </w:rPr>
              <w:fldChar w:fldCharType="begin"/>
            </w:r>
            <w:r>
              <w:rPr>
                <w:sz w:val="18"/>
                <w:szCs w:val="18"/>
              </w:rPr>
              <w:instrText xml:space="preserve"> ADDIN EN.CITE &lt;EndNote&gt;&lt;Cite AuthorYear="1"&gt;&lt;Author&gt;Broadbent&lt;/Author&gt;&lt;Year&gt;2022&lt;/Year&gt;&lt;RecNum&gt;2635&lt;/RecNum&gt;&lt;DisplayText&gt;Broadbent et al. (2022b)&lt;/DisplayText&gt;&lt;record&gt;&lt;rec-number&gt;2635&lt;/rec-number&gt;&lt;foreign-keys&gt;&lt;key app="EN" db-id="9vsrvaat7fadwtesfsrpw5w5t0x5v500ef25" timestamp="1658449932"&gt;2635&lt;/key&gt;&lt;/foreign-keys&gt;&lt;ref-type name="Journal Article"&gt;17&lt;/ref-type&gt;&lt;contributors&gt;&lt;authors&gt;&lt;author&gt;Broadbent, Gail Helen&lt;/author&gt;&lt;author&gt;Allen, Cameron Ian&lt;/author&gt;&lt;author&gt;Wiedmann, Thomas&lt;/author&gt;&lt;author&gt;Metternicht, Graciela Isabel&lt;/author&gt;&lt;/authors&gt;&lt;/contributors&gt;&lt;titles&gt;&lt;title&gt;Accelerating electric vehicle uptake: Modelling public policy options on prices and infrastructure&lt;/title&gt;&lt;secondary-title&gt;Transportation Research Part A: Policy and Practice&lt;/secondary-title&gt;&lt;/titles&gt;&lt;periodical&gt;&lt;full-title&gt;Transportation Research Part A: Policy and Practice&lt;/full-title&gt;&lt;/periodical&gt;&lt;pages&gt;155-174&lt;/pages&gt;&lt;volume&gt;162&lt;/volume&gt;&lt;dates&gt;&lt;year&gt;2022&lt;/year&gt;&lt;/dates&gt;&lt;isbn&gt;0965-8564&lt;/isbn&gt;&lt;urls&gt;&lt;/urls&gt;&lt;electronic-resource-num&gt;https://doi.org/10.1016/j.tra.2022.05.012&lt;/electronic-resource-num&gt;&lt;/record&gt;&lt;/Cite&gt;&lt;/EndNote&gt;</w:instrText>
            </w:r>
            <w:r>
              <w:rPr>
                <w:sz w:val="18"/>
                <w:szCs w:val="18"/>
              </w:rPr>
              <w:fldChar w:fldCharType="separate"/>
            </w:r>
            <w:r>
              <w:rPr>
                <w:noProof/>
                <w:sz w:val="18"/>
                <w:szCs w:val="18"/>
              </w:rPr>
              <w:t>Broadbent et al. (2022b)</w:t>
            </w:r>
            <w:r>
              <w:rPr>
                <w:sz w:val="18"/>
                <w:szCs w:val="18"/>
              </w:rPr>
              <w:fldChar w:fldCharType="end"/>
            </w:r>
          </w:p>
        </w:tc>
      </w:tr>
      <w:tr w:rsidR="003D7A86" w:rsidRPr="00AB491A" w14:paraId="085D0692" w14:textId="77777777" w:rsidTr="002D17A6">
        <w:tc>
          <w:tcPr>
            <w:tcW w:w="2263" w:type="dxa"/>
            <w:tcBorders>
              <w:top w:val="single" w:sz="4" w:space="0" w:color="auto"/>
              <w:bottom w:val="single" w:sz="4" w:space="0" w:color="auto"/>
              <w:right w:val="single" w:sz="4" w:space="0" w:color="auto"/>
            </w:tcBorders>
            <w:shd w:val="clear" w:color="auto" w:fill="D9D9D9" w:themeFill="background1" w:themeFillShade="D9"/>
          </w:tcPr>
          <w:p w14:paraId="7F3F4960"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9EEE3E2" w14:textId="77777777" w:rsidR="003D7A86" w:rsidRPr="00AB491A" w:rsidRDefault="003D7A86" w:rsidP="007F346F">
            <w:pPr>
              <w:rPr>
                <w:sz w:val="18"/>
                <w:szCs w:val="18"/>
              </w:rPr>
            </w:pP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CA92042" w14:textId="77777777" w:rsidR="003D7A86" w:rsidRPr="00AB491A" w:rsidRDefault="003D7A86" w:rsidP="007F346F">
            <w:pPr>
              <w:jc w:val="center"/>
              <w:rPr>
                <w:sz w:val="18"/>
                <w:szCs w:val="18"/>
              </w:rPr>
            </w:pP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F473E93" w14:textId="77777777" w:rsidR="003D7A86" w:rsidRPr="00AB491A" w:rsidRDefault="003D7A86" w:rsidP="007F346F">
            <w:pPr>
              <w:jc w:val="center"/>
              <w:rPr>
                <w:sz w:val="18"/>
                <w:szCs w:val="18"/>
              </w:rPr>
            </w:pPr>
          </w:p>
        </w:tc>
        <w:tc>
          <w:tcPr>
            <w:tcW w:w="4110" w:type="dxa"/>
            <w:tcBorders>
              <w:top w:val="single" w:sz="4" w:space="0" w:color="auto"/>
              <w:left w:val="single" w:sz="4" w:space="0" w:color="auto"/>
              <w:bottom w:val="single" w:sz="4" w:space="0" w:color="auto"/>
            </w:tcBorders>
            <w:shd w:val="clear" w:color="auto" w:fill="D9D9D9" w:themeFill="background1" w:themeFillShade="D9"/>
          </w:tcPr>
          <w:p w14:paraId="0B384288" w14:textId="77777777" w:rsidR="003D7A86" w:rsidRPr="00AB491A" w:rsidRDefault="003D7A86" w:rsidP="007F346F">
            <w:pPr>
              <w:rPr>
                <w:sz w:val="18"/>
                <w:szCs w:val="18"/>
              </w:rPr>
            </w:pPr>
          </w:p>
        </w:tc>
      </w:tr>
      <w:tr w:rsidR="003D7A86" w:rsidRPr="00AB491A" w14:paraId="43A92B1C" w14:textId="77777777" w:rsidTr="002D17A6">
        <w:tc>
          <w:tcPr>
            <w:tcW w:w="2263" w:type="dxa"/>
            <w:tcBorders>
              <w:top w:val="single" w:sz="4" w:space="0" w:color="auto"/>
              <w:bottom w:val="single" w:sz="4" w:space="0" w:color="auto"/>
              <w:right w:val="single" w:sz="4" w:space="0" w:color="auto"/>
            </w:tcBorders>
          </w:tcPr>
          <w:p w14:paraId="73D1B420" w14:textId="77777777" w:rsidR="003D7A86" w:rsidRPr="00AB491A" w:rsidRDefault="003D7A86" w:rsidP="007F346F">
            <w:pPr>
              <w:rPr>
                <w:sz w:val="18"/>
                <w:szCs w:val="18"/>
              </w:rPr>
            </w:pPr>
            <w:r>
              <w:rPr>
                <w:sz w:val="18"/>
                <w:szCs w:val="18"/>
              </w:rPr>
              <w:t>6. Global Environmental Commons</w:t>
            </w:r>
          </w:p>
        </w:tc>
        <w:tc>
          <w:tcPr>
            <w:tcW w:w="2557" w:type="dxa"/>
            <w:tcBorders>
              <w:top w:val="single" w:sz="4" w:space="0" w:color="auto"/>
              <w:left w:val="single" w:sz="4" w:space="0" w:color="auto"/>
              <w:bottom w:val="single" w:sz="4" w:space="0" w:color="auto"/>
              <w:right w:val="single" w:sz="4" w:space="0" w:color="auto"/>
            </w:tcBorders>
          </w:tcPr>
          <w:p w14:paraId="4EF82C74" w14:textId="77777777" w:rsidR="003D7A86" w:rsidRPr="00AB491A" w:rsidRDefault="003D7A86" w:rsidP="007F346F">
            <w:pPr>
              <w:rPr>
                <w:sz w:val="18"/>
                <w:szCs w:val="18"/>
              </w:rPr>
            </w:pPr>
            <w:r>
              <w:rPr>
                <w:sz w:val="18"/>
                <w:szCs w:val="18"/>
              </w:rPr>
              <w:t>Additional reforestation expenditure as % GDP</w:t>
            </w:r>
          </w:p>
        </w:tc>
        <w:tc>
          <w:tcPr>
            <w:tcW w:w="2693" w:type="dxa"/>
            <w:tcBorders>
              <w:top w:val="single" w:sz="4" w:space="0" w:color="auto"/>
              <w:left w:val="single" w:sz="4" w:space="0" w:color="auto"/>
              <w:bottom w:val="single" w:sz="4" w:space="0" w:color="auto"/>
              <w:right w:val="single" w:sz="4" w:space="0" w:color="auto"/>
            </w:tcBorders>
          </w:tcPr>
          <w:p w14:paraId="21CE4FA9" w14:textId="77777777" w:rsidR="003D7A86" w:rsidRPr="00AB491A" w:rsidRDefault="003D7A86" w:rsidP="007F346F">
            <w:pPr>
              <w:jc w:val="center"/>
              <w:rPr>
                <w:sz w:val="18"/>
                <w:szCs w:val="18"/>
              </w:rPr>
            </w:pPr>
            <w:r>
              <w:rPr>
                <w:sz w:val="18"/>
                <w:szCs w:val="18"/>
              </w:rPr>
              <w:t>None</w:t>
            </w:r>
          </w:p>
        </w:tc>
        <w:tc>
          <w:tcPr>
            <w:tcW w:w="2552" w:type="dxa"/>
            <w:tcBorders>
              <w:top w:val="single" w:sz="4" w:space="0" w:color="auto"/>
              <w:left w:val="single" w:sz="4" w:space="0" w:color="auto"/>
              <w:bottom w:val="single" w:sz="4" w:space="0" w:color="auto"/>
              <w:right w:val="single" w:sz="4" w:space="0" w:color="auto"/>
            </w:tcBorders>
          </w:tcPr>
          <w:p w14:paraId="17960C3D" w14:textId="39544FE4" w:rsidR="00F17C21" w:rsidRDefault="00F17C21" w:rsidP="007F346F">
            <w:pPr>
              <w:jc w:val="center"/>
              <w:rPr>
                <w:sz w:val="18"/>
                <w:szCs w:val="18"/>
              </w:rPr>
            </w:pPr>
            <w:r>
              <w:rPr>
                <w:sz w:val="18"/>
                <w:szCs w:val="18"/>
              </w:rPr>
              <w:t>Increased investments to 2030</w:t>
            </w:r>
          </w:p>
          <w:p w14:paraId="02D2C0FE" w14:textId="5240B614" w:rsidR="003D7A86" w:rsidRDefault="003D7A86" w:rsidP="007F346F">
            <w:pPr>
              <w:jc w:val="center"/>
              <w:rPr>
                <w:sz w:val="18"/>
                <w:szCs w:val="18"/>
              </w:rPr>
            </w:pPr>
            <w:r>
              <w:rPr>
                <w:sz w:val="18"/>
                <w:szCs w:val="18"/>
              </w:rPr>
              <w:t>2021: 0.05</w:t>
            </w:r>
          </w:p>
          <w:p w14:paraId="6A428565" w14:textId="77777777" w:rsidR="003D7A86" w:rsidRDefault="003D7A86" w:rsidP="007F346F">
            <w:pPr>
              <w:jc w:val="center"/>
              <w:rPr>
                <w:sz w:val="18"/>
                <w:szCs w:val="18"/>
              </w:rPr>
            </w:pPr>
            <w:r>
              <w:rPr>
                <w:sz w:val="18"/>
                <w:szCs w:val="18"/>
              </w:rPr>
              <w:t>2022: 0.04</w:t>
            </w:r>
          </w:p>
          <w:p w14:paraId="15046B95" w14:textId="77777777" w:rsidR="003D7A86" w:rsidRPr="00AB491A" w:rsidRDefault="003D7A86" w:rsidP="007F346F">
            <w:pPr>
              <w:jc w:val="center"/>
              <w:rPr>
                <w:sz w:val="18"/>
                <w:szCs w:val="18"/>
              </w:rPr>
            </w:pPr>
            <w:r>
              <w:rPr>
                <w:sz w:val="18"/>
                <w:szCs w:val="18"/>
              </w:rPr>
              <w:t>2023-2030: 0.02</w:t>
            </w:r>
          </w:p>
        </w:tc>
        <w:tc>
          <w:tcPr>
            <w:tcW w:w="4110" w:type="dxa"/>
            <w:tcBorders>
              <w:top w:val="single" w:sz="4" w:space="0" w:color="auto"/>
              <w:left w:val="single" w:sz="4" w:space="0" w:color="auto"/>
              <w:bottom w:val="single" w:sz="4" w:space="0" w:color="auto"/>
            </w:tcBorders>
          </w:tcPr>
          <w:p w14:paraId="659FEF38" w14:textId="6BED21DF" w:rsidR="003D7A86" w:rsidRPr="00AB491A" w:rsidRDefault="00E909E9" w:rsidP="007F346F">
            <w:pPr>
              <w:rPr>
                <w:sz w:val="18"/>
                <w:szCs w:val="18"/>
              </w:rPr>
            </w:pPr>
            <w:r>
              <w:rPr>
                <w:sz w:val="18"/>
                <w:szCs w:val="18"/>
              </w:rPr>
              <w:t>SWT</w:t>
            </w:r>
            <w:r w:rsidR="0028693C">
              <w:rPr>
                <w:sz w:val="18"/>
                <w:szCs w:val="18"/>
              </w:rPr>
              <w:t xml:space="preserve"> assumes increased investment in carbon forestry and reforestation. </w:t>
            </w:r>
            <w:r w:rsidR="0028693C" w:rsidRPr="0028693C">
              <w:rPr>
                <w:sz w:val="18"/>
                <w:szCs w:val="18"/>
              </w:rPr>
              <w:t xml:space="preserve">Reforestation expenditure estimated based on </w:t>
            </w:r>
            <w:r w:rsidR="0028693C" w:rsidRPr="0028693C">
              <w:rPr>
                <w:sz w:val="18"/>
                <w:szCs w:val="18"/>
              </w:rPr>
              <w:fldChar w:fldCharType="begin"/>
            </w:r>
            <w:r w:rsidR="0028693C">
              <w:rPr>
                <w:sz w:val="18"/>
                <w:szCs w:val="18"/>
              </w:rPr>
              <w:instrText xml:space="preserve"> ADDIN EN.CITE &lt;EndNote&gt;&lt;Cite AuthorYear="1"&gt;&lt;Author&gt;Summers&lt;/Author&gt;&lt;Year&gt;2015&lt;/Year&gt;&lt;RecNum&gt;1035&lt;/RecNum&gt;&lt;DisplayText&gt;Summers et al. (2015)&lt;/DisplayText&gt;&lt;record&gt;&lt;rec-number&gt;1035&lt;/rec-number&gt;&lt;foreign-keys&gt;&lt;key app="EN" db-id="9vsrvaat7fadwtesfsrpw5w5t0x5v500ef25" timestamp="1565073381"&gt;1035&lt;/key&gt;&lt;/foreign-keys&gt;&lt;ref-type name="Journal Article"&gt;17&lt;/ref-type&gt;&lt;contributors&gt;&lt;authors&gt;&lt;author&gt;Summers, David M&lt;/author&gt;&lt;author&gt;Bryan, Brett A&lt;/author&gt;&lt;author&gt;Nolan, Martin&lt;/author&gt;&lt;author&gt;Hobbs, Trevor J&lt;/author&gt;&lt;/authors&gt;&lt;/contributors&gt;&lt;titles&gt;&lt;title&gt;The costs of reforestation: a spatial model of the costs of establishing environmental and carbon plantings&lt;/title&gt;&lt;secondary-title&gt;Land Use Policy&lt;/secondary-title&gt;&lt;/titles&gt;&lt;periodical&gt;&lt;full-title&gt;Land Use Policy&lt;/full-title&gt;&lt;/periodical&gt;&lt;pages&gt;110-121&lt;/pages&gt;&lt;volume&gt;44&lt;/volume&gt;&lt;dates&gt;&lt;year&gt;2015&lt;/year&gt;&lt;/dates&gt;&lt;isbn&gt;0264-8377&lt;/isbn&gt;&lt;urls&gt;&lt;/urls&gt;&lt;electronic-resource-num&gt;https://doi.org/10.1016/j.landusepol.2014.12.002&lt;/electronic-resource-num&gt;&lt;/record&gt;&lt;/Cite&gt;&lt;/EndNote&gt;</w:instrText>
            </w:r>
            <w:r w:rsidR="0028693C" w:rsidRPr="0028693C">
              <w:rPr>
                <w:sz w:val="18"/>
                <w:szCs w:val="18"/>
              </w:rPr>
              <w:fldChar w:fldCharType="separate"/>
            </w:r>
            <w:r w:rsidR="0028693C" w:rsidRPr="0028693C">
              <w:rPr>
                <w:noProof/>
                <w:sz w:val="18"/>
                <w:szCs w:val="18"/>
              </w:rPr>
              <w:t>Summers et al. (2015)</w:t>
            </w:r>
            <w:r w:rsidR="0028693C" w:rsidRPr="0028693C">
              <w:rPr>
                <w:sz w:val="18"/>
                <w:szCs w:val="18"/>
              </w:rPr>
              <w:fldChar w:fldCharType="end"/>
            </w:r>
            <w:r w:rsidR="0028693C">
              <w:rPr>
                <w:sz w:val="18"/>
                <w:szCs w:val="18"/>
              </w:rPr>
              <w:t>,</w:t>
            </w:r>
            <w:r w:rsidR="0028693C" w:rsidRPr="0028693C">
              <w:rPr>
                <w:sz w:val="18"/>
                <w:szCs w:val="18"/>
              </w:rPr>
              <w:t xml:space="preserve"> Landcare expenditure data </w:t>
            </w:r>
            <w:r w:rsidR="0028693C" w:rsidRPr="0028693C">
              <w:rPr>
                <w:sz w:val="18"/>
                <w:szCs w:val="18"/>
              </w:rPr>
              <w:fldChar w:fldCharType="begin"/>
            </w:r>
            <w:r w:rsidR="0028693C" w:rsidRPr="0028693C">
              <w:rPr>
                <w:sz w:val="18"/>
                <w:szCs w:val="18"/>
              </w:rPr>
              <w:instrText xml:space="preserve"> ADDIN EN.CITE &lt;EndNote&gt;&lt;Cite&gt;&lt;Author&gt;Australian Government&lt;/Author&gt;&lt;Year&gt;2018&lt;/Year&gt;&lt;RecNum&gt;1036&lt;/RecNum&gt;&lt;DisplayText&gt;(Australian Government, 2018)&lt;/DisplayText&gt;&lt;record&gt;&lt;rec-number&gt;1036&lt;/rec-number&gt;&lt;foreign-keys&gt;&lt;key app="EN" db-id="9vsrvaat7fadwtesfsrpw5w5t0x5v500ef25" timestamp="1565075547"&gt;1036&lt;/key&gt;&lt;/foreign-keys&gt;&lt;ref-type name="Web Page"&gt;12&lt;/ref-type&gt;&lt;contributors&gt;&lt;authors&gt;&lt;author&gt;Australian Government,&lt;/author&gt;&lt;/authors&gt;&lt;/contributors&gt;&lt;titles&gt;&lt;title&gt;National Landcare Program: 20 Million  Trees Program&lt;/title&gt;&lt;/titles&gt;&lt;number&gt;10 June 2018&lt;/number&gt;&lt;dates&gt;&lt;year&gt;2018&lt;/year&gt;&lt;/dates&gt;&lt;pub-location&gt;Canberra, Australia&lt;/pub-location&gt;&lt;publisher&gt;Australian Government&lt;/publisher&gt;&lt;urls&gt;&lt;related-urls&gt;&lt;url&gt;http://www.nrm.gov.au/national/20-million-trees&lt;/url&gt;&lt;/related-urls&gt;&lt;/urls&gt;&lt;/record&gt;&lt;/Cite&gt;&lt;/EndNote&gt;</w:instrText>
            </w:r>
            <w:r w:rsidR="0028693C" w:rsidRPr="0028693C">
              <w:rPr>
                <w:sz w:val="18"/>
                <w:szCs w:val="18"/>
              </w:rPr>
              <w:fldChar w:fldCharType="separate"/>
            </w:r>
            <w:r w:rsidR="0028693C" w:rsidRPr="0028693C">
              <w:rPr>
                <w:sz w:val="18"/>
                <w:szCs w:val="18"/>
              </w:rPr>
              <w:t>(Australian Government, 2018)</w:t>
            </w:r>
            <w:r w:rsidR="0028693C" w:rsidRPr="0028693C">
              <w:rPr>
                <w:sz w:val="18"/>
                <w:szCs w:val="18"/>
              </w:rPr>
              <w:fldChar w:fldCharType="end"/>
            </w:r>
            <w:r w:rsidR="0028693C">
              <w:rPr>
                <w:sz w:val="18"/>
                <w:szCs w:val="18"/>
              </w:rPr>
              <w:t xml:space="preserve"> and </w:t>
            </w:r>
            <w:r w:rsidR="0028693C">
              <w:rPr>
                <w:sz w:val="18"/>
                <w:szCs w:val="18"/>
              </w:rPr>
              <w:fldChar w:fldCharType="begin"/>
            </w:r>
            <w:r w:rsidR="0028693C">
              <w:rPr>
                <w:sz w:val="18"/>
                <w:szCs w:val="18"/>
              </w:rPr>
              <w:instrText xml:space="preserve"> ADDIN EN.CITE &lt;EndNote&gt;&lt;Cite&gt;&lt;Author&gt;ClimateWorks Australia&lt;/Author&gt;&lt;Year&gt;2020&lt;/Year&gt;&lt;RecNum&gt;1484&lt;/RecNum&gt;&lt;DisplayText&gt;(ClimateWorks Australia, 2020)&lt;/DisplayText&gt;&lt;record&gt;&lt;rec-number&gt;1484&lt;/rec-number&gt;&lt;foreign-keys&gt;&lt;key app="EN" db-id="9vsrvaat7fadwtesfsrpw5w5t0x5v500ef25" timestamp="1600963142"&gt;1484&lt;/key&gt;&lt;/foreign-keys&gt;&lt;ref-type name="Generic"&gt;13&lt;/ref-type&gt;&lt;contributors&gt;&lt;authors&gt;&lt;author&gt;ClimateWorks Australia,&lt;/author&gt;&lt;/authors&gt;&lt;/contributors&gt;&lt;titles&gt;&lt;title&gt;Decarbonisation Futures: Solutions, actions and benchmarks for a net zero emissions Australia&lt;/title&gt;&lt;/titles&gt;&lt;dates&gt;&lt;year&gt;2020&lt;/year&gt;&lt;/dates&gt;&lt;pub-location&gt;Melbourne&lt;/pub-location&gt;&lt;publisher&gt;ClimateWorks&lt;/publisher&gt;&lt;urls&gt;&lt;/urls&gt;&lt;/record&gt;&lt;/Cite&gt;&lt;/EndNote&gt;</w:instrText>
            </w:r>
            <w:r w:rsidR="0028693C">
              <w:rPr>
                <w:sz w:val="18"/>
                <w:szCs w:val="18"/>
              </w:rPr>
              <w:fldChar w:fldCharType="separate"/>
            </w:r>
            <w:r w:rsidR="0028693C">
              <w:rPr>
                <w:noProof/>
                <w:sz w:val="18"/>
                <w:szCs w:val="18"/>
              </w:rPr>
              <w:t>(ClimateWorks Australia, 2020)</w:t>
            </w:r>
            <w:r w:rsidR="0028693C">
              <w:rPr>
                <w:sz w:val="18"/>
                <w:szCs w:val="18"/>
              </w:rPr>
              <w:fldChar w:fldCharType="end"/>
            </w:r>
          </w:p>
        </w:tc>
      </w:tr>
      <w:tr w:rsidR="003D7A86" w:rsidRPr="00AB491A" w14:paraId="2836FD1E" w14:textId="77777777" w:rsidTr="002D17A6">
        <w:tc>
          <w:tcPr>
            <w:tcW w:w="2263" w:type="dxa"/>
            <w:tcBorders>
              <w:top w:val="single" w:sz="4" w:space="0" w:color="auto"/>
              <w:bottom w:val="single" w:sz="4" w:space="0" w:color="auto"/>
              <w:right w:val="single" w:sz="4" w:space="0" w:color="auto"/>
            </w:tcBorders>
          </w:tcPr>
          <w:p w14:paraId="4BE79D00"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0F7EDBF3" w14:textId="77777777" w:rsidR="003D7A86" w:rsidRPr="00AB491A" w:rsidRDefault="003D7A86" w:rsidP="007F346F">
            <w:pPr>
              <w:rPr>
                <w:sz w:val="18"/>
                <w:szCs w:val="18"/>
              </w:rPr>
            </w:pPr>
            <w:r>
              <w:rPr>
                <w:sz w:val="18"/>
                <w:szCs w:val="18"/>
              </w:rPr>
              <w:t>Additional marine park protected areas expenditure as % GDP</w:t>
            </w:r>
          </w:p>
        </w:tc>
        <w:tc>
          <w:tcPr>
            <w:tcW w:w="2693" w:type="dxa"/>
            <w:tcBorders>
              <w:top w:val="single" w:sz="4" w:space="0" w:color="auto"/>
              <w:left w:val="single" w:sz="4" w:space="0" w:color="auto"/>
              <w:bottom w:val="single" w:sz="4" w:space="0" w:color="auto"/>
              <w:right w:val="single" w:sz="4" w:space="0" w:color="auto"/>
            </w:tcBorders>
          </w:tcPr>
          <w:p w14:paraId="10C8AFAE" w14:textId="77777777" w:rsidR="003D7A86" w:rsidRPr="00AB491A" w:rsidRDefault="003D7A86" w:rsidP="007F346F">
            <w:pPr>
              <w:jc w:val="center"/>
              <w:rPr>
                <w:sz w:val="18"/>
                <w:szCs w:val="18"/>
              </w:rPr>
            </w:pPr>
            <w:r>
              <w:rPr>
                <w:sz w:val="18"/>
                <w:szCs w:val="18"/>
              </w:rPr>
              <w:t>None</w:t>
            </w:r>
          </w:p>
        </w:tc>
        <w:tc>
          <w:tcPr>
            <w:tcW w:w="2552" w:type="dxa"/>
            <w:tcBorders>
              <w:top w:val="single" w:sz="4" w:space="0" w:color="auto"/>
              <w:left w:val="single" w:sz="4" w:space="0" w:color="auto"/>
              <w:bottom w:val="single" w:sz="4" w:space="0" w:color="auto"/>
              <w:right w:val="single" w:sz="4" w:space="0" w:color="auto"/>
            </w:tcBorders>
          </w:tcPr>
          <w:p w14:paraId="5E0E0611" w14:textId="7BCD696E" w:rsidR="00F17C21" w:rsidRDefault="00F17C21" w:rsidP="007F346F">
            <w:pPr>
              <w:jc w:val="center"/>
              <w:rPr>
                <w:sz w:val="18"/>
                <w:szCs w:val="18"/>
              </w:rPr>
            </w:pPr>
            <w:r>
              <w:rPr>
                <w:sz w:val="18"/>
                <w:szCs w:val="18"/>
              </w:rPr>
              <w:t>Increased investments to 2050</w:t>
            </w:r>
          </w:p>
          <w:p w14:paraId="7E0854BD" w14:textId="1EA5E9FB" w:rsidR="003D7A86" w:rsidRDefault="003D7A86" w:rsidP="007F346F">
            <w:pPr>
              <w:jc w:val="center"/>
              <w:rPr>
                <w:sz w:val="18"/>
                <w:szCs w:val="18"/>
              </w:rPr>
            </w:pPr>
            <w:r>
              <w:rPr>
                <w:sz w:val="18"/>
                <w:szCs w:val="18"/>
              </w:rPr>
              <w:t>2021: 0.02</w:t>
            </w:r>
          </w:p>
          <w:p w14:paraId="20A7CF26" w14:textId="77777777" w:rsidR="003D7A86" w:rsidRDefault="003D7A86" w:rsidP="007F346F">
            <w:pPr>
              <w:jc w:val="center"/>
              <w:rPr>
                <w:sz w:val="18"/>
                <w:szCs w:val="18"/>
              </w:rPr>
            </w:pPr>
            <w:r>
              <w:rPr>
                <w:sz w:val="18"/>
                <w:szCs w:val="18"/>
              </w:rPr>
              <w:t>2022: 0.02</w:t>
            </w:r>
          </w:p>
          <w:p w14:paraId="60C29B47" w14:textId="77777777" w:rsidR="003D7A86" w:rsidRDefault="003D7A86" w:rsidP="007F346F">
            <w:pPr>
              <w:jc w:val="center"/>
              <w:rPr>
                <w:sz w:val="18"/>
                <w:szCs w:val="18"/>
              </w:rPr>
            </w:pPr>
            <w:r>
              <w:rPr>
                <w:sz w:val="18"/>
                <w:szCs w:val="18"/>
              </w:rPr>
              <w:t>2023-2030: 0.02</w:t>
            </w:r>
          </w:p>
          <w:p w14:paraId="24CBCEA8" w14:textId="77777777" w:rsidR="003D7A86" w:rsidRPr="00AB491A" w:rsidRDefault="003D7A86" w:rsidP="007F346F">
            <w:pPr>
              <w:jc w:val="center"/>
              <w:rPr>
                <w:sz w:val="18"/>
                <w:szCs w:val="18"/>
              </w:rPr>
            </w:pPr>
            <w:r>
              <w:rPr>
                <w:sz w:val="18"/>
                <w:szCs w:val="18"/>
              </w:rPr>
              <w:t>2050: 0.02</w:t>
            </w:r>
          </w:p>
        </w:tc>
        <w:tc>
          <w:tcPr>
            <w:tcW w:w="4110" w:type="dxa"/>
            <w:tcBorders>
              <w:top w:val="single" w:sz="4" w:space="0" w:color="auto"/>
              <w:left w:val="single" w:sz="4" w:space="0" w:color="auto"/>
              <w:bottom w:val="single" w:sz="4" w:space="0" w:color="auto"/>
            </w:tcBorders>
          </w:tcPr>
          <w:p w14:paraId="39C3D108" w14:textId="49A21B45" w:rsidR="003D7A86" w:rsidRPr="00AB491A" w:rsidRDefault="00E909E9" w:rsidP="007F346F">
            <w:pPr>
              <w:rPr>
                <w:sz w:val="18"/>
                <w:szCs w:val="18"/>
              </w:rPr>
            </w:pPr>
            <w:r>
              <w:rPr>
                <w:sz w:val="18"/>
                <w:szCs w:val="18"/>
              </w:rPr>
              <w:t>SWT</w:t>
            </w:r>
            <w:r w:rsidR="008D4C9F">
              <w:rPr>
                <w:sz w:val="18"/>
                <w:szCs w:val="18"/>
              </w:rPr>
              <w:t xml:space="preserve"> assumes increased investment in marine protected areas. </w:t>
            </w:r>
            <w:r w:rsidR="008D4C9F" w:rsidRPr="000061BB">
              <w:rPr>
                <w:sz w:val="18"/>
                <w:szCs w:val="18"/>
              </w:rPr>
              <w:t xml:space="preserve">Expenditure for marine protected areas estimated based on </w:t>
            </w:r>
            <w:r w:rsidR="008D4C9F" w:rsidRPr="000061BB">
              <w:rPr>
                <w:sz w:val="18"/>
                <w:szCs w:val="18"/>
              </w:rPr>
              <w:fldChar w:fldCharType="begin"/>
            </w:r>
            <w:r w:rsidR="008D4C9F">
              <w:rPr>
                <w:sz w:val="18"/>
                <w:szCs w:val="18"/>
              </w:rPr>
              <w:instrText xml:space="preserve"> ADDIN EN.CITE &lt;EndNote&gt;&lt;Cite AuthorYear="1"&gt;&lt;Author&gt;Balmford&lt;/Author&gt;&lt;Year&gt;2004&lt;/Year&gt;&lt;RecNum&gt;1039&lt;/RecNum&gt;&lt;DisplayText&gt;Balmford et al. (2004)&lt;/DisplayText&gt;&lt;record&gt;&lt;rec-number&gt;1039&lt;/rec-number&gt;&lt;foreign-keys&gt;&lt;key app="EN" db-id="9vsrvaat7fadwtesfsrpw5w5t0x5v500ef25" timestamp="1565077211"&gt;1039&lt;/key&gt;&lt;/foreign-keys&gt;&lt;ref-type name="Journal Article"&gt;17&lt;/ref-type&gt;&lt;contributors&gt;&lt;authors&gt;&lt;author&gt;Balmford, Andrew&lt;/author&gt;&lt;author&gt;Gravestock, Pippa&lt;/author&gt;&lt;author&gt;Hockley, Neal&lt;/author&gt;&lt;author&gt;McClean, Colin J&lt;/author&gt;&lt;author&gt;Roberts, Callum M&lt;/author&gt;&lt;/authors&gt;&lt;/contributors&gt;&lt;titles&gt;&lt;title&gt;The worldwide costs of marine protected areas&lt;/title&gt;&lt;secondary-title&gt;Proceedings of the National Academy of Sciences&lt;/secondary-title&gt;&lt;/titles&gt;&lt;periodical&gt;&lt;full-title&gt;Proceedings of the National Academy of Sciences&lt;/full-title&gt;&lt;/periodical&gt;&lt;pages&gt;9694-9697&lt;/pages&gt;&lt;volume&gt;101&lt;/volume&gt;&lt;number&gt;26&lt;/number&gt;&lt;dates&gt;&lt;year&gt;2004&lt;/year&gt;&lt;/dates&gt;&lt;isbn&gt;0027-8424&lt;/isbn&gt;&lt;urls&gt;&lt;/urls&gt;&lt;electronic-resource-num&gt; https://doi.org/10.1073/pnas.0403239101&lt;/electronic-resource-num&gt;&lt;/record&gt;&lt;/Cite&gt;&lt;/EndNote&gt;</w:instrText>
            </w:r>
            <w:r w:rsidR="008D4C9F" w:rsidRPr="000061BB">
              <w:rPr>
                <w:sz w:val="18"/>
                <w:szCs w:val="18"/>
              </w:rPr>
              <w:fldChar w:fldCharType="separate"/>
            </w:r>
            <w:r w:rsidR="008D4C9F" w:rsidRPr="000061BB">
              <w:rPr>
                <w:noProof/>
                <w:sz w:val="18"/>
                <w:szCs w:val="18"/>
              </w:rPr>
              <w:t>Balmford et al. (2004)</w:t>
            </w:r>
            <w:r w:rsidR="008D4C9F" w:rsidRPr="000061BB">
              <w:rPr>
                <w:sz w:val="18"/>
                <w:szCs w:val="18"/>
              </w:rPr>
              <w:fldChar w:fldCharType="end"/>
            </w:r>
            <w:r w:rsidR="008D4C9F" w:rsidRPr="000061BB">
              <w:rPr>
                <w:sz w:val="18"/>
                <w:szCs w:val="18"/>
              </w:rPr>
              <w:t xml:space="preserve">, </w:t>
            </w:r>
            <w:r w:rsidR="008D4C9F" w:rsidRPr="000061BB">
              <w:rPr>
                <w:sz w:val="18"/>
                <w:szCs w:val="18"/>
              </w:rPr>
              <w:fldChar w:fldCharType="begin"/>
            </w:r>
            <w:r w:rsidR="008D4C9F">
              <w:rPr>
                <w:sz w:val="18"/>
                <w:szCs w:val="18"/>
              </w:rPr>
              <w:instrText xml:space="preserve"> ADDIN EN.CITE &lt;EndNote&gt;&lt;Cite AuthorYear="1"&gt;&lt;Author&gt;Ban&lt;/Author&gt;&lt;Year&gt;2011&lt;/Year&gt;&lt;RecNum&gt;1040&lt;/RecNum&gt;&lt;DisplayText&gt;Ban et al. (2011)&lt;/DisplayText&gt;&lt;record&gt;&lt;rec-number&gt;1040&lt;/rec-number&gt;&lt;foreign-keys&gt;&lt;key app="EN" db-id="9vsrvaat7fadwtesfsrpw5w5t0x5v500ef25" timestamp="1565077267"&gt;1040&lt;/key&gt;&lt;/foreign-keys&gt;&lt;ref-type name="Journal Article"&gt;17&lt;/ref-type&gt;&lt;contributors&gt;&lt;authors&gt;&lt;author&gt;Ban, Natalie C&lt;/author&gt;&lt;author&gt;Adams, Vanessa&lt;/author&gt;&lt;author&gt;Pressey, Robert L&lt;/author&gt;&lt;author&gt;Hicks, John&lt;/author&gt;&lt;/authors&gt;&lt;/contributors&gt;&lt;titles&gt;&lt;title&gt;Promise and problems for estimating management costs of marine protected areas&lt;/title&gt;&lt;secondary-title&gt;Conservation Letters&lt;/secondary-title&gt;&lt;/titles&gt;&lt;periodical&gt;&lt;full-title&gt;Conservation Letters&lt;/full-title&gt;&lt;/periodical&gt;&lt;pages&gt;241-252&lt;/pages&gt;&lt;volume&gt;4&lt;/volume&gt;&lt;number&gt;3&lt;/number&gt;&lt;dates&gt;&lt;year&gt;2011&lt;/year&gt;&lt;/dates&gt;&lt;isbn&gt;1755-263X&lt;/isbn&gt;&lt;urls&gt;&lt;/urls&gt;&lt;electronic-resource-num&gt;https://doi.org/10.1111/j.1755-263X.2011.00171.x&lt;/electronic-resource-num&gt;&lt;/record&gt;&lt;/Cite&gt;&lt;/EndNote&gt;</w:instrText>
            </w:r>
            <w:r w:rsidR="008D4C9F" w:rsidRPr="000061BB">
              <w:rPr>
                <w:sz w:val="18"/>
                <w:szCs w:val="18"/>
              </w:rPr>
              <w:fldChar w:fldCharType="separate"/>
            </w:r>
            <w:r w:rsidR="008D4C9F" w:rsidRPr="000061BB">
              <w:rPr>
                <w:noProof/>
                <w:sz w:val="18"/>
                <w:szCs w:val="18"/>
              </w:rPr>
              <w:t>Ban et al. (2011)</w:t>
            </w:r>
            <w:r w:rsidR="008D4C9F" w:rsidRPr="000061BB">
              <w:rPr>
                <w:sz w:val="18"/>
                <w:szCs w:val="18"/>
              </w:rPr>
              <w:fldChar w:fldCharType="end"/>
            </w:r>
          </w:p>
        </w:tc>
      </w:tr>
      <w:tr w:rsidR="003D7A86" w:rsidRPr="00AB491A" w14:paraId="235EBA9C" w14:textId="77777777" w:rsidTr="002D17A6">
        <w:tc>
          <w:tcPr>
            <w:tcW w:w="2263" w:type="dxa"/>
            <w:tcBorders>
              <w:top w:val="single" w:sz="4" w:space="0" w:color="auto"/>
              <w:bottom w:val="single" w:sz="4" w:space="0" w:color="auto"/>
              <w:right w:val="single" w:sz="4" w:space="0" w:color="auto"/>
            </w:tcBorders>
          </w:tcPr>
          <w:p w14:paraId="6099403D"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724243EA" w14:textId="77777777" w:rsidR="003D7A86" w:rsidRPr="00AB491A" w:rsidRDefault="003D7A86" w:rsidP="007F346F">
            <w:pPr>
              <w:rPr>
                <w:sz w:val="18"/>
                <w:szCs w:val="18"/>
              </w:rPr>
            </w:pPr>
            <w:r>
              <w:rPr>
                <w:sz w:val="18"/>
                <w:szCs w:val="18"/>
              </w:rPr>
              <w:t>Additional terrestrial protected areas expenditure as % GDP</w:t>
            </w:r>
          </w:p>
        </w:tc>
        <w:tc>
          <w:tcPr>
            <w:tcW w:w="2693" w:type="dxa"/>
            <w:tcBorders>
              <w:top w:val="single" w:sz="4" w:space="0" w:color="auto"/>
              <w:left w:val="single" w:sz="4" w:space="0" w:color="auto"/>
              <w:bottom w:val="single" w:sz="4" w:space="0" w:color="auto"/>
              <w:right w:val="single" w:sz="4" w:space="0" w:color="auto"/>
            </w:tcBorders>
          </w:tcPr>
          <w:p w14:paraId="73346D74" w14:textId="77777777" w:rsidR="003D7A86" w:rsidRPr="00AB491A" w:rsidRDefault="003D7A86" w:rsidP="007F346F">
            <w:pPr>
              <w:jc w:val="center"/>
              <w:rPr>
                <w:sz w:val="18"/>
                <w:szCs w:val="18"/>
              </w:rPr>
            </w:pPr>
            <w:r>
              <w:rPr>
                <w:sz w:val="18"/>
                <w:szCs w:val="18"/>
              </w:rPr>
              <w:t>None</w:t>
            </w:r>
          </w:p>
        </w:tc>
        <w:tc>
          <w:tcPr>
            <w:tcW w:w="2552" w:type="dxa"/>
            <w:tcBorders>
              <w:top w:val="single" w:sz="4" w:space="0" w:color="auto"/>
              <w:left w:val="single" w:sz="4" w:space="0" w:color="auto"/>
              <w:bottom w:val="single" w:sz="4" w:space="0" w:color="auto"/>
              <w:right w:val="single" w:sz="4" w:space="0" w:color="auto"/>
            </w:tcBorders>
          </w:tcPr>
          <w:p w14:paraId="034904B0" w14:textId="3F4C1322" w:rsidR="00F17C21" w:rsidRDefault="00F17C21" w:rsidP="007F346F">
            <w:pPr>
              <w:jc w:val="center"/>
              <w:rPr>
                <w:sz w:val="18"/>
                <w:szCs w:val="18"/>
              </w:rPr>
            </w:pPr>
            <w:r>
              <w:rPr>
                <w:sz w:val="18"/>
                <w:szCs w:val="18"/>
              </w:rPr>
              <w:t>Increased investments to 2050</w:t>
            </w:r>
          </w:p>
          <w:p w14:paraId="3D57E850" w14:textId="12528871" w:rsidR="003D7A86" w:rsidRDefault="003D7A86" w:rsidP="007F346F">
            <w:pPr>
              <w:jc w:val="center"/>
              <w:rPr>
                <w:sz w:val="18"/>
                <w:szCs w:val="18"/>
              </w:rPr>
            </w:pPr>
            <w:r>
              <w:rPr>
                <w:sz w:val="18"/>
                <w:szCs w:val="18"/>
              </w:rPr>
              <w:t>2021: 0.035</w:t>
            </w:r>
          </w:p>
          <w:p w14:paraId="70781190" w14:textId="77777777" w:rsidR="003D7A86" w:rsidRDefault="003D7A86" w:rsidP="007F346F">
            <w:pPr>
              <w:jc w:val="center"/>
              <w:rPr>
                <w:sz w:val="18"/>
                <w:szCs w:val="18"/>
              </w:rPr>
            </w:pPr>
            <w:r>
              <w:rPr>
                <w:sz w:val="18"/>
                <w:szCs w:val="18"/>
              </w:rPr>
              <w:t>2022: 0.035</w:t>
            </w:r>
          </w:p>
          <w:p w14:paraId="4946AC9C" w14:textId="77777777" w:rsidR="003D7A86" w:rsidRDefault="003D7A86" w:rsidP="007F346F">
            <w:pPr>
              <w:jc w:val="center"/>
              <w:rPr>
                <w:sz w:val="18"/>
                <w:szCs w:val="18"/>
              </w:rPr>
            </w:pPr>
            <w:r>
              <w:rPr>
                <w:sz w:val="18"/>
                <w:szCs w:val="18"/>
              </w:rPr>
              <w:t>2023-2030: 0.035</w:t>
            </w:r>
          </w:p>
          <w:p w14:paraId="3758BAB5" w14:textId="77777777" w:rsidR="003D7A86" w:rsidRPr="00AB491A" w:rsidRDefault="003D7A86" w:rsidP="007F346F">
            <w:pPr>
              <w:jc w:val="center"/>
              <w:rPr>
                <w:sz w:val="18"/>
                <w:szCs w:val="18"/>
              </w:rPr>
            </w:pPr>
            <w:r>
              <w:rPr>
                <w:sz w:val="18"/>
                <w:szCs w:val="18"/>
              </w:rPr>
              <w:lastRenderedPageBreak/>
              <w:t>2050: 0.035</w:t>
            </w:r>
          </w:p>
        </w:tc>
        <w:tc>
          <w:tcPr>
            <w:tcW w:w="4110" w:type="dxa"/>
            <w:tcBorders>
              <w:top w:val="single" w:sz="4" w:space="0" w:color="auto"/>
              <w:left w:val="single" w:sz="4" w:space="0" w:color="auto"/>
              <w:bottom w:val="single" w:sz="4" w:space="0" w:color="auto"/>
            </w:tcBorders>
          </w:tcPr>
          <w:p w14:paraId="61FF8A05" w14:textId="08D25A5D" w:rsidR="003D7A86" w:rsidRPr="00AB491A" w:rsidRDefault="00E909E9" w:rsidP="007F346F">
            <w:pPr>
              <w:rPr>
                <w:sz w:val="18"/>
                <w:szCs w:val="18"/>
              </w:rPr>
            </w:pPr>
            <w:r>
              <w:rPr>
                <w:sz w:val="18"/>
                <w:szCs w:val="18"/>
              </w:rPr>
              <w:lastRenderedPageBreak/>
              <w:t>SWT</w:t>
            </w:r>
            <w:r w:rsidR="000061BB">
              <w:rPr>
                <w:sz w:val="18"/>
                <w:szCs w:val="18"/>
              </w:rPr>
              <w:t xml:space="preserve"> assumes increased investment in terrestrial protected areas. </w:t>
            </w:r>
            <w:r w:rsidR="008655EB" w:rsidRPr="008655EB">
              <w:rPr>
                <w:sz w:val="18"/>
                <w:szCs w:val="18"/>
              </w:rPr>
              <w:t xml:space="preserve">Expenditure for terrestrial protected areas estimated based on </w:t>
            </w:r>
            <w:r w:rsidR="008655EB" w:rsidRPr="008655EB">
              <w:rPr>
                <w:sz w:val="18"/>
                <w:szCs w:val="18"/>
              </w:rPr>
              <w:fldChar w:fldCharType="begin"/>
            </w:r>
            <w:r w:rsidR="008655EB" w:rsidRPr="008655EB">
              <w:rPr>
                <w:sz w:val="18"/>
                <w:szCs w:val="18"/>
              </w:rPr>
              <w:instrText xml:space="preserve"> ADDIN EN.CITE &lt;EndNote&gt;&lt;Cite AuthorYear="1"&gt;&lt;Author&gt;Adams&lt;/Author&gt;&lt;Year&gt;2011&lt;/Year&gt;&lt;RecNum&gt;1037&lt;/RecNum&gt;&lt;DisplayText&gt;Adams et al. (2011)&lt;/DisplayText&gt;&lt;record&gt;&lt;rec-number&gt;1037&lt;/rec-number&gt;&lt;foreign-keys&gt;&lt;key app="EN" db-id="9vsrvaat7fadwtesfsrpw5w5t0x5v500ef25" timestamp="1565076342"&gt;1037&lt;/key&gt;&lt;/foreign-keys&gt;&lt;ref-type name="Journal Article"&gt;17&lt;/ref-type&gt;&lt;contributors&gt;&lt;authors&gt;&lt;author&gt;Adams, Vanessa M&lt;/author&gt;&lt;author&gt;Segan, Daniel B&lt;/author&gt;&lt;author&gt;Pressey, Robert L&lt;/author&gt;&lt;/authors&gt;&lt;/contributors&gt;&lt;titles&gt;&lt;title&gt;How much does it cost to expand a protected area system? Some critical determining factors and ranges of costs for Queensland&lt;/title&gt;&lt;secondary-title&gt;PloS one&lt;/secondary-title&gt;&lt;/titles&gt;&lt;periodical&gt;&lt;full-title&gt;PloS one&lt;/full-title&gt;&lt;/periodical&gt;&lt;pages&gt;e25447&lt;/pages&gt;&lt;volume&gt;6&lt;/volume&gt;&lt;number&gt;9&lt;/number&gt;&lt;dates&gt;&lt;year&gt;2011&lt;/year&gt;&lt;/dates&gt;&lt;isbn&gt;1932-6203&lt;/isbn&gt;&lt;urls&gt;&lt;/urls&gt;&lt;/record&gt;&lt;/Cite&gt;&lt;/EndNote&gt;</w:instrText>
            </w:r>
            <w:r w:rsidR="008655EB" w:rsidRPr="008655EB">
              <w:rPr>
                <w:sz w:val="18"/>
                <w:szCs w:val="18"/>
              </w:rPr>
              <w:fldChar w:fldCharType="separate"/>
            </w:r>
            <w:r w:rsidR="008655EB" w:rsidRPr="008655EB">
              <w:rPr>
                <w:sz w:val="18"/>
                <w:szCs w:val="18"/>
              </w:rPr>
              <w:t>Adams et al. (2011)</w:t>
            </w:r>
            <w:r w:rsidR="008655EB" w:rsidRPr="008655EB">
              <w:rPr>
                <w:sz w:val="18"/>
                <w:szCs w:val="18"/>
              </w:rPr>
              <w:fldChar w:fldCharType="end"/>
            </w:r>
            <w:r w:rsidR="008655EB" w:rsidRPr="008655EB">
              <w:rPr>
                <w:sz w:val="18"/>
                <w:szCs w:val="18"/>
              </w:rPr>
              <w:t xml:space="preserve">, </w:t>
            </w:r>
            <w:r w:rsidR="008655EB" w:rsidRPr="008655EB">
              <w:rPr>
                <w:sz w:val="18"/>
                <w:szCs w:val="18"/>
              </w:rPr>
              <w:fldChar w:fldCharType="begin"/>
            </w:r>
            <w:r w:rsidR="008655EB" w:rsidRPr="008655EB">
              <w:rPr>
                <w:sz w:val="18"/>
                <w:szCs w:val="18"/>
              </w:rPr>
              <w:instrText xml:space="preserve"> ADDIN EN.CITE &lt;EndNote&gt;&lt;Cite AuthorYear="1"&gt;&lt;Author&gt;James&lt;/Author&gt;&lt;Year&gt;1999&lt;/Year&gt;&lt;RecNum&gt;1038&lt;/RecNum&gt;&lt;DisplayText&gt;James et al. (1999)&lt;/DisplayText&gt;&lt;record&gt;&lt;rec-number&gt;1038&lt;/rec-number&gt;&lt;foreign-keys&gt;&lt;key app="EN" db-id="9vsrvaat7fadwtesfsrpw5w5t0x5v500ef25" timestamp="1565076603"&gt;1038&lt;/key&gt;&lt;/foreign-keys&gt;&lt;ref-type name="Generic"&gt;13&lt;/ref-type&gt;&lt;contributors&gt;&lt;authors&gt;&lt;author&gt;James, A&lt;/author&gt;&lt;author&gt;Green, J&lt;/author&gt;&lt;author&gt;Paine, J&lt;/author&gt;&lt;/authors&gt;&lt;/contributors&gt;&lt;titles&gt;&lt;title&gt;A Global Review of Protected Area Budgets and Staff&lt;/title&gt;&lt;/titles&gt;&lt;dates&gt;&lt;year&gt;1999&lt;/year&gt;&lt;/dates&gt;&lt;pub-location&gt;Cambridge, U.K.&lt;/pub-location&gt;&lt;publisher&gt;World Conservation Monitoring Centre&lt;/publisher&gt;&lt;urls&gt;&lt;related-urls&gt;&lt;url&gt;https://www.infra.cbd.int/financial/expenditure/g-spendingglobal-wcmc.pdf&lt;/url&gt;&lt;/related-urls&gt;&lt;/urls&gt;&lt;/record&gt;&lt;/Cite&gt;&lt;/EndNote&gt;</w:instrText>
            </w:r>
            <w:r w:rsidR="008655EB" w:rsidRPr="008655EB">
              <w:rPr>
                <w:sz w:val="18"/>
                <w:szCs w:val="18"/>
              </w:rPr>
              <w:fldChar w:fldCharType="separate"/>
            </w:r>
            <w:r w:rsidR="008655EB" w:rsidRPr="008655EB">
              <w:rPr>
                <w:sz w:val="18"/>
                <w:szCs w:val="18"/>
              </w:rPr>
              <w:t>James et al. (1999)</w:t>
            </w:r>
            <w:r w:rsidR="008655EB" w:rsidRPr="008655EB">
              <w:rPr>
                <w:sz w:val="18"/>
                <w:szCs w:val="18"/>
              </w:rPr>
              <w:fldChar w:fldCharType="end"/>
            </w:r>
            <w:r w:rsidR="008655EB" w:rsidRPr="008655EB">
              <w:rPr>
                <w:sz w:val="18"/>
                <w:szCs w:val="18"/>
              </w:rPr>
              <w:t xml:space="preserve"> and ABS government </w:t>
            </w:r>
            <w:r w:rsidR="008655EB" w:rsidRPr="008655EB">
              <w:rPr>
                <w:sz w:val="18"/>
                <w:szCs w:val="18"/>
              </w:rPr>
              <w:lastRenderedPageBreak/>
              <w:t xml:space="preserve">expenditure data on environmental heritage </w:t>
            </w:r>
            <w:r w:rsidR="008655EB" w:rsidRPr="008655EB">
              <w:rPr>
                <w:sz w:val="18"/>
                <w:szCs w:val="18"/>
              </w:rPr>
              <w:fldChar w:fldCharType="begin"/>
            </w:r>
            <w:r w:rsidR="008655EB" w:rsidRPr="008655EB">
              <w:rPr>
                <w:sz w:val="18"/>
                <w:szCs w:val="18"/>
              </w:rPr>
              <w:instrText xml:space="preserve"> ADDIN EN.CITE &lt;EndNote&gt;&lt;Cite&gt;&lt;Author&gt;ABS&lt;/Author&gt;&lt;Year&gt;2014&lt;/Year&gt;&lt;RecNum&gt;1056&lt;/RecNum&gt;&lt;DisplayText&gt;(ABS, 2014)&lt;/DisplayText&gt;&lt;record&gt;&lt;rec-number&gt;1056&lt;/rec-number&gt;&lt;foreign-keys&gt;&lt;key app="EN" db-id="9vsrvaat7fadwtesfsrpw5w5t0x5v500ef25" timestamp="1565088477"&gt;1056&lt;/key&gt;&lt;/foreign-keys&gt;&lt;ref-type name="Dataset"&gt;59&lt;/ref-type&gt;&lt;contributors&gt;&lt;authors&gt;&lt;author&gt;ABS,&lt;/author&gt;&lt;/authors&gt;&lt;/contributors&gt;&lt;titles&gt;&lt;title&gt;4183.0 - Cultural Funding by Government, Australia&lt;/title&gt;&lt;/titles&gt;&lt;dates&gt;&lt;year&gt;2014&lt;/year&gt;&lt;/dates&gt;&lt;pub-location&gt;Canberra, Australia&lt;/pub-location&gt;&lt;publisher&gt;Australian Bureau of Statistics&lt;/publisher&gt;&lt;urls&gt;&lt;related-urls&gt;&lt;url&gt;https://www.abs.gov.au/AUSSTATS/abs@.nsf/Latestproducts/4183.0Main%20Features32012-13?opendocument&amp;amp;tabname=Summary&amp;amp;prodno=4183.0&amp;amp;issue=2012-13&amp;amp;num=&amp;amp;view=&lt;/url&gt;&lt;/related-urls&gt;&lt;/urls&gt;&lt;access-date&gt;22/02/18&lt;/access-date&gt;&lt;/record&gt;&lt;/Cite&gt;&lt;/EndNote&gt;</w:instrText>
            </w:r>
            <w:r w:rsidR="008655EB" w:rsidRPr="008655EB">
              <w:rPr>
                <w:sz w:val="18"/>
                <w:szCs w:val="18"/>
              </w:rPr>
              <w:fldChar w:fldCharType="separate"/>
            </w:r>
            <w:r w:rsidR="008655EB" w:rsidRPr="008655EB">
              <w:rPr>
                <w:sz w:val="18"/>
                <w:szCs w:val="18"/>
              </w:rPr>
              <w:t>(ABS, 2014)</w:t>
            </w:r>
            <w:r w:rsidR="008655EB" w:rsidRPr="008655EB">
              <w:rPr>
                <w:sz w:val="18"/>
                <w:szCs w:val="18"/>
              </w:rPr>
              <w:fldChar w:fldCharType="end"/>
            </w:r>
          </w:p>
        </w:tc>
      </w:tr>
      <w:tr w:rsidR="003D7A86" w:rsidRPr="00AB491A" w14:paraId="3BB1597D" w14:textId="77777777" w:rsidTr="002D17A6">
        <w:tc>
          <w:tcPr>
            <w:tcW w:w="2263" w:type="dxa"/>
            <w:tcBorders>
              <w:top w:val="single" w:sz="4" w:space="0" w:color="auto"/>
              <w:bottom w:val="single" w:sz="4" w:space="0" w:color="auto"/>
              <w:right w:val="single" w:sz="4" w:space="0" w:color="auto"/>
            </w:tcBorders>
            <w:shd w:val="clear" w:color="auto" w:fill="D9D9D9" w:themeFill="background1" w:themeFillShade="D9"/>
          </w:tcPr>
          <w:p w14:paraId="0429AF85"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E3F214F" w14:textId="77777777" w:rsidR="003D7A86" w:rsidRDefault="003D7A86" w:rsidP="007F346F">
            <w:pPr>
              <w:rPr>
                <w:sz w:val="18"/>
                <w:szCs w:val="18"/>
              </w:rPr>
            </w:pPr>
          </w:p>
        </w:tc>
        <w:tc>
          <w:tcPr>
            <w:tcW w:w="2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6EDC30A" w14:textId="77777777" w:rsidR="003D7A86" w:rsidRPr="00AB491A" w:rsidRDefault="003D7A86" w:rsidP="007F346F">
            <w:pPr>
              <w:jc w:val="center"/>
              <w:rPr>
                <w:sz w:val="18"/>
                <w:szCs w:val="18"/>
              </w:rPr>
            </w:pP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A6053B0" w14:textId="77777777" w:rsidR="003D7A86" w:rsidRPr="00AB491A" w:rsidRDefault="003D7A86" w:rsidP="007F346F">
            <w:pPr>
              <w:jc w:val="center"/>
              <w:rPr>
                <w:sz w:val="18"/>
                <w:szCs w:val="18"/>
              </w:rPr>
            </w:pPr>
          </w:p>
        </w:tc>
        <w:tc>
          <w:tcPr>
            <w:tcW w:w="4110" w:type="dxa"/>
            <w:tcBorders>
              <w:top w:val="single" w:sz="4" w:space="0" w:color="auto"/>
              <w:left w:val="single" w:sz="4" w:space="0" w:color="auto"/>
              <w:bottom w:val="single" w:sz="4" w:space="0" w:color="auto"/>
            </w:tcBorders>
            <w:shd w:val="clear" w:color="auto" w:fill="D9D9D9" w:themeFill="background1" w:themeFillShade="D9"/>
          </w:tcPr>
          <w:p w14:paraId="6C7766D8" w14:textId="77777777" w:rsidR="003D7A86" w:rsidRPr="00AB491A" w:rsidRDefault="003D7A86" w:rsidP="007F346F">
            <w:pPr>
              <w:rPr>
                <w:sz w:val="18"/>
                <w:szCs w:val="18"/>
              </w:rPr>
            </w:pPr>
          </w:p>
        </w:tc>
      </w:tr>
      <w:tr w:rsidR="003D7A86" w:rsidRPr="00AB491A" w14:paraId="25FD718F" w14:textId="77777777" w:rsidTr="002D17A6">
        <w:tc>
          <w:tcPr>
            <w:tcW w:w="2263" w:type="dxa"/>
            <w:tcBorders>
              <w:top w:val="single" w:sz="4" w:space="0" w:color="auto"/>
              <w:bottom w:val="single" w:sz="4" w:space="0" w:color="auto"/>
              <w:right w:val="single" w:sz="4" w:space="0" w:color="auto"/>
            </w:tcBorders>
          </w:tcPr>
          <w:p w14:paraId="1DC2F557" w14:textId="19E7E76E" w:rsidR="003D7A86" w:rsidRDefault="003D7A86" w:rsidP="007F346F">
            <w:pPr>
              <w:rPr>
                <w:sz w:val="18"/>
                <w:szCs w:val="18"/>
              </w:rPr>
            </w:pPr>
            <w:r>
              <w:rPr>
                <w:sz w:val="18"/>
                <w:szCs w:val="18"/>
              </w:rPr>
              <w:t>Cross-</w:t>
            </w:r>
            <w:r w:rsidR="007913F7">
              <w:rPr>
                <w:sz w:val="18"/>
                <w:szCs w:val="18"/>
              </w:rPr>
              <w:t>C</w:t>
            </w:r>
            <w:r>
              <w:rPr>
                <w:sz w:val="18"/>
                <w:szCs w:val="18"/>
              </w:rPr>
              <w:t xml:space="preserve">utting </w:t>
            </w:r>
            <w:r w:rsidR="007913F7">
              <w:rPr>
                <w:sz w:val="18"/>
                <w:szCs w:val="18"/>
              </w:rPr>
              <w:t>Exogenous Assumptions</w:t>
            </w:r>
          </w:p>
        </w:tc>
        <w:tc>
          <w:tcPr>
            <w:tcW w:w="2557" w:type="dxa"/>
            <w:tcBorders>
              <w:top w:val="single" w:sz="4" w:space="0" w:color="auto"/>
              <w:left w:val="single" w:sz="4" w:space="0" w:color="auto"/>
              <w:bottom w:val="single" w:sz="4" w:space="0" w:color="auto"/>
              <w:right w:val="single" w:sz="4" w:space="0" w:color="auto"/>
            </w:tcBorders>
          </w:tcPr>
          <w:p w14:paraId="5B4AD7C8" w14:textId="443DE47D" w:rsidR="003D7A86" w:rsidRDefault="003D7A86" w:rsidP="007F346F">
            <w:pPr>
              <w:rPr>
                <w:sz w:val="18"/>
                <w:szCs w:val="18"/>
              </w:rPr>
            </w:pPr>
            <w:r>
              <w:rPr>
                <w:sz w:val="18"/>
                <w:szCs w:val="18"/>
              </w:rPr>
              <w:t>Demographic</w:t>
            </w:r>
            <w:r w:rsidR="00B60311">
              <w:rPr>
                <w:sz w:val="18"/>
                <w:szCs w:val="18"/>
              </w:rPr>
              <w:t xml:space="preserve">s: target net migration </w:t>
            </w:r>
            <w:r w:rsidR="00DD6073">
              <w:rPr>
                <w:sz w:val="18"/>
                <w:szCs w:val="18"/>
              </w:rPr>
              <w:t xml:space="preserve">per 1,000 population per annum. </w:t>
            </w:r>
          </w:p>
        </w:tc>
        <w:tc>
          <w:tcPr>
            <w:tcW w:w="2693" w:type="dxa"/>
            <w:tcBorders>
              <w:top w:val="single" w:sz="4" w:space="0" w:color="auto"/>
              <w:left w:val="single" w:sz="4" w:space="0" w:color="auto"/>
              <w:bottom w:val="single" w:sz="4" w:space="0" w:color="auto"/>
              <w:right w:val="single" w:sz="4" w:space="0" w:color="auto"/>
            </w:tcBorders>
          </w:tcPr>
          <w:p w14:paraId="6144F0F1" w14:textId="6F77CE01" w:rsidR="003D7A86" w:rsidRDefault="003D7A86" w:rsidP="007F346F">
            <w:pPr>
              <w:jc w:val="center"/>
              <w:rPr>
                <w:sz w:val="18"/>
                <w:szCs w:val="18"/>
              </w:rPr>
            </w:pPr>
            <w:r>
              <w:rPr>
                <w:sz w:val="18"/>
                <w:szCs w:val="18"/>
              </w:rPr>
              <w:t>2020: 0</w:t>
            </w:r>
          </w:p>
          <w:p w14:paraId="2CDC2CDC" w14:textId="77777777" w:rsidR="003D7A86" w:rsidRDefault="003D7A86" w:rsidP="007F346F">
            <w:pPr>
              <w:jc w:val="center"/>
              <w:rPr>
                <w:sz w:val="18"/>
                <w:szCs w:val="18"/>
              </w:rPr>
            </w:pPr>
            <w:r>
              <w:rPr>
                <w:sz w:val="18"/>
                <w:szCs w:val="18"/>
              </w:rPr>
              <w:t>2021: 0</w:t>
            </w:r>
          </w:p>
          <w:p w14:paraId="15B1CF90" w14:textId="77777777" w:rsidR="003D7A86" w:rsidRDefault="003D7A86" w:rsidP="007F346F">
            <w:pPr>
              <w:jc w:val="center"/>
              <w:rPr>
                <w:sz w:val="18"/>
                <w:szCs w:val="18"/>
              </w:rPr>
            </w:pPr>
            <w:r>
              <w:rPr>
                <w:sz w:val="18"/>
                <w:szCs w:val="18"/>
              </w:rPr>
              <w:t>2022: -70%</w:t>
            </w:r>
          </w:p>
          <w:p w14:paraId="61748068" w14:textId="6BC1908E" w:rsidR="003D7A86" w:rsidRPr="00AB491A" w:rsidRDefault="003D7A86" w:rsidP="007F346F">
            <w:pPr>
              <w:jc w:val="center"/>
              <w:rPr>
                <w:sz w:val="18"/>
                <w:szCs w:val="18"/>
              </w:rPr>
            </w:pPr>
            <w:r>
              <w:rPr>
                <w:sz w:val="18"/>
                <w:szCs w:val="18"/>
              </w:rPr>
              <w:t xml:space="preserve">2023-2030: </w:t>
            </w:r>
            <w:r w:rsidR="00DD6073">
              <w:rPr>
                <w:sz w:val="18"/>
                <w:szCs w:val="18"/>
              </w:rPr>
              <w:t>7.8</w:t>
            </w:r>
          </w:p>
        </w:tc>
        <w:tc>
          <w:tcPr>
            <w:tcW w:w="2552" w:type="dxa"/>
            <w:tcBorders>
              <w:top w:val="single" w:sz="4" w:space="0" w:color="auto"/>
              <w:left w:val="single" w:sz="4" w:space="0" w:color="auto"/>
              <w:bottom w:val="single" w:sz="4" w:space="0" w:color="auto"/>
              <w:right w:val="single" w:sz="4" w:space="0" w:color="auto"/>
            </w:tcBorders>
          </w:tcPr>
          <w:p w14:paraId="4D6EFF5B" w14:textId="77777777" w:rsidR="003D7A86" w:rsidRDefault="003D7A86" w:rsidP="007F346F">
            <w:pPr>
              <w:jc w:val="center"/>
              <w:rPr>
                <w:sz w:val="18"/>
                <w:szCs w:val="18"/>
              </w:rPr>
            </w:pPr>
            <w:r>
              <w:rPr>
                <w:sz w:val="18"/>
                <w:szCs w:val="18"/>
              </w:rPr>
              <w:t>2020: 0</w:t>
            </w:r>
          </w:p>
          <w:p w14:paraId="36471D47" w14:textId="77777777" w:rsidR="003D7A86" w:rsidRDefault="003D7A86" w:rsidP="007F346F">
            <w:pPr>
              <w:jc w:val="center"/>
              <w:rPr>
                <w:sz w:val="18"/>
                <w:szCs w:val="18"/>
              </w:rPr>
            </w:pPr>
            <w:r>
              <w:rPr>
                <w:sz w:val="18"/>
                <w:szCs w:val="18"/>
              </w:rPr>
              <w:t>2021: 0</w:t>
            </w:r>
          </w:p>
          <w:p w14:paraId="613AF0C0" w14:textId="77777777" w:rsidR="003D7A86" w:rsidRDefault="003D7A86" w:rsidP="007F346F">
            <w:pPr>
              <w:jc w:val="center"/>
              <w:rPr>
                <w:sz w:val="18"/>
                <w:szCs w:val="18"/>
              </w:rPr>
            </w:pPr>
            <w:r>
              <w:rPr>
                <w:sz w:val="18"/>
                <w:szCs w:val="18"/>
              </w:rPr>
              <w:t>2022: -70%</w:t>
            </w:r>
          </w:p>
          <w:p w14:paraId="2D32EC4A" w14:textId="28738696" w:rsidR="003D7A86" w:rsidRPr="00AB491A" w:rsidRDefault="003D7A86" w:rsidP="007F346F">
            <w:pPr>
              <w:jc w:val="center"/>
              <w:rPr>
                <w:sz w:val="18"/>
                <w:szCs w:val="18"/>
              </w:rPr>
            </w:pPr>
            <w:r>
              <w:rPr>
                <w:sz w:val="18"/>
                <w:szCs w:val="18"/>
              </w:rPr>
              <w:t xml:space="preserve">2023-2030: </w:t>
            </w:r>
            <w:r w:rsidR="00DD6073">
              <w:rPr>
                <w:sz w:val="18"/>
                <w:szCs w:val="18"/>
              </w:rPr>
              <w:t>7.8</w:t>
            </w:r>
          </w:p>
        </w:tc>
        <w:tc>
          <w:tcPr>
            <w:tcW w:w="4110" w:type="dxa"/>
            <w:tcBorders>
              <w:top w:val="single" w:sz="4" w:space="0" w:color="auto"/>
              <w:left w:val="single" w:sz="4" w:space="0" w:color="auto"/>
              <w:bottom w:val="single" w:sz="4" w:space="0" w:color="auto"/>
            </w:tcBorders>
          </w:tcPr>
          <w:p w14:paraId="159F9400" w14:textId="58F805CF" w:rsidR="003D7A86" w:rsidRPr="00AB491A" w:rsidRDefault="00193697" w:rsidP="00373DAE">
            <w:pPr>
              <w:rPr>
                <w:sz w:val="18"/>
                <w:szCs w:val="18"/>
              </w:rPr>
            </w:pPr>
            <w:r>
              <w:rPr>
                <w:sz w:val="18"/>
                <w:szCs w:val="18"/>
              </w:rPr>
              <w:t xml:space="preserve">Net migration declines to </w:t>
            </w:r>
            <w:r w:rsidR="00373DAE">
              <w:rPr>
                <w:sz w:val="18"/>
                <w:szCs w:val="18"/>
              </w:rPr>
              <w:t xml:space="preserve">zero due to border closures and then levels return to pre-COVID average from 2023 onward </w:t>
            </w:r>
            <w:r w:rsidR="003D7A86">
              <w:rPr>
                <w:sz w:val="18"/>
                <w:szCs w:val="18"/>
              </w:rPr>
              <w:t xml:space="preserve">(~7.8 per 1000 people per annum).  Fertility rate unchanged at 1.7. </w:t>
            </w:r>
            <w:r w:rsidR="00373DAE">
              <w:rPr>
                <w:sz w:val="18"/>
                <w:szCs w:val="18"/>
              </w:rPr>
              <w:t xml:space="preserve">Based on </w:t>
            </w:r>
            <w:r w:rsidR="003D7A86">
              <w:rPr>
                <w:sz w:val="18"/>
                <w:szCs w:val="18"/>
              </w:rPr>
              <w:t xml:space="preserve">ABS population and migration data </w:t>
            </w:r>
            <w:r w:rsidR="003D7A86">
              <w:rPr>
                <w:sz w:val="18"/>
                <w:szCs w:val="18"/>
              </w:rPr>
              <w:fldChar w:fldCharType="begin"/>
            </w:r>
            <w:r w:rsidR="003D7A86">
              <w:rPr>
                <w:sz w:val="18"/>
                <w:szCs w:val="18"/>
              </w:rPr>
              <w:instrText xml:space="preserve"> ADDIN EN.CITE &lt;EndNote&gt;&lt;Cite&gt;&lt;Author&gt;ABS&lt;/Author&gt;&lt;Year&gt;2021&lt;/Year&gt;&lt;RecNum&gt;1043&lt;/RecNum&gt;&lt;DisplayText&gt;(ABS, 2021a)&lt;/DisplayText&gt;&lt;record&gt;&lt;rec-number&gt;1043&lt;/rec-number&gt;&lt;foreign-keys&gt;&lt;key app="EN" db-id="9vsrvaat7fadwtesfsrpw5w5t0x5v500ef25" timestamp="1565083535"&gt;1043&lt;/key&gt;&lt;/foreign-keys&gt;&lt;ref-type name="Dataset"&gt;59&lt;/ref-type&gt;&lt;contributors&gt;&lt;authors&gt;&lt;author&gt;ABS,&lt;/author&gt;&lt;/authors&gt;&lt;/contributors&gt;&lt;titles&gt;&lt;title&gt;3412.0 - Migration, Australia&lt;/title&gt;&lt;/titles&gt;&lt;dates&gt;&lt;year&gt;2021&lt;/year&gt;&lt;/dates&gt;&lt;pub-location&gt;Canberra, Australia&lt;/pub-location&gt;&lt;publisher&gt;Australian Bureau of Statistics&lt;/publisher&gt;&lt;urls&gt;&lt;related-urls&gt;&lt;url&gt;https://www.abs.gov.au/AUSSTATS/abs@.nsf/allprimarymainfeatures/D55E16D6BF20AA7CCA2583D00016ED30?opendocument&lt;/url&gt;&lt;/related-urls&gt;&lt;/urls&gt;&lt;access-date&gt;28/7/18&lt;/access-date&gt;&lt;/record&gt;&lt;/Cite&gt;&lt;/EndNote&gt;</w:instrText>
            </w:r>
            <w:r w:rsidR="003D7A86">
              <w:rPr>
                <w:sz w:val="18"/>
                <w:szCs w:val="18"/>
              </w:rPr>
              <w:fldChar w:fldCharType="separate"/>
            </w:r>
            <w:r w:rsidR="003D7A86">
              <w:rPr>
                <w:noProof/>
                <w:sz w:val="18"/>
                <w:szCs w:val="18"/>
              </w:rPr>
              <w:t>(ABS, 2021a)</w:t>
            </w:r>
            <w:r w:rsidR="003D7A86">
              <w:rPr>
                <w:sz w:val="18"/>
                <w:szCs w:val="18"/>
              </w:rPr>
              <w:fldChar w:fldCharType="end"/>
            </w:r>
            <w:r w:rsidR="00213E3A">
              <w:rPr>
                <w:sz w:val="18"/>
                <w:szCs w:val="18"/>
              </w:rPr>
              <w:t>. Average value held constant and tested in sensitivity analysis</w:t>
            </w:r>
            <w:r w:rsidR="005976C9">
              <w:rPr>
                <w:sz w:val="18"/>
                <w:szCs w:val="18"/>
              </w:rPr>
              <w:t>.</w:t>
            </w:r>
          </w:p>
        </w:tc>
      </w:tr>
      <w:tr w:rsidR="003D7A86" w:rsidRPr="00AB491A" w14:paraId="21A186F6" w14:textId="77777777" w:rsidTr="002D17A6">
        <w:tc>
          <w:tcPr>
            <w:tcW w:w="2263" w:type="dxa"/>
            <w:tcBorders>
              <w:top w:val="single" w:sz="4" w:space="0" w:color="auto"/>
              <w:bottom w:val="single" w:sz="4" w:space="0" w:color="auto"/>
              <w:right w:val="single" w:sz="4" w:space="0" w:color="auto"/>
            </w:tcBorders>
          </w:tcPr>
          <w:p w14:paraId="06FA3F36"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4957C04D" w14:textId="6E7801C5" w:rsidR="003D7A86" w:rsidRDefault="003D7A86" w:rsidP="007F346F">
            <w:pPr>
              <w:rPr>
                <w:sz w:val="18"/>
                <w:szCs w:val="18"/>
              </w:rPr>
            </w:pPr>
            <w:r>
              <w:rPr>
                <w:sz w:val="18"/>
                <w:szCs w:val="18"/>
              </w:rPr>
              <w:t xml:space="preserve">Governance </w:t>
            </w:r>
            <w:r w:rsidR="00134829">
              <w:rPr>
                <w:sz w:val="18"/>
                <w:szCs w:val="18"/>
              </w:rPr>
              <w:t>indicators:</w:t>
            </w:r>
            <w:r>
              <w:rPr>
                <w:sz w:val="18"/>
                <w:szCs w:val="18"/>
              </w:rPr>
              <w:t xml:space="preserve"> political stability; government effectiveness; and regulatory quality</w:t>
            </w:r>
          </w:p>
        </w:tc>
        <w:tc>
          <w:tcPr>
            <w:tcW w:w="2693" w:type="dxa"/>
            <w:tcBorders>
              <w:top w:val="single" w:sz="4" w:space="0" w:color="auto"/>
              <w:left w:val="single" w:sz="4" w:space="0" w:color="auto"/>
              <w:bottom w:val="single" w:sz="4" w:space="0" w:color="auto"/>
              <w:right w:val="single" w:sz="4" w:space="0" w:color="auto"/>
            </w:tcBorders>
          </w:tcPr>
          <w:p w14:paraId="467920F7" w14:textId="77777777" w:rsidR="003D7A86" w:rsidRDefault="003D7A86" w:rsidP="007F346F">
            <w:pPr>
              <w:jc w:val="center"/>
              <w:rPr>
                <w:sz w:val="18"/>
                <w:szCs w:val="18"/>
              </w:rPr>
            </w:pPr>
            <w:r>
              <w:rPr>
                <w:sz w:val="18"/>
                <w:szCs w:val="18"/>
              </w:rPr>
              <w:t>Existing trend (0.96, 1.6, 1.9)</w:t>
            </w:r>
          </w:p>
        </w:tc>
        <w:tc>
          <w:tcPr>
            <w:tcW w:w="2552" w:type="dxa"/>
            <w:tcBorders>
              <w:top w:val="single" w:sz="4" w:space="0" w:color="auto"/>
              <w:left w:val="single" w:sz="4" w:space="0" w:color="auto"/>
              <w:bottom w:val="single" w:sz="4" w:space="0" w:color="auto"/>
              <w:right w:val="single" w:sz="4" w:space="0" w:color="auto"/>
            </w:tcBorders>
          </w:tcPr>
          <w:p w14:paraId="2FF27926" w14:textId="65A3F95D" w:rsidR="003D7A86" w:rsidRPr="00745CC5" w:rsidRDefault="003D7A86" w:rsidP="007F346F">
            <w:pPr>
              <w:jc w:val="center"/>
              <w:rPr>
                <w:sz w:val="18"/>
                <w:szCs w:val="18"/>
                <w:highlight w:val="yellow"/>
              </w:rPr>
            </w:pPr>
            <w:r w:rsidRPr="009A6256">
              <w:rPr>
                <w:sz w:val="18"/>
                <w:szCs w:val="18"/>
              </w:rPr>
              <w:t>Increase</w:t>
            </w:r>
            <w:r w:rsidR="00134829">
              <w:rPr>
                <w:sz w:val="18"/>
                <w:szCs w:val="18"/>
              </w:rPr>
              <w:t xml:space="preserve"> in governance metrics </w:t>
            </w:r>
            <w:r w:rsidRPr="009A6256">
              <w:rPr>
                <w:sz w:val="18"/>
                <w:szCs w:val="18"/>
              </w:rPr>
              <w:t>(1.8</w:t>
            </w:r>
            <w:r>
              <w:rPr>
                <w:sz w:val="18"/>
                <w:szCs w:val="18"/>
              </w:rPr>
              <w:t>, 1.9, 2</w:t>
            </w:r>
            <w:r w:rsidRPr="009A6256">
              <w:rPr>
                <w:sz w:val="18"/>
                <w:szCs w:val="18"/>
              </w:rPr>
              <w:t>)</w:t>
            </w:r>
          </w:p>
        </w:tc>
        <w:tc>
          <w:tcPr>
            <w:tcW w:w="4110" w:type="dxa"/>
            <w:tcBorders>
              <w:top w:val="single" w:sz="4" w:space="0" w:color="auto"/>
              <w:left w:val="single" w:sz="4" w:space="0" w:color="auto"/>
              <w:bottom w:val="single" w:sz="4" w:space="0" w:color="auto"/>
            </w:tcBorders>
          </w:tcPr>
          <w:p w14:paraId="041E8358" w14:textId="467CC96D" w:rsidR="003D7A86" w:rsidRPr="00C141AA" w:rsidRDefault="003D7A86" w:rsidP="007F346F">
            <w:pPr>
              <w:rPr>
                <w:sz w:val="18"/>
                <w:szCs w:val="18"/>
              </w:rPr>
            </w:pPr>
            <w:r w:rsidRPr="009564AC">
              <w:rPr>
                <w:rFonts w:ascii="Corbel" w:eastAsia="Calibri" w:hAnsi="Corbel" w:cs="Times New Roman"/>
                <w:sz w:val="18"/>
                <w:szCs w:val="18"/>
              </w:rPr>
              <w:t xml:space="preserve">World Bank Worldwide Governance indicator data </w:t>
            </w:r>
            <w:r w:rsidRPr="009564AC">
              <w:rPr>
                <w:rFonts w:ascii="Corbel" w:eastAsia="Calibri" w:hAnsi="Corbel" w:cs="Times New Roman"/>
                <w:sz w:val="18"/>
                <w:szCs w:val="18"/>
              </w:rPr>
              <w:fldChar w:fldCharType="begin"/>
            </w:r>
            <w:r w:rsidRPr="009564AC">
              <w:rPr>
                <w:rFonts w:ascii="Corbel" w:eastAsia="Calibri" w:hAnsi="Corbel" w:cs="Times New Roman"/>
                <w:sz w:val="18"/>
                <w:szCs w:val="18"/>
              </w:rPr>
              <w:instrText xml:space="preserve"> ADDIN EN.CITE &lt;EndNote&gt;&lt;Cite&gt;&lt;Author&gt;Kaufman&lt;/Author&gt;&lt;Year&gt;2016&lt;/Year&gt;&lt;RecNum&gt;1045&lt;/RecNum&gt;&lt;DisplayText&gt;(Kaufman and Kraay, 2016)&lt;/DisplayText&gt;&lt;record&gt;&lt;rec-number&gt;1045&lt;/rec-number&gt;&lt;foreign-keys&gt;&lt;key app="EN" db-id="9vsrvaat7fadwtesfsrpw5w5t0x5v500ef25" timestamp="1565084453"&gt;1045&lt;/key&gt;&lt;/foreign-keys&gt;&lt;ref-type name="Dataset"&gt;59&lt;/ref-type&gt;&lt;contributors&gt;&lt;authors&gt;&lt;author&gt;Kaufman, D&lt;/author&gt;&lt;author&gt;Kraay, A&lt;/author&gt;&lt;/authors&gt;&lt;/contributors&gt;&lt;titles&gt;&lt;title&gt;Worldwide Governance Indicators&lt;/title&gt;&lt;/titles&gt;&lt;dates&gt;&lt;year&gt;2016&lt;/year&gt;&lt;/dates&gt;&lt;pub-location&gt;Washington, USA&lt;/pub-location&gt;&lt;publisher&gt;The World Bank&lt;/publisher&gt;&lt;urls&gt;&lt;related-urls&gt;&lt;url&gt;http://info.worldbank.org/governance/wgi/index.aspx#home&lt;/url&gt;&lt;/related-urls&gt;&lt;/urls&gt;&lt;access-date&gt;11/12/17&lt;/access-date&gt;&lt;/record&gt;&lt;/Cite&gt;&lt;/EndNote&gt;</w:instrText>
            </w:r>
            <w:r w:rsidRPr="009564AC">
              <w:rPr>
                <w:rFonts w:ascii="Corbel" w:eastAsia="Calibri" w:hAnsi="Corbel" w:cs="Times New Roman"/>
                <w:sz w:val="18"/>
                <w:szCs w:val="18"/>
              </w:rPr>
              <w:fldChar w:fldCharType="separate"/>
            </w:r>
            <w:r w:rsidRPr="009564AC">
              <w:rPr>
                <w:rFonts w:ascii="Corbel" w:eastAsia="Calibri" w:hAnsi="Corbel" w:cs="Times New Roman"/>
                <w:noProof/>
                <w:sz w:val="18"/>
                <w:szCs w:val="18"/>
              </w:rPr>
              <w:t>(Kaufman and Kraay, 2016)</w:t>
            </w:r>
            <w:r w:rsidRPr="009564AC">
              <w:rPr>
                <w:rFonts w:ascii="Corbel" w:eastAsia="Calibri" w:hAnsi="Corbel" w:cs="Times New Roman"/>
                <w:sz w:val="18"/>
                <w:szCs w:val="18"/>
              </w:rPr>
              <w:fldChar w:fldCharType="end"/>
            </w:r>
            <w:r w:rsidRPr="009564AC">
              <w:rPr>
                <w:rFonts w:ascii="Corbel" w:eastAsia="Calibri" w:hAnsi="Corbel" w:cs="Times New Roman"/>
                <w:sz w:val="18"/>
                <w:szCs w:val="18"/>
              </w:rPr>
              <w:t xml:space="preserve"> for Australia</w:t>
            </w:r>
            <w:r>
              <w:rPr>
                <w:rFonts w:ascii="Corbel" w:eastAsia="Calibri" w:hAnsi="Corbel" w:cs="Times New Roman"/>
                <w:sz w:val="18"/>
                <w:szCs w:val="18"/>
              </w:rPr>
              <w:t xml:space="preserve">.  </w:t>
            </w:r>
            <w:r w:rsidR="00E909E9">
              <w:rPr>
                <w:sz w:val="18"/>
                <w:szCs w:val="18"/>
              </w:rPr>
              <w:t>SWT</w:t>
            </w:r>
            <w:r>
              <w:rPr>
                <w:sz w:val="18"/>
                <w:szCs w:val="18"/>
              </w:rPr>
              <w:t xml:space="preserve"> assumes end of climate wars brings enhanced political stability, regulatory </w:t>
            </w:r>
            <w:proofErr w:type="gramStart"/>
            <w:r>
              <w:rPr>
                <w:sz w:val="18"/>
                <w:szCs w:val="18"/>
              </w:rPr>
              <w:t>quality</w:t>
            </w:r>
            <w:proofErr w:type="gramEnd"/>
            <w:r>
              <w:rPr>
                <w:sz w:val="18"/>
                <w:szCs w:val="18"/>
              </w:rPr>
              <w:t xml:space="preserve"> and government effectiveness.</w:t>
            </w:r>
            <w:r w:rsidR="005976C9">
              <w:rPr>
                <w:sz w:val="18"/>
                <w:szCs w:val="18"/>
              </w:rPr>
              <w:t xml:space="preserve"> Effects tested in sensitivity analysis</w:t>
            </w:r>
          </w:p>
        </w:tc>
      </w:tr>
      <w:tr w:rsidR="003D7A86" w:rsidRPr="00AB491A" w14:paraId="561E6110" w14:textId="77777777" w:rsidTr="002D17A6">
        <w:tc>
          <w:tcPr>
            <w:tcW w:w="2263" w:type="dxa"/>
            <w:tcBorders>
              <w:top w:val="single" w:sz="4" w:space="0" w:color="auto"/>
              <w:bottom w:val="single" w:sz="4" w:space="0" w:color="auto"/>
              <w:right w:val="single" w:sz="4" w:space="0" w:color="auto"/>
            </w:tcBorders>
          </w:tcPr>
          <w:p w14:paraId="4CC3437D"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7A00EE1F" w14:textId="77777777" w:rsidR="003D7A86" w:rsidRDefault="003D7A86" w:rsidP="007F346F">
            <w:pPr>
              <w:rPr>
                <w:sz w:val="18"/>
                <w:szCs w:val="18"/>
              </w:rPr>
            </w:pPr>
            <w:r>
              <w:rPr>
                <w:sz w:val="18"/>
                <w:szCs w:val="18"/>
              </w:rPr>
              <w:t xml:space="preserve">Temperature </w:t>
            </w:r>
            <w:proofErr w:type="gramStart"/>
            <w:r>
              <w:rPr>
                <w:sz w:val="18"/>
                <w:szCs w:val="18"/>
              </w:rPr>
              <w:t>change</w:t>
            </w:r>
            <w:proofErr w:type="gramEnd"/>
            <w:r>
              <w:rPr>
                <w:sz w:val="18"/>
                <w:szCs w:val="18"/>
              </w:rPr>
              <w:t xml:space="preserve"> above pre-industrial</w:t>
            </w:r>
          </w:p>
        </w:tc>
        <w:tc>
          <w:tcPr>
            <w:tcW w:w="2693" w:type="dxa"/>
            <w:tcBorders>
              <w:top w:val="single" w:sz="4" w:space="0" w:color="auto"/>
              <w:left w:val="single" w:sz="4" w:space="0" w:color="auto"/>
              <w:bottom w:val="single" w:sz="4" w:space="0" w:color="auto"/>
              <w:right w:val="single" w:sz="4" w:space="0" w:color="auto"/>
            </w:tcBorders>
          </w:tcPr>
          <w:p w14:paraId="10BC01B1" w14:textId="1BBD4EF7" w:rsidR="003D7A86" w:rsidRDefault="003D7A86" w:rsidP="007F346F">
            <w:pPr>
              <w:jc w:val="center"/>
              <w:rPr>
                <w:sz w:val="18"/>
                <w:szCs w:val="18"/>
              </w:rPr>
            </w:pPr>
            <w:r>
              <w:rPr>
                <w:sz w:val="18"/>
                <w:szCs w:val="18"/>
              </w:rPr>
              <w:t>1.965</w:t>
            </w:r>
            <w:r w:rsidR="004D5081">
              <w:rPr>
                <w:sz w:val="18"/>
                <w:szCs w:val="18"/>
              </w:rPr>
              <w:t>C</w:t>
            </w:r>
            <w:r>
              <w:rPr>
                <w:sz w:val="18"/>
                <w:szCs w:val="18"/>
              </w:rPr>
              <w:t xml:space="preserve"> by 2050</w:t>
            </w:r>
          </w:p>
        </w:tc>
        <w:tc>
          <w:tcPr>
            <w:tcW w:w="2552" w:type="dxa"/>
            <w:tcBorders>
              <w:top w:val="single" w:sz="4" w:space="0" w:color="auto"/>
              <w:left w:val="single" w:sz="4" w:space="0" w:color="auto"/>
              <w:bottom w:val="single" w:sz="4" w:space="0" w:color="auto"/>
              <w:right w:val="single" w:sz="4" w:space="0" w:color="auto"/>
            </w:tcBorders>
          </w:tcPr>
          <w:p w14:paraId="3C1770C1" w14:textId="6459CE16" w:rsidR="009D5488" w:rsidRDefault="009D5488" w:rsidP="007F346F">
            <w:pPr>
              <w:jc w:val="center"/>
              <w:rPr>
                <w:sz w:val="18"/>
                <w:szCs w:val="18"/>
              </w:rPr>
            </w:pPr>
            <w:r>
              <w:rPr>
                <w:sz w:val="18"/>
                <w:szCs w:val="18"/>
              </w:rPr>
              <w:t xml:space="preserve">Slower increase in </w:t>
            </w:r>
            <w:r w:rsidR="004D5081">
              <w:rPr>
                <w:sz w:val="18"/>
                <w:szCs w:val="18"/>
              </w:rPr>
              <w:t xml:space="preserve">average </w:t>
            </w:r>
            <w:r w:rsidR="00A23402">
              <w:rPr>
                <w:sz w:val="18"/>
                <w:szCs w:val="18"/>
              </w:rPr>
              <w:t>temperature</w:t>
            </w:r>
          </w:p>
          <w:p w14:paraId="1799A278" w14:textId="488B1E11" w:rsidR="003D7A86" w:rsidRPr="00CE146D" w:rsidRDefault="003D7A86" w:rsidP="007F346F">
            <w:pPr>
              <w:jc w:val="center"/>
              <w:rPr>
                <w:sz w:val="18"/>
                <w:szCs w:val="18"/>
              </w:rPr>
            </w:pPr>
            <w:r w:rsidRPr="00CE146D">
              <w:rPr>
                <w:sz w:val="18"/>
                <w:szCs w:val="18"/>
              </w:rPr>
              <w:t>1.769</w:t>
            </w:r>
            <w:r w:rsidR="004D5081">
              <w:rPr>
                <w:sz w:val="18"/>
                <w:szCs w:val="18"/>
              </w:rPr>
              <w:t>C</w:t>
            </w:r>
            <w:r w:rsidR="009D5488">
              <w:rPr>
                <w:sz w:val="18"/>
                <w:szCs w:val="18"/>
              </w:rPr>
              <w:t xml:space="preserve"> by 2050</w:t>
            </w:r>
          </w:p>
        </w:tc>
        <w:tc>
          <w:tcPr>
            <w:tcW w:w="4110" w:type="dxa"/>
            <w:tcBorders>
              <w:top w:val="single" w:sz="4" w:space="0" w:color="auto"/>
              <w:left w:val="single" w:sz="4" w:space="0" w:color="auto"/>
              <w:bottom w:val="single" w:sz="4" w:space="0" w:color="auto"/>
            </w:tcBorders>
          </w:tcPr>
          <w:p w14:paraId="7BFA8DC9" w14:textId="3ACB2A72" w:rsidR="003D7A86" w:rsidRPr="00C141AA" w:rsidRDefault="003D7A86" w:rsidP="007F346F">
            <w:pPr>
              <w:rPr>
                <w:sz w:val="18"/>
                <w:szCs w:val="18"/>
              </w:rPr>
            </w:pPr>
            <w:r w:rsidRPr="00310491">
              <w:rPr>
                <w:sz w:val="18"/>
                <w:szCs w:val="18"/>
              </w:rPr>
              <w:t xml:space="preserve">SSP temperature projections </w:t>
            </w:r>
            <w:r w:rsidRPr="00310491">
              <w:rPr>
                <w:sz w:val="18"/>
                <w:szCs w:val="18"/>
              </w:rPr>
              <w:fldChar w:fldCharType="begin"/>
            </w:r>
            <w:r w:rsidRPr="00310491">
              <w:rPr>
                <w:sz w:val="18"/>
                <w:szCs w:val="18"/>
              </w:rPr>
              <w:instrText xml:space="preserve"> ADDIN EN.CITE &lt;EndNote&gt;&lt;Cite&gt;&lt;Author&gt;Riahi&lt;/Author&gt;&lt;Year&gt;2017&lt;/Year&gt;&lt;RecNum&gt;802&lt;/RecNum&gt;&lt;DisplayText&gt;(Riahi et al., 2017)&lt;/DisplayText&gt;&lt;record&gt;&lt;rec-number&gt;802&lt;/rec-number&gt;&lt;foreign-keys&gt;&lt;key app="EN" db-id="9vsrvaat7fadwtesfsrpw5w5t0x5v500ef25" timestamp="1538912373"&gt;802&lt;/key&gt;&lt;/foreign-keys&gt;&lt;ref-type name="Journal Article"&gt;17&lt;/ref-type&gt;&lt;contributors&gt;&lt;authors&gt;&lt;author&gt;Riahi, Keywan&lt;/author&gt;&lt;author&gt;Van Vuuren, Detlef P&lt;/author&gt;&lt;author&gt;Kriegler, Elmar&lt;/author&gt;&lt;author&gt;Edmonds, Jae&lt;/author&gt;&lt;author&gt;O’neill, Brian C&lt;/author&gt;&lt;author&gt;Fujimori, Shinichiro&lt;/author&gt;&lt;author&gt;Bauer, Nico&lt;/author&gt;&lt;author&gt;Calvin, Katherine&lt;/author&gt;&lt;author&gt;Dellink, Rob&lt;/author&gt;&lt;author&gt;Fricko, Oliver&lt;/author&gt;&lt;/authors&gt;&lt;/contributors&gt;&lt;titles&gt;&lt;title&gt;The shared socioeconomic pathways and their energy, land use, and greenhouse gas emissions implications: an overview&lt;/title&gt;&lt;secondary-title&gt;Global Environmental Change&lt;/secondary-title&gt;&lt;/titles&gt;&lt;periodical&gt;&lt;full-title&gt;Global environmental change&lt;/full-title&gt;&lt;/periodical&gt;&lt;pages&gt;153-168&lt;/pages&gt;&lt;volume&gt;42&lt;/volume&gt;&lt;dates&gt;&lt;year&gt;2017&lt;/year&gt;&lt;/dates&gt;&lt;isbn&gt;0959-3780&lt;/isbn&gt;&lt;urls&gt;&lt;/urls&gt;&lt;electronic-resource-num&gt;https://doi.org/10.1016/j.gloenvcha.2016.05.009&lt;/electronic-resource-num&gt;&lt;/record&gt;&lt;/Cite&gt;&lt;/EndNote&gt;</w:instrText>
            </w:r>
            <w:r w:rsidRPr="00310491">
              <w:rPr>
                <w:sz w:val="18"/>
                <w:szCs w:val="18"/>
              </w:rPr>
              <w:fldChar w:fldCharType="separate"/>
            </w:r>
            <w:r w:rsidRPr="00310491">
              <w:rPr>
                <w:sz w:val="18"/>
                <w:szCs w:val="18"/>
              </w:rPr>
              <w:t>(</w:t>
            </w:r>
            <w:proofErr w:type="spellStart"/>
            <w:r w:rsidRPr="00310491">
              <w:rPr>
                <w:sz w:val="18"/>
                <w:szCs w:val="18"/>
              </w:rPr>
              <w:t>Riahi</w:t>
            </w:r>
            <w:proofErr w:type="spellEnd"/>
            <w:r w:rsidRPr="00310491">
              <w:rPr>
                <w:sz w:val="18"/>
                <w:szCs w:val="18"/>
              </w:rPr>
              <w:t xml:space="preserve"> et al., 2017)</w:t>
            </w:r>
            <w:r w:rsidRPr="00310491">
              <w:rPr>
                <w:sz w:val="18"/>
                <w:szCs w:val="18"/>
              </w:rPr>
              <w:fldChar w:fldCharType="end"/>
            </w:r>
            <w:r w:rsidR="00D874D5">
              <w:rPr>
                <w:sz w:val="18"/>
                <w:szCs w:val="18"/>
              </w:rPr>
              <w:t xml:space="preserve"> and </w:t>
            </w:r>
            <w:r w:rsidR="00D874D5" w:rsidRPr="00B55F09">
              <w:rPr>
                <w:iCs/>
                <w:sz w:val="18"/>
                <w:szCs w:val="18"/>
              </w:rPr>
              <w:t xml:space="preserve">CSIRO projections for Australia </w:t>
            </w:r>
            <w:r w:rsidR="00D874D5" w:rsidRPr="00B55F09">
              <w:rPr>
                <w:iCs/>
                <w:sz w:val="18"/>
                <w:szCs w:val="18"/>
              </w:rPr>
              <w:fldChar w:fldCharType="begin"/>
            </w:r>
            <w:r w:rsidR="00D874D5" w:rsidRPr="00B55F09">
              <w:rPr>
                <w:iCs/>
                <w:sz w:val="18"/>
                <w:szCs w:val="18"/>
              </w:rPr>
              <w:instrText xml:space="preserve"> ADDIN EN.CITE &lt;EndNote&gt;&lt;Cite&gt;&lt;Author&gt;CSIRO&lt;/Author&gt;&lt;Year&gt;2018&lt;/Year&gt;&lt;RecNum&gt;1057&lt;/RecNum&gt;&lt;DisplayText&gt;(CSIRO, 2018)&lt;/DisplayText&gt;&lt;record&gt;&lt;rec-number&gt;1057&lt;/rec-number&gt;&lt;foreign-keys&gt;&lt;key app="EN" db-id="9vsrvaat7fadwtesfsrpw5w5t0x5v500ef25" timestamp="1565088671"&gt;1057&lt;/key&gt;&lt;/foreign-keys&gt;&lt;ref-type name="Online Database"&gt;45&lt;/ref-type&gt;&lt;contributors&gt;&lt;authors&gt;&lt;author&gt;CSIRO,&lt;/author&gt;&lt;/authors&gt;&lt;/contributors&gt;&lt;titles&gt;&lt;title&gt;Climate Futures Exploration Tool&lt;/title&gt;&lt;/titles&gt;&lt;dates&gt;&lt;year&gt;2018&lt;/year&gt;&lt;/dates&gt;&lt;pub-location&gt;Canberra, Australia&lt;/pub-location&gt;&lt;urls&gt;&lt;related-urls&gt;&lt;url&gt;https://www.climatechangeinaustralia.gov.au/en/climate-projections/climate-futures-tool/projections/&lt;/url&gt;&lt;/related-urls&gt;&lt;/urls&gt;&lt;access-date&gt;06/10/18&lt;/access-date&gt;&lt;/record&gt;&lt;/Cite&gt;&lt;/EndNote&gt;</w:instrText>
            </w:r>
            <w:r w:rsidR="00D874D5" w:rsidRPr="00B55F09">
              <w:rPr>
                <w:iCs/>
                <w:sz w:val="18"/>
                <w:szCs w:val="18"/>
              </w:rPr>
              <w:fldChar w:fldCharType="separate"/>
            </w:r>
            <w:r w:rsidR="00D874D5" w:rsidRPr="00B55F09">
              <w:rPr>
                <w:iCs/>
                <w:sz w:val="18"/>
                <w:szCs w:val="18"/>
              </w:rPr>
              <w:t>(CSIRO, 2018)</w:t>
            </w:r>
            <w:r w:rsidR="00D874D5" w:rsidRPr="00B55F09">
              <w:rPr>
                <w:sz w:val="18"/>
                <w:szCs w:val="18"/>
              </w:rPr>
              <w:fldChar w:fldCharType="end"/>
            </w:r>
            <w:r w:rsidR="00D874D5" w:rsidRPr="00B55F09">
              <w:rPr>
                <w:iCs/>
                <w:sz w:val="18"/>
                <w:szCs w:val="18"/>
              </w:rPr>
              <w:t xml:space="preserve">. </w:t>
            </w:r>
            <w:r w:rsidR="00E909E9">
              <w:rPr>
                <w:sz w:val="18"/>
                <w:szCs w:val="18"/>
              </w:rPr>
              <w:t>SWT</w:t>
            </w:r>
            <w:r>
              <w:rPr>
                <w:sz w:val="18"/>
                <w:szCs w:val="18"/>
              </w:rPr>
              <w:t xml:space="preserve"> assumes temperature reduction based on Paris agreement recommendations</w:t>
            </w:r>
            <w:r w:rsidR="00D03B7E">
              <w:rPr>
                <w:sz w:val="18"/>
                <w:szCs w:val="18"/>
              </w:rPr>
              <w:t xml:space="preserve"> with slower growth in global average temperature by 2050. Tested in sensitivity analysis.</w:t>
            </w:r>
          </w:p>
        </w:tc>
      </w:tr>
      <w:tr w:rsidR="003D7A86" w:rsidRPr="0068191E" w14:paraId="020BCAF3" w14:textId="77777777" w:rsidTr="002D17A6">
        <w:tc>
          <w:tcPr>
            <w:tcW w:w="2263" w:type="dxa"/>
            <w:tcBorders>
              <w:top w:val="single" w:sz="4" w:space="0" w:color="auto"/>
              <w:bottom w:val="single" w:sz="4" w:space="0" w:color="auto"/>
              <w:right w:val="single" w:sz="4" w:space="0" w:color="auto"/>
            </w:tcBorders>
          </w:tcPr>
          <w:p w14:paraId="667E8531" w14:textId="77777777" w:rsidR="003D7A86" w:rsidRPr="0068191E"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1EC89599" w14:textId="7A33FD3C" w:rsidR="003D7A86" w:rsidRPr="0068191E" w:rsidRDefault="003D7A86" w:rsidP="007F346F">
            <w:pPr>
              <w:rPr>
                <w:sz w:val="18"/>
                <w:szCs w:val="18"/>
              </w:rPr>
            </w:pPr>
            <w:r w:rsidRPr="0068191E">
              <w:rPr>
                <w:sz w:val="18"/>
                <w:szCs w:val="18"/>
              </w:rPr>
              <w:t>Average yearly precipitation</w:t>
            </w:r>
            <w:r w:rsidR="00A23402">
              <w:rPr>
                <w:sz w:val="18"/>
                <w:szCs w:val="18"/>
              </w:rPr>
              <w:t xml:space="preserve"> (mm)</w:t>
            </w:r>
          </w:p>
        </w:tc>
        <w:tc>
          <w:tcPr>
            <w:tcW w:w="2693" w:type="dxa"/>
            <w:tcBorders>
              <w:top w:val="single" w:sz="4" w:space="0" w:color="auto"/>
              <w:left w:val="single" w:sz="4" w:space="0" w:color="auto"/>
              <w:bottom w:val="single" w:sz="4" w:space="0" w:color="auto"/>
              <w:right w:val="single" w:sz="4" w:space="0" w:color="auto"/>
            </w:tcBorders>
          </w:tcPr>
          <w:p w14:paraId="3184A28B" w14:textId="487DCC42" w:rsidR="00A23402" w:rsidRDefault="00A23402" w:rsidP="007F346F">
            <w:pPr>
              <w:jc w:val="center"/>
              <w:rPr>
                <w:sz w:val="18"/>
                <w:szCs w:val="18"/>
              </w:rPr>
            </w:pPr>
            <w:r>
              <w:rPr>
                <w:sz w:val="18"/>
                <w:szCs w:val="18"/>
              </w:rPr>
              <w:t>No change</w:t>
            </w:r>
            <w:r w:rsidR="00581C62">
              <w:rPr>
                <w:sz w:val="18"/>
                <w:szCs w:val="18"/>
              </w:rPr>
              <w:t xml:space="preserve"> to 2050</w:t>
            </w:r>
          </w:p>
          <w:p w14:paraId="101FDE89" w14:textId="713FA407" w:rsidR="003D7A86" w:rsidRPr="0068191E" w:rsidRDefault="00CE3762" w:rsidP="007F346F">
            <w:pPr>
              <w:jc w:val="center"/>
              <w:rPr>
                <w:sz w:val="18"/>
                <w:szCs w:val="18"/>
              </w:rPr>
            </w:pPr>
            <w:r>
              <w:rPr>
                <w:sz w:val="18"/>
                <w:szCs w:val="18"/>
              </w:rPr>
              <w:t>534</w:t>
            </w:r>
            <w:r w:rsidR="004C6AB1">
              <w:rPr>
                <w:sz w:val="18"/>
                <w:szCs w:val="18"/>
              </w:rPr>
              <w:t>mm</w:t>
            </w:r>
          </w:p>
        </w:tc>
        <w:tc>
          <w:tcPr>
            <w:tcW w:w="2552" w:type="dxa"/>
            <w:tcBorders>
              <w:top w:val="single" w:sz="4" w:space="0" w:color="auto"/>
              <w:left w:val="single" w:sz="4" w:space="0" w:color="auto"/>
              <w:bottom w:val="single" w:sz="4" w:space="0" w:color="auto"/>
              <w:right w:val="single" w:sz="4" w:space="0" w:color="auto"/>
            </w:tcBorders>
          </w:tcPr>
          <w:p w14:paraId="38B5877C" w14:textId="4D7F81FC" w:rsidR="00A23402" w:rsidRDefault="00A23402" w:rsidP="007F346F">
            <w:pPr>
              <w:jc w:val="center"/>
              <w:rPr>
                <w:sz w:val="18"/>
                <w:szCs w:val="18"/>
              </w:rPr>
            </w:pPr>
            <w:r>
              <w:rPr>
                <w:sz w:val="18"/>
                <w:szCs w:val="18"/>
              </w:rPr>
              <w:t>No change</w:t>
            </w:r>
            <w:r w:rsidR="00581C62">
              <w:rPr>
                <w:sz w:val="18"/>
                <w:szCs w:val="18"/>
              </w:rPr>
              <w:t xml:space="preserve"> to 2050</w:t>
            </w:r>
          </w:p>
          <w:p w14:paraId="31A8D9FA" w14:textId="6253822B" w:rsidR="003D7A86" w:rsidRPr="0068191E" w:rsidRDefault="004C6AB1" w:rsidP="007F346F">
            <w:pPr>
              <w:jc w:val="center"/>
              <w:rPr>
                <w:sz w:val="18"/>
                <w:szCs w:val="18"/>
              </w:rPr>
            </w:pPr>
            <w:r>
              <w:rPr>
                <w:sz w:val="18"/>
                <w:szCs w:val="18"/>
              </w:rPr>
              <w:t>534mm</w:t>
            </w:r>
          </w:p>
        </w:tc>
        <w:tc>
          <w:tcPr>
            <w:tcW w:w="4110" w:type="dxa"/>
            <w:tcBorders>
              <w:top w:val="single" w:sz="4" w:space="0" w:color="auto"/>
              <w:left w:val="single" w:sz="4" w:space="0" w:color="auto"/>
              <w:bottom w:val="single" w:sz="4" w:space="0" w:color="auto"/>
            </w:tcBorders>
          </w:tcPr>
          <w:p w14:paraId="35BF2C1B" w14:textId="7235C648" w:rsidR="003D7A86" w:rsidRPr="0068191E" w:rsidRDefault="007D41C1" w:rsidP="007F346F">
            <w:pPr>
              <w:rPr>
                <w:sz w:val="18"/>
                <w:szCs w:val="18"/>
              </w:rPr>
            </w:pPr>
            <w:r w:rsidRPr="007D41C1">
              <w:rPr>
                <w:iCs/>
                <w:sz w:val="18"/>
                <w:szCs w:val="18"/>
                <w:lang w:val="en-GB"/>
              </w:rPr>
              <w:t>Average year</w:t>
            </w:r>
            <w:r w:rsidR="00660432">
              <w:rPr>
                <w:iCs/>
                <w:sz w:val="18"/>
                <w:szCs w:val="18"/>
                <w:lang w:val="en-GB"/>
              </w:rPr>
              <w:t>ly</w:t>
            </w:r>
            <w:r w:rsidRPr="007D41C1">
              <w:rPr>
                <w:iCs/>
                <w:sz w:val="18"/>
                <w:szCs w:val="18"/>
                <w:lang w:val="en-GB"/>
              </w:rPr>
              <w:t xml:space="preserve"> precipitation is estimated in the model based on Australian data and projections global modelling projections </w:t>
            </w:r>
            <w:r w:rsidRPr="007D41C1">
              <w:rPr>
                <w:iCs/>
                <w:sz w:val="18"/>
                <w:szCs w:val="18"/>
                <w:lang w:val="en-GB"/>
              </w:rPr>
              <w:fldChar w:fldCharType="begin">
                <w:fldData xml:space="preserve">PEVuZE5vdGU+PENpdGU+PEF1dGhvcj5Cb008L0F1dGhvcj48WWVhcj4yMDIxPC9ZZWFyPjxSZWNO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</w:fldData>
              </w:fldChar>
            </w:r>
            <w:r w:rsidRPr="007D41C1">
              <w:rPr>
                <w:iCs/>
                <w:sz w:val="18"/>
                <w:szCs w:val="18"/>
                <w:lang w:val="en-GB"/>
              </w:rPr>
              <w:instrText xml:space="preserve"> ADDIN EN.CITE </w:instrText>
            </w:r>
            <w:r w:rsidRPr="007D41C1">
              <w:rPr>
                <w:iCs/>
                <w:sz w:val="18"/>
                <w:szCs w:val="18"/>
                <w:lang w:val="en-GB"/>
              </w:rPr>
              <w:fldChar w:fldCharType="begin">
                <w:fldData xml:space="preserve">PEVuZE5vdGU+PENpdGU+PEF1dGhvcj5Cb008L0F1dGhvcj48WWVhcj4yMDIxPC9ZZWFyPjxSZWNO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</w:fldData>
              </w:fldChar>
            </w:r>
            <w:r w:rsidRPr="007D41C1">
              <w:rPr>
                <w:iCs/>
                <w:sz w:val="18"/>
                <w:szCs w:val="18"/>
                <w:lang w:val="en-GB"/>
              </w:rPr>
              <w:instrText xml:space="preserve"> ADDIN EN.CITE.DATA </w:instrText>
            </w:r>
            <w:r w:rsidRPr="007D41C1">
              <w:rPr>
                <w:sz w:val="18"/>
                <w:szCs w:val="18"/>
              </w:rPr>
            </w:r>
            <w:r w:rsidRPr="007D41C1">
              <w:rPr>
                <w:sz w:val="18"/>
                <w:szCs w:val="18"/>
              </w:rPr>
              <w:fldChar w:fldCharType="end"/>
            </w:r>
            <w:r w:rsidRPr="007D41C1">
              <w:rPr>
                <w:iCs/>
                <w:sz w:val="18"/>
                <w:szCs w:val="18"/>
                <w:lang w:val="en-GB"/>
              </w:rPr>
            </w:r>
            <w:r w:rsidRPr="007D41C1">
              <w:rPr>
                <w:iCs/>
                <w:sz w:val="18"/>
                <w:szCs w:val="18"/>
                <w:lang w:val="en-GB"/>
              </w:rPr>
              <w:fldChar w:fldCharType="separate"/>
            </w:r>
            <w:r w:rsidRPr="007D41C1">
              <w:rPr>
                <w:iCs/>
                <w:sz w:val="18"/>
                <w:szCs w:val="18"/>
                <w:lang w:val="en-GB"/>
              </w:rPr>
              <w:t>(BoM, 2021, World Climate Research Programme, 2022, World Bank, 2022a, FAO, 2018)</w:t>
            </w:r>
            <w:r w:rsidRPr="007D41C1">
              <w:rPr>
                <w:sz w:val="18"/>
                <w:szCs w:val="18"/>
              </w:rPr>
              <w:fldChar w:fldCharType="end"/>
            </w:r>
            <w:r w:rsidR="00213E3A">
              <w:rPr>
                <w:sz w:val="18"/>
                <w:szCs w:val="18"/>
              </w:rPr>
              <w:t xml:space="preserve">. </w:t>
            </w:r>
            <w:r w:rsidR="00362CF0">
              <w:rPr>
                <w:sz w:val="18"/>
                <w:szCs w:val="18"/>
              </w:rPr>
              <w:t xml:space="preserve">Precipitation projections show high spatial variability. </w:t>
            </w:r>
            <w:r w:rsidR="00213E3A">
              <w:rPr>
                <w:sz w:val="18"/>
                <w:szCs w:val="18"/>
              </w:rPr>
              <w:t xml:space="preserve">Average value held constant </w:t>
            </w:r>
            <w:r w:rsidR="00D47473">
              <w:rPr>
                <w:sz w:val="18"/>
                <w:szCs w:val="18"/>
              </w:rPr>
              <w:t xml:space="preserve">across trajectories </w:t>
            </w:r>
            <w:r w:rsidR="00213E3A">
              <w:rPr>
                <w:sz w:val="18"/>
                <w:szCs w:val="18"/>
              </w:rPr>
              <w:t xml:space="preserve">and tested in sensitivity analysis. </w:t>
            </w:r>
          </w:p>
        </w:tc>
      </w:tr>
      <w:tr w:rsidR="003D7A86" w:rsidRPr="00AB491A" w14:paraId="5085B0E8" w14:textId="77777777" w:rsidTr="002D17A6">
        <w:tc>
          <w:tcPr>
            <w:tcW w:w="2263" w:type="dxa"/>
            <w:tcBorders>
              <w:top w:val="single" w:sz="4" w:space="0" w:color="auto"/>
              <w:bottom w:val="single" w:sz="4" w:space="0" w:color="auto"/>
              <w:right w:val="single" w:sz="4" w:space="0" w:color="auto"/>
            </w:tcBorders>
          </w:tcPr>
          <w:p w14:paraId="1975762A"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4A42F157" w14:textId="77777777" w:rsidR="003D7A86" w:rsidRPr="00606776" w:rsidRDefault="003D7A86" w:rsidP="007F346F">
            <w:pPr>
              <w:rPr>
                <w:sz w:val="18"/>
                <w:szCs w:val="18"/>
              </w:rPr>
            </w:pPr>
            <w:r w:rsidRPr="00606776">
              <w:rPr>
                <w:sz w:val="18"/>
                <w:szCs w:val="18"/>
              </w:rPr>
              <w:t>Required increase in adaptation capital per degree increase in temperature (as % GDP)</w:t>
            </w:r>
          </w:p>
        </w:tc>
        <w:tc>
          <w:tcPr>
            <w:tcW w:w="2693" w:type="dxa"/>
            <w:tcBorders>
              <w:top w:val="single" w:sz="4" w:space="0" w:color="auto"/>
              <w:left w:val="single" w:sz="4" w:space="0" w:color="auto"/>
              <w:bottom w:val="single" w:sz="4" w:space="0" w:color="auto"/>
              <w:right w:val="single" w:sz="4" w:space="0" w:color="auto"/>
            </w:tcBorders>
          </w:tcPr>
          <w:p w14:paraId="05317D69" w14:textId="02D1B306" w:rsidR="003D7A86" w:rsidRPr="00606776" w:rsidRDefault="003D7A86" w:rsidP="007F346F">
            <w:pPr>
              <w:jc w:val="center"/>
              <w:rPr>
                <w:sz w:val="18"/>
                <w:szCs w:val="18"/>
              </w:rPr>
            </w:pPr>
            <w:r w:rsidRPr="00606776">
              <w:rPr>
                <w:sz w:val="18"/>
                <w:szCs w:val="18"/>
              </w:rPr>
              <w:t>0.25</w:t>
            </w:r>
          </w:p>
        </w:tc>
        <w:tc>
          <w:tcPr>
            <w:tcW w:w="2552" w:type="dxa"/>
            <w:tcBorders>
              <w:top w:val="single" w:sz="4" w:space="0" w:color="auto"/>
              <w:left w:val="single" w:sz="4" w:space="0" w:color="auto"/>
              <w:bottom w:val="single" w:sz="4" w:space="0" w:color="auto"/>
              <w:right w:val="single" w:sz="4" w:space="0" w:color="auto"/>
            </w:tcBorders>
          </w:tcPr>
          <w:p w14:paraId="56A4E0B6" w14:textId="77777777" w:rsidR="003D7A86" w:rsidRPr="00606776" w:rsidRDefault="003D7A86" w:rsidP="007F346F">
            <w:pPr>
              <w:jc w:val="center"/>
              <w:rPr>
                <w:sz w:val="18"/>
                <w:szCs w:val="18"/>
              </w:rPr>
            </w:pPr>
            <w:r w:rsidRPr="00606776">
              <w:rPr>
                <w:sz w:val="18"/>
                <w:szCs w:val="18"/>
              </w:rPr>
              <w:t>0.25</w:t>
            </w:r>
          </w:p>
        </w:tc>
        <w:tc>
          <w:tcPr>
            <w:tcW w:w="4110" w:type="dxa"/>
            <w:tcBorders>
              <w:top w:val="single" w:sz="4" w:space="0" w:color="auto"/>
              <w:left w:val="single" w:sz="4" w:space="0" w:color="auto"/>
              <w:bottom w:val="single" w:sz="4" w:space="0" w:color="auto"/>
            </w:tcBorders>
          </w:tcPr>
          <w:p w14:paraId="0E4D8F78" w14:textId="55065239" w:rsidR="003D7A86" w:rsidRDefault="003D7A86" w:rsidP="007F346F">
            <w:pPr>
              <w:rPr>
                <w:sz w:val="18"/>
                <w:szCs w:val="18"/>
              </w:rPr>
            </w:pPr>
            <w:r w:rsidRPr="00310491">
              <w:rPr>
                <w:sz w:val="18"/>
                <w:szCs w:val="18"/>
              </w:rPr>
              <w:t>Adaptation costs estimates</w:t>
            </w:r>
            <w:r w:rsidR="00660432">
              <w:rPr>
                <w:sz w:val="18"/>
                <w:szCs w:val="18"/>
              </w:rPr>
              <w:t xml:space="preserve"> based on</w:t>
            </w:r>
            <w:r w:rsidRPr="00310491">
              <w:rPr>
                <w:sz w:val="18"/>
                <w:szCs w:val="18"/>
              </w:rPr>
              <w:t xml:space="preserve"> </w:t>
            </w:r>
            <w:r w:rsidRPr="00310491">
              <w:rPr>
                <w:sz w:val="18"/>
                <w:szCs w:val="18"/>
              </w:rPr>
              <w:fldChar w:fldCharType="begin">
                <w:fldData xml:space="preserve">PEVuZE5vdGU+PENpdGU+PEF1dGhvcj5DbGltYXRlIENvdW5jaWw8L0F1dGhvcj48WWVhcj4yMDE5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==
</w:fldData>
              </w:fldChar>
            </w:r>
            <w:r>
              <w:rPr>
                <w:sz w:val="18"/>
                <w:szCs w:val="18"/>
              </w:rPr>
              <w:instrText xml:space="preserve"> ADDIN EN.CITE </w:instrText>
            </w:r>
            <w:r>
              <w:rPr>
                <w:sz w:val="18"/>
                <w:szCs w:val="18"/>
              </w:rPr>
              <w:fldChar w:fldCharType="begin">
                <w:fldData xml:space="preserve">PEVuZE5vdGU+PENpdGU+PEF1dGhvcj5DbGltYXRlIENvdW5jaWw8L0F1dGhvcj48WWVhcj4yMDE5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==
</w:fldData>
              </w:fldChar>
            </w:r>
            <w:r>
              <w:rPr>
                <w:sz w:val="18"/>
                <w:szCs w:val="18"/>
              </w:rPr>
              <w:instrText xml:space="preserve"> ADDIN EN.CITE.DATA </w:instrText>
            </w:r>
            <w:r>
              <w:rPr>
                <w:sz w:val="18"/>
                <w:szCs w:val="18"/>
              </w:rPr>
            </w:r>
            <w:r>
              <w:rPr>
                <w:sz w:val="18"/>
                <w:szCs w:val="18"/>
              </w:rPr>
              <w:fldChar w:fldCharType="end"/>
            </w:r>
            <w:r w:rsidRPr="00310491">
              <w:rPr>
                <w:sz w:val="18"/>
                <w:szCs w:val="18"/>
              </w:rPr>
            </w:r>
            <w:r w:rsidRPr="00310491">
              <w:rPr>
                <w:sz w:val="18"/>
                <w:szCs w:val="18"/>
              </w:rPr>
              <w:fldChar w:fldCharType="separate"/>
            </w:r>
            <w:r>
              <w:rPr>
                <w:noProof/>
                <w:sz w:val="18"/>
                <w:szCs w:val="18"/>
              </w:rPr>
              <w:t>(Climate Council, 2019, Deloitte, 2021, Climate Council, 2021)</w:t>
            </w:r>
            <w:r w:rsidRPr="00310491">
              <w:rPr>
                <w:sz w:val="18"/>
                <w:szCs w:val="18"/>
              </w:rPr>
              <w:fldChar w:fldCharType="end"/>
            </w:r>
            <w:r>
              <w:rPr>
                <w:sz w:val="18"/>
                <w:szCs w:val="18"/>
              </w:rPr>
              <w:t>.</w:t>
            </w:r>
            <w:r w:rsidR="00D47473">
              <w:rPr>
                <w:sz w:val="18"/>
                <w:szCs w:val="18"/>
              </w:rPr>
              <w:t xml:space="preserve"> Costs held constant across trajectories and tested in sensitivity analysis. </w:t>
            </w:r>
          </w:p>
        </w:tc>
      </w:tr>
      <w:tr w:rsidR="003D7A86" w:rsidRPr="0010279E" w14:paraId="59F51A96" w14:textId="77777777" w:rsidTr="002D17A6">
        <w:tc>
          <w:tcPr>
            <w:tcW w:w="2263" w:type="dxa"/>
            <w:tcBorders>
              <w:top w:val="single" w:sz="4" w:space="0" w:color="auto"/>
              <w:bottom w:val="single" w:sz="4" w:space="0" w:color="auto"/>
              <w:right w:val="single" w:sz="4" w:space="0" w:color="auto"/>
            </w:tcBorders>
          </w:tcPr>
          <w:p w14:paraId="33E0849B" w14:textId="77777777" w:rsidR="003D7A86" w:rsidRPr="0010279E"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474BFD5C" w14:textId="10F1893E" w:rsidR="003D7A86" w:rsidRPr="0010279E" w:rsidRDefault="003D7A86" w:rsidP="007F346F">
            <w:pPr>
              <w:rPr>
                <w:sz w:val="18"/>
                <w:szCs w:val="18"/>
              </w:rPr>
            </w:pPr>
            <w:r w:rsidRPr="0010279E">
              <w:rPr>
                <w:sz w:val="18"/>
                <w:szCs w:val="18"/>
              </w:rPr>
              <w:t xml:space="preserve">Interest rates on </w:t>
            </w:r>
            <w:r w:rsidR="00714D91">
              <w:rPr>
                <w:sz w:val="18"/>
                <w:szCs w:val="18"/>
              </w:rPr>
              <w:t xml:space="preserve">government </w:t>
            </w:r>
            <w:r w:rsidRPr="0010279E">
              <w:rPr>
                <w:sz w:val="18"/>
                <w:szCs w:val="18"/>
              </w:rPr>
              <w:t>debt</w:t>
            </w:r>
            <w:r w:rsidR="00D47473">
              <w:rPr>
                <w:sz w:val="18"/>
                <w:szCs w:val="18"/>
              </w:rPr>
              <w:t xml:space="preserve"> (%)</w:t>
            </w:r>
          </w:p>
        </w:tc>
        <w:tc>
          <w:tcPr>
            <w:tcW w:w="2693" w:type="dxa"/>
            <w:tcBorders>
              <w:top w:val="single" w:sz="4" w:space="0" w:color="auto"/>
              <w:left w:val="single" w:sz="4" w:space="0" w:color="auto"/>
              <w:bottom w:val="single" w:sz="4" w:space="0" w:color="auto"/>
              <w:right w:val="single" w:sz="4" w:space="0" w:color="auto"/>
            </w:tcBorders>
          </w:tcPr>
          <w:p w14:paraId="49437E19" w14:textId="77777777" w:rsidR="003D7A86" w:rsidRPr="0010279E" w:rsidRDefault="003D7A86" w:rsidP="007F346F">
            <w:pPr>
              <w:jc w:val="center"/>
              <w:rPr>
                <w:sz w:val="18"/>
                <w:szCs w:val="18"/>
              </w:rPr>
            </w:pPr>
            <w:r w:rsidRPr="0010279E">
              <w:rPr>
                <w:sz w:val="18"/>
                <w:szCs w:val="18"/>
              </w:rPr>
              <w:t>3.72%</w:t>
            </w:r>
          </w:p>
        </w:tc>
        <w:tc>
          <w:tcPr>
            <w:tcW w:w="2552" w:type="dxa"/>
            <w:tcBorders>
              <w:top w:val="single" w:sz="4" w:space="0" w:color="auto"/>
              <w:left w:val="single" w:sz="4" w:space="0" w:color="auto"/>
              <w:bottom w:val="single" w:sz="4" w:space="0" w:color="auto"/>
              <w:right w:val="single" w:sz="4" w:space="0" w:color="auto"/>
            </w:tcBorders>
          </w:tcPr>
          <w:p w14:paraId="3D497074" w14:textId="77777777" w:rsidR="003D7A86" w:rsidRPr="0010279E" w:rsidRDefault="003D7A86" w:rsidP="007F346F">
            <w:pPr>
              <w:jc w:val="center"/>
              <w:rPr>
                <w:sz w:val="18"/>
                <w:szCs w:val="18"/>
              </w:rPr>
            </w:pPr>
            <w:r w:rsidRPr="0010279E">
              <w:rPr>
                <w:sz w:val="18"/>
                <w:szCs w:val="18"/>
              </w:rPr>
              <w:t>3.72%</w:t>
            </w:r>
          </w:p>
        </w:tc>
        <w:tc>
          <w:tcPr>
            <w:tcW w:w="4110" w:type="dxa"/>
            <w:tcBorders>
              <w:top w:val="single" w:sz="4" w:space="0" w:color="auto"/>
              <w:left w:val="single" w:sz="4" w:space="0" w:color="auto"/>
              <w:bottom w:val="single" w:sz="4" w:space="0" w:color="auto"/>
            </w:tcBorders>
          </w:tcPr>
          <w:p w14:paraId="456BF725" w14:textId="57562250" w:rsidR="003D7A86" w:rsidRPr="0010279E" w:rsidRDefault="003D7A86" w:rsidP="007F346F">
            <w:pPr>
              <w:rPr>
                <w:sz w:val="18"/>
                <w:szCs w:val="18"/>
              </w:rPr>
            </w:pPr>
            <w:r w:rsidRPr="0010279E">
              <w:rPr>
                <w:sz w:val="18"/>
                <w:szCs w:val="18"/>
              </w:rPr>
              <w:t xml:space="preserve">ABS Government Finance Statistics </w:t>
            </w:r>
            <w:r w:rsidRPr="0010279E">
              <w:rPr>
                <w:sz w:val="18"/>
                <w:szCs w:val="18"/>
              </w:rPr>
              <w:fldChar w:fldCharType="begin"/>
            </w:r>
            <w:r w:rsidRPr="0010279E">
              <w:rPr>
                <w:sz w:val="18"/>
                <w:szCs w:val="18"/>
              </w:rPr>
              <w:instrText xml:space="preserve"> ADDIN EN.CITE &lt;EndNote&gt;&lt;Cite&gt;&lt;Author&gt;ABS&lt;/Author&gt;&lt;Year&gt;2021&lt;/Year&gt;&lt;RecNum&gt;1042&lt;/RecNum&gt;&lt;DisplayText&gt;(ABS, 2021b)&lt;/DisplayText&gt;&lt;record&gt;&lt;rec-number&gt;1042&lt;/rec-number&gt;&lt;foreign-keys&gt;&lt;key app="EN" db-id="9vsrvaat7fadwtesfsrpw5w5t0x5v500ef25" timestamp="1565083323"&gt;1042&lt;/key&gt;&lt;/foreign-keys&gt;&lt;ref-type name="Dataset"&gt;59&lt;/ref-type&gt;&lt;contributors&gt;&lt;authors&gt;&lt;author&gt;ABS,&lt;/author&gt;&lt;/authors&gt;&lt;/contributors&gt;&lt;titles&gt;&lt;title&gt;5512.0 - Government Finance Statistics, Australia&lt;/title&gt;&lt;/titles&gt;&lt;dates&gt;&lt;year&gt;2021&lt;/year&gt;&lt;/dates&gt;&lt;pub-location&gt;Canberra, Australia&lt;/pub-location&gt;&lt;publisher&gt;Australian Bureau of Statistics&lt;/publisher&gt;&lt;urls&gt;&lt;related-urls&gt;&lt;url&gt;https://www.abs.gov.au/AUSSTATS/abs@.nsf/mf/5512.0&lt;/url&gt;&lt;/related-urls&gt;&lt;/urls&gt;&lt;access-date&gt;11/12/17&lt;/access-date&gt;&lt;/record&gt;&lt;/Cite&gt;&lt;/EndNote&gt;</w:instrText>
            </w:r>
            <w:r w:rsidRPr="0010279E">
              <w:rPr>
                <w:sz w:val="18"/>
                <w:szCs w:val="18"/>
              </w:rPr>
              <w:fldChar w:fldCharType="separate"/>
            </w:r>
            <w:r w:rsidRPr="0010279E">
              <w:rPr>
                <w:noProof/>
                <w:sz w:val="18"/>
                <w:szCs w:val="18"/>
              </w:rPr>
              <w:t>(ABS, 2021b)</w:t>
            </w:r>
            <w:r w:rsidRPr="0010279E">
              <w:rPr>
                <w:sz w:val="18"/>
                <w:szCs w:val="18"/>
              </w:rPr>
              <w:fldChar w:fldCharType="end"/>
            </w:r>
            <w:r w:rsidR="00A20B3F">
              <w:rPr>
                <w:sz w:val="18"/>
                <w:szCs w:val="18"/>
              </w:rPr>
              <w:t xml:space="preserve"> and global analyses </w:t>
            </w:r>
            <w:r w:rsidR="00A20B3F">
              <w:rPr>
                <w:sz w:val="18"/>
                <w:szCs w:val="18"/>
              </w:rPr>
              <w:fldChar w:fldCharType="begin"/>
            </w:r>
            <w:r w:rsidR="00A20B3F">
              <w:rPr>
                <w:sz w:val="18"/>
                <w:szCs w:val="18"/>
              </w:rPr>
              <w:instrText xml:space="preserve"> ADDIN EN.CITE &lt;EndNote&gt;&lt;Cite&gt;&lt;Author&gt;World Bank&lt;/Author&gt;&lt;Year&gt;2022&lt;/Year&gt;&lt;RecNum&gt;1061&lt;/RecNum&gt;&lt;DisplayText&gt;(World Bank, 2022b, OECD, 2022)&lt;/DisplayText&gt;&lt;record&gt;&lt;rec-number&gt;1061&lt;/rec-number&gt;&lt;foreign-keys&gt;&lt;key app="EN" db-id="9vsrvaat7fadwtesfsrpw5w5t0x5v500ef25" timestamp="1565160465"&gt;1061&lt;/key&gt;&lt;/foreign-keys&gt;&lt;ref-type name="Dataset"&gt;59&lt;/ref-type&gt;&lt;contributors&gt;&lt;authors&gt;&lt;author&gt;World Bank,&lt;/author&gt;&lt;/authors&gt;&lt;/contributors&gt;&lt;titles&gt;&lt;title&gt;World Development Indicators DataBank&lt;/title&gt;&lt;/titles&gt;&lt;dates&gt;&lt;year&gt;2022&lt;/year&gt;&lt;/dates&gt;&lt;pub-location&gt;Washington, USA&lt;/pub-location&gt;&lt;urls&gt;&lt;related-urls&gt;&lt;url&gt;https://data.worldbank.org/indicator/SP.DYN.CONU.ZS?view=chart&lt;/url&gt;&lt;/related-urls&gt;&lt;/urls&gt;&lt;access-date&gt;08/08/18&lt;/access-date&gt;&lt;/record&gt;&lt;/Cite&gt;&lt;Cite&gt;&lt;Author&gt;OECD&lt;/Author&gt;&lt;Year&gt;2022&lt;/Year&gt;&lt;RecNum&gt;2716&lt;/RecNum&gt;&lt;record&gt;&lt;rec-number&gt;2716&lt;/rec-number&gt;&lt;foreign-keys&gt;&lt;key app="EN" db-id="9vsrvaat7fadwtesfsrpw5w5t0x5v500ef25" timestamp="1663639290"&gt;2716&lt;/key&gt;&lt;/foreign-keys&gt;&lt;ref-type name="Generic"&gt;13&lt;/ref-type&gt;&lt;contributors&gt;&lt;authors&gt;&lt;author&gt;OECD,&lt;/author&gt;&lt;/authors&gt;&lt;/contributors&gt;&lt;titles&gt;&lt;title&gt;Long-term interest rates forecast&lt;/title&gt;&lt;/titles&gt;&lt;dates&gt;&lt;year&gt;2022&lt;/year&gt;&lt;/dates&gt;&lt;pub-location&gt;Paris&lt;/pub-location&gt;&lt;publisher&gt;Organisation for Economic Cooperation and Development&lt;/publisher&gt;&lt;urls&gt;&lt;/urls&gt;&lt;/record&gt;&lt;/Cite&gt;&lt;/EndNote&gt;</w:instrText>
            </w:r>
            <w:r w:rsidR="00A20B3F">
              <w:rPr>
                <w:sz w:val="18"/>
                <w:szCs w:val="18"/>
              </w:rPr>
              <w:fldChar w:fldCharType="separate"/>
            </w:r>
            <w:r w:rsidR="00A20B3F">
              <w:rPr>
                <w:noProof/>
                <w:sz w:val="18"/>
                <w:szCs w:val="18"/>
              </w:rPr>
              <w:t>(World Bank, 2022b, OECD, 2022)</w:t>
            </w:r>
            <w:r w:rsidR="00A20B3F">
              <w:rPr>
                <w:sz w:val="18"/>
                <w:szCs w:val="18"/>
              </w:rPr>
              <w:fldChar w:fldCharType="end"/>
            </w:r>
            <w:r w:rsidR="00A20B3F">
              <w:rPr>
                <w:sz w:val="18"/>
                <w:szCs w:val="18"/>
              </w:rPr>
              <w:t>.</w:t>
            </w:r>
            <w:r w:rsidR="00D47473">
              <w:rPr>
                <w:sz w:val="18"/>
                <w:szCs w:val="18"/>
              </w:rPr>
              <w:t xml:space="preserve"> Average rate held constant across trajectories and tested in sensitivity analysis.</w:t>
            </w:r>
          </w:p>
        </w:tc>
      </w:tr>
      <w:tr w:rsidR="003D7A86" w:rsidRPr="00AB491A" w14:paraId="5D8CC965" w14:textId="77777777" w:rsidTr="002D17A6">
        <w:tc>
          <w:tcPr>
            <w:tcW w:w="2263" w:type="dxa"/>
            <w:tcBorders>
              <w:top w:val="single" w:sz="4" w:space="0" w:color="auto"/>
              <w:bottom w:val="single" w:sz="4" w:space="0" w:color="auto"/>
              <w:right w:val="single" w:sz="4" w:space="0" w:color="auto"/>
            </w:tcBorders>
          </w:tcPr>
          <w:p w14:paraId="2B09C5A9" w14:textId="77777777" w:rsidR="003D7A86" w:rsidRDefault="003D7A86" w:rsidP="007F346F">
            <w:pPr>
              <w:rPr>
                <w:sz w:val="18"/>
                <w:szCs w:val="18"/>
              </w:rPr>
            </w:pPr>
          </w:p>
        </w:tc>
        <w:tc>
          <w:tcPr>
            <w:tcW w:w="2557" w:type="dxa"/>
            <w:tcBorders>
              <w:top w:val="single" w:sz="4" w:space="0" w:color="auto"/>
              <w:left w:val="single" w:sz="4" w:space="0" w:color="auto"/>
              <w:bottom w:val="single" w:sz="4" w:space="0" w:color="auto"/>
              <w:right w:val="single" w:sz="4" w:space="0" w:color="auto"/>
            </w:tcBorders>
          </w:tcPr>
          <w:p w14:paraId="30F09DB7" w14:textId="17ED8645" w:rsidR="003D7A86" w:rsidRPr="001A372E" w:rsidRDefault="003D7A86" w:rsidP="007F346F">
            <w:pPr>
              <w:rPr>
                <w:color w:val="FF0000"/>
                <w:sz w:val="18"/>
                <w:szCs w:val="18"/>
              </w:rPr>
            </w:pPr>
            <w:r w:rsidRPr="0010279E">
              <w:rPr>
                <w:sz w:val="18"/>
                <w:szCs w:val="18"/>
              </w:rPr>
              <w:t>Additional decline in</w:t>
            </w:r>
            <w:r w:rsidR="00A0033C">
              <w:rPr>
                <w:sz w:val="18"/>
                <w:szCs w:val="18"/>
              </w:rPr>
              <w:t xml:space="preserve"> </w:t>
            </w:r>
            <w:r w:rsidRPr="0010279E">
              <w:rPr>
                <w:sz w:val="18"/>
                <w:szCs w:val="18"/>
              </w:rPr>
              <w:t>trade and commodity prices</w:t>
            </w:r>
            <w:r w:rsidR="000D2349">
              <w:rPr>
                <w:sz w:val="18"/>
                <w:szCs w:val="18"/>
              </w:rPr>
              <w:t xml:space="preserve"> (fossil fuels)</w:t>
            </w:r>
          </w:p>
        </w:tc>
        <w:tc>
          <w:tcPr>
            <w:tcW w:w="2693" w:type="dxa"/>
            <w:tcBorders>
              <w:top w:val="single" w:sz="4" w:space="0" w:color="auto"/>
              <w:left w:val="single" w:sz="4" w:space="0" w:color="auto"/>
              <w:bottom w:val="single" w:sz="4" w:space="0" w:color="auto"/>
              <w:right w:val="single" w:sz="4" w:space="0" w:color="auto"/>
            </w:tcBorders>
          </w:tcPr>
          <w:p w14:paraId="09E49913" w14:textId="7E21FA8E" w:rsidR="003D7A86" w:rsidRPr="00C613B7" w:rsidRDefault="008E053B" w:rsidP="00A8514C">
            <w:pPr>
              <w:jc w:val="center"/>
              <w:rPr>
                <w:color w:val="FF0000"/>
                <w:sz w:val="18"/>
                <w:szCs w:val="18"/>
              </w:rPr>
            </w:pPr>
            <w:r w:rsidRPr="00670D00">
              <w:rPr>
                <w:sz w:val="18"/>
                <w:szCs w:val="18"/>
              </w:rPr>
              <w:t>Decline in mining production</w:t>
            </w:r>
            <w:r w:rsidR="00464FF9" w:rsidRPr="00670D00">
              <w:rPr>
                <w:sz w:val="18"/>
                <w:szCs w:val="18"/>
              </w:rPr>
              <w:t xml:space="preserve"> in line with</w:t>
            </w:r>
            <w:r w:rsidR="007C1033">
              <w:rPr>
                <w:sz w:val="18"/>
                <w:szCs w:val="18"/>
              </w:rPr>
              <w:t xml:space="preserve"> demand projections for</w:t>
            </w:r>
            <w:r w:rsidR="00464FF9" w:rsidRPr="00670D00">
              <w:rPr>
                <w:sz w:val="18"/>
                <w:szCs w:val="18"/>
              </w:rPr>
              <w:t xml:space="preserve"> SSP2 by 2050. </w:t>
            </w:r>
          </w:p>
        </w:tc>
        <w:tc>
          <w:tcPr>
            <w:tcW w:w="2552" w:type="dxa"/>
            <w:tcBorders>
              <w:top w:val="single" w:sz="4" w:space="0" w:color="auto"/>
              <w:left w:val="single" w:sz="4" w:space="0" w:color="auto"/>
              <w:bottom w:val="single" w:sz="4" w:space="0" w:color="auto"/>
              <w:right w:val="single" w:sz="4" w:space="0" w:color="auto"/>
            </w:tcBorders>
          </w:tcPr>
          <w:p w14:paraId="337B9B3B" w14:textId="69A15E9D" w:rsidR="00A8514C" w:rsidRPr="00A8514C" w:rsidRDefault="008E053B" w:rsidP="00A8514C">
            <w:pPr>
              <w:jc w:val="center"/>
              <w:rPr>
                <w:sz w:val="18"/>
                <w:szCs w:val="18"/>
              </w:rPr>
            </w:pPr>
            <w:r w:rsidRPr="00A8514C">
              <w:rPr>
                <w:sz w:val="18"/>
                <w:szCs w:val="18"/>
              </w:rPr>
              <w:t>Accelerated decline in fossil mining production</w:t>
            </w:r>
            <w:r w:rsidR="00464FF9" w:rsidRPr="00A8514C">
              <w:rPr>
                <w:sz w:val="18"/>
                <w:szCs w:val="18"/>
              </w:rPr>
              <w:t xml:space="preserve"> in line with </w:t>
            </w:r>
            <w:r w:rsidR="007C1033">
              <w:rPr>
                <w:sz w:val="18"/>
                <w:szCs w:val="18"/>
              </w:rPr>
              <w:t xml:space="preserve">demand projections for </w:t>
            </w:r>
            <w:r w:rsidR="00464FF9" w:rsidRPr="00A8514C">
              <w:rPr>
                <w:sz w:val="18"/>
                <w:szCs w:val="18"/>
              </w:rPr>
              <w:t xml:space="preserve">SSP1 by 2050. </w:t>
            </w:r>
          </w:p>
          <w:p w14:paraId="2298AA68" w14:textId="36C81745" w:rsidR="003D7A86" w:rsidRPr="00C613B7" w:rsidRDefault="003D7A86" w:rsidP="007F346F">
            <w:pPr>
              <w:jc w:val="center"/>
              <w:rPr>
                <w:color w:val="FF0000"/>
                <w:sz w:val="18"/>
                <w:szCs w:val="18"/>
              </w:rPr>
            </w:pPr>
          </w:p>
        </w:tc>
        <w:tc>
          <w:tcPr>
            <w:tcW w:w="4110" w:type="dxa"/>
            <w:tcBorders>
              <w:top w:val="single" w:sz="4" w:space="0" w:color="auto"/>
              <w:left w:val="single" w:sz="4" w:space="0" w:color="auto"/>
              <w:bottom w:val="single" w:sz="4" w:space="0" w:color="auto"/>
            </w:tcBorders>
          </w:tcPr>
          <w:p w14:paraId="55CE11C6" w14:textId="6BFB2595" w:rsidR="003D7A86" w:rsidRPr="00C141AA" w:rsidRDefault="006C3EC8" w:rsidP="00B4205B">
            <w:pPr>
              <w:rPr>
                <w:sz w:val="18"/>
                <w:szCs w:val="18"/>
              </w:rPr>
            </w:pPr>
            <w:r>
              <w:rPr>
                <w:sz w:val="18"/>
                <w:szCs w:val="18"/>
              </w:rPr>
              <w:lastRenderedPageBreak/>
              <w:t>Consumption of global fossil fuels (coal, gas, oil) projected to decline</w:t>
            </w:r>
            <w:r w:rsidR="005443BB">
              <w:rPr>
                <w:sz w:val="18"/>
                <w:szCs w:val="18"/>
              </w:rPr>
              <w:t xml:space="preserve"> by 2050</w:t>
            </w:r>
            <w:r w:rsidR="00670D00">
              <w:rPr>
                <w:sz w:val="18"/>
                <w:szCs w:val="18"/>
              </w:rPr>
              <w:t>.  For SSP2 projections are c</w:t>
            </w:r>
            <w:r w:rsidR="00670D00" w:rsidRPr="00670D00">
              <w:rPr>
                <w:sz w:val="18"/>
                <w:szCs w:val="18"/>
              </w:rPr>
              <w:t>oal</w:t>
            </w:r>
            <w:r w:rsidR="00670D00">
              <w:rPr>
                <w:sz w:val="18"/>
                <w:szCs w:val="18"/>
              </w:rPr>
              <w:t xml:space="preserve"> (</w:t>
            </w:r>
            <w:r w:rsidR="00670D00" w:rsidRPr="00670D00">
              <w:rPr>
                <w:sz w:val="18"/>
                <w:szCs w:val="18"/>
              </w:rPr>
              <w:t>-20% on 2020 levels</w:t>
            </w:r>
            <w:r w:rsidR="00670D00">
              <w:rPr>
                <w:sz w:val="18"/>
                <w:szCs w:val="18"/>
              </w:rPr>
              <w:t>), o</w:t>
            </w:r>
            <w:r w:rsidR="00670D00" w:rsidRPr="00670D00">
              <w:rPr>
                <w:sz w:val="18"/>
                <w:szCs w:val="18"/>
              </w:rPr>
              <w:t xml:space="preserve">il and </w:t>
            </w:r>
            <w:r w:rsidR="00670D00">
              <w:rPr>
                <w:sz w:val="18"/>
                <w:szCs w:val="18"/>
              </w:rPr>
              <w:t>g</w:t>
            </w:r>
            <w:r w:rsidR="00670D00" w:rsidRPr="00670D00">
              <w:rPr>
                <w:sz w:val="18"/>
                <w:szCs w:val="18"/>
              </w:rPr>
              <w:t>as</w:t>
            </w:r>
            <w:r w:rsidR="00670D00">
              <w:rPr>
                <w:sz w:val="18"/>
                <w:szCs w:val="18"/>
              </w:rPr>
              <w:t xml:space="preserve"> (</w:t>
            </w:r>
            <w:r w:rsidR="00670D00" w:rsidRPr="00670D00">
              <w:rPr>
                <w:sz w:val="18"/>
                <w:szCs w:val="18"/>
              </w:rPr>
              <w:t>-10% on 2020 levels</w:t>
            </w:r>
            <w:r w:rsidR="00670D00">
              <w:rPr>
                <w:sz w:val="18"/>
                <w:szCs w:val="18"/>
              </w:rPr>
              <w:t xml:space="preserve">). For SSP5 projections are </w:t>
            </w:r>
            <w:r w:rsidR="00670D00" w:rsidRPr="00B4205B">
              <w:rPr>
                <w:sz w:val="18"/>
                <w:szCs w:val="18"/>
              </w:rPr>
              <w:t xml:space="preserve">coal (-40% </w:t>
            </w:r>
            <w:r w:rsidR="00670D00" w:rsidRPr="00B4205B">
              <w:rPr>
                <w:sz w:val="18"/>
                <w:szCs w:val="18"/>
              </w:rPr>
              <w:lastRenderedPageBreak/>
              <w:t>below SSP2</w:t>
            </w:r>
            <w:r w:rsidR="00DD6450" w:rsidRPr="00B4205B">
              <w:rPr>
                <w:sz w:val="18"/>
                <w:szCs w:val="18"/>
              </w:rPr>
              <w:t>) and o</w:t>
            </w:r>
            <w:r w:rsidR="00670D00" w:rsidRPr="00B4205B">
              <w:rPr>
                <w:sz w:val="18"/>
                <w:szCs w:val="18"/>
              </w:rPr>
              <w:t xml:space="preserve">il and </w:t>
            </w:r>
            <w:r w:rsidR="00DD6450" w:rsidRPr="00B4205B">
              <w:rPr>
                <w:sz w:val="18"/>
                <w:szCs w:val="18"/>
              </w:rPr>
              <w:t>g</w:t>
            </w:r>
            <w:r w:rsidR="00670D00" w:rsidRPr="00B4205B">
              <w:rPr>
                <w:sz w:val="18"/>
                <w:szCs w:val="18"/>
              </w:rPr>
              <w:t xml:space="preserve">as: </w:t>
            </w:r>
            <w:r w:rsidR="00DD6450" w:rsidRPr="00B4205B">
              <w:rPr>
                <w:sz w:val="18"/>
                <w:szCs w:val="18"/>
              </w:rPr>
              <w:t>(</w:t>
            </w:r>
            <w:r w:rsidR="00670D00" w:rsidRPr="00B4205B">
              <w:rPr>
                <w:sz w:val="18"/>
                <w:szCs w:val="18"/>
              </w:rPr>
              <w:t>-30% below SSP2</w:t>
            </w:r>
            <w:r w:rsidR="00DD6450" w:rsidRPr="00B4205B">
              <w:rPr>
                <w:sz w:val="18"/>
                <w:szCs w:val="18"/>
              </w:rPr>
              <w:t xml:space="preserve">). </w:t>
            </w:r>
            <w:r w:rsidR="00B4205B">
              <w:rPr>
                <w:sz w:val="18"/>
                <w:szCs w:val="18"/>
              </w:rPr>
              <w:t>Based on g</w:t>
            </w:r>
            <w:r w:rsidR="003D7A86" w:rsidRPr="0010279E">
              <w:rPr>
                <w:sz w:val="18"/>
                <w:szCs w:val="18"/>
              </w:rPr>
              <w:t xml:space="preserve">overnment projections </w:t>
            </w:r>
            <w:r w:rsidR="003D7A86" w:rsidRPr="0010279E">
              <w:rPr>
                <w:sz w:val="18"/>
                <w:szCs w:val="18"/>
              </w:rPr>
              <w:fldChar w:fldCharType="begin"/>
            </w:r>
            <w:r w:rsidR="003D7A86" w:rsidRPr="0010279E">
              <w:rPr>
                <w:sz w:val="18"/>
                <w:szCs w:val="18"/>
              </w:rPr>
              <w:instrText xml:space="preserve"> ADDIN EN.CITE &lt;EndNote&gt;&lt;Cite&gt;&lt;Author&gt;Syed&lt;/Author&gt;&lt;Year&gt;2010&lt;/Year&gt;&lt;RecNum&gt;876&lt;/RecNum&gt;&lt;DisplayText&gt;(Syed et al., 2010, Resources 2030 Taskforce, 2018)&lt;/DisplayText&gt;&lt;record&gt;&lt;rec-number&gt;876&lt;/rec-number&gt;&lt;foreign-keys&gt;&lt;key app="EN" db-id="9vsrvaat7fadwtesfsrpw5w5t0x5v500ef25" timestamp="1542424572"&gt;876&lt;/key&gt;&lt;/foreign-keys&gt;&lt;ref-type name="Generic"&gt;13&lt;/ref-type&gt;&lt;contributors&gt;&lt;authors&gt;&lt;author&gt;Syed, A&lt;/author&gt;&lt;author&gt;Melanie, J&lt;/author&gt;&lt;author&gt;Thorpe, S&lt;/author&gt;&lt;author&gt;Penney, K&lt;/author&gt;&lt;/authors&gt;&lt;/contributors&gt;&lt;titles&gt;&lt;title&gt;Australian energy projections to 2029-30, ABARE research report 10.02, prepared for the Department of Resources, Energy and Tourism&lt;/title&gt;&lt;/titles&gt;&lt;dates&gt;&lt;year&gt;2010&lt;/year&gt;&lt;/dates&gt;&lt;pub-location&gt;Canberra&lt;/pub-location&gt;&lt;publisher&gt;ABARES&lt;/publisher&gt;&lt;urls&gt;&lt;/urls&gt;&lt;/record&gt;&lt;/Cite&gt;&lt;Cite&gt;&lt;Author&gt;Resources 2030 Taskforce&lt;/Author&gt;&lt;Year&gt;2018&lt;/Year&gt;&lt;RecNum&gt;1033&lt;/RecNum&gt;&lt;record&gt;&lt;rec-number&gt;1033&lt;/rec-number&gt;&lt;foreign-keys&gt;&lt;key app="EN" db-id="9vsrvaat7fadwtesfsrpw5w5t0x5v500ef25" timestamp="1565069368"&gt;1033&lt;/key&gt;&lt;/foreign-keys&gt;&lt;ref-type name="Generic"&gt;13&lt;/ref-type&gt;&lt;contributors&gt;&lt;authors&gt;&lt;author&gt;Resources 2030 Taskforce,&lt;/author&gt;&lt;/authors&gt;&lt;/contributors&gt;&lt;titles&gt;&lt;title&gt;Australian resources - providing prosperity for future generations&lt;/title&gt;&lt;/titles&gt;&lt;dates&gt;&lt;year&gt;2018&lt;/year&gt;&lt;/dates&gt;&lt;pub-location&gt;Canberra, Australia&lt;/pub-location&gt;&lt;publisher&gt;Commonwealth of Australia&lt;/publisher&gt;&lt;urls&gt;&lt;/urls&gt;&lt;/record&gt;&lt;/Cite&gt;&lt;/EndNote&gt;</w:instrText>
            </w:r>
            <w:r w:rsidR="003D7A86" w:rsidRPr="0010279E">
              <w:rPr>
                <w:sz w:val="18"/>
                <w:szCs w:val="18"/>
              </w:rPr>
              <w:fldChar w:fldCharType="separate"/>
            </w:r>
            <w:r w:rsidR="003D7A86" w:rsidRPr="0010279E">
              <w:rPr>
                <w:sz w:val="18"/>
                <w:szCs w:val="18"/>
              </w:rPr>
              <w:t>(Syed et al., 2010, Resources 2030 Taskforce, 2018)</w:t>
            </w:r>
            <w:r w:rsidR="003D7A86" w:rsidRPr="0010279E">
              <w:rPr>
                <w:sz w:val="18"/>
                <w:szCs w:val="18"/>
              </w:rPr>
              <w:fldChar w:fldCharType="end"/>
            </w:r>
            <w:r w:rsidR="003D7A86" w:rsidRPr="0010279E">
              <w:rPr>
                <w:sz w:val="18"/>
                <w:szCs w:val="18"/>
              </w:rPr>
              <w:t xml:space="preserve"> and global SSP projections from IMAGE </w:t>
            </w:r>
            <w:r w:rsidR="003D7A86" w:rsidRPr="0010279E">
              <w:rPr>
                <w:sz w:val="18"/>
                <w:szCs w:val="18"/>
              </w:rPr>
              <w:fldChar w:fldCharType="begin"/>
            </w:r>
            <w:r w:rsidR="003D7A86" w:rsidRPr="0010279E">
              <w:rPr>
                <w:sz w:val="18"/>
                <w:szCs w:val="18"/>
              </w:rPr>
              <w:instrText xml:space="preserve"> ADDIN EN.CITE &lt;EndNote&gt;&lt;Cite&gt;&lt;Author&gt;Riahi&lt;/Author&gt;&lt;Year&gt;2017&lt;/Year&gt;&lt;RecNum&gt;802&lt;/RecNum&gt;&lt;DisplayText&gt;(Riahi et al., 2017)&lt;/DisplayText&gt;&lt;record&gt;&lt;rec-number&gt;802&lt;/rec-number&gt;&lt;foreign-keys&gt;&lt;key app="EN" db-id="9vsrvaat7fadwtesfsrpw5w5t0x5v500ef25" timestamp="1538912373"&gt;802&lt;/key&gt;&lt;/foreign-keys&gt;&lt;ref-type name="Journal Article"&gt;17&lt;/ref-type&gt;&lt;contributors&gt;&lt;authors&gt;&lt;author&gt;Riahi, Keywan&lt;/author&gt;&lt;author&gt;Van Vuuren, Detlef P&lt;/author&gt;&lt;author&gt;Kriegler, Elmar&lt;/author&gt;&lt;author&gt;Edmonds, Jae&lt;/author&gt;&lt;author&gt;O’neill, Brian C&lt;/author&gt;&lt;author&gt;Fujimori, Shinichiro&lt;/author&gt;&lt;author&gt;Bauer, Nico&lt;/author&gt;&lt;author&gt;Calvin, Katherine&lt;/author&gt;&lt;author&gt;Dellink, Rob&lt;/author&gt;&lt;author&gt;Fricko, Oliver&lt;/author&gt;&lt;/authors&gt;&lt;/contributors&gt;&lt;titles&gt;&lt;title&gt;The shared socioeconomic pathways and their energy, land use, and greenhouse gas emissions implications: an overview&lt;/title&gt;&lt;secondary-title&gt;Global Environmental Change&lt;/secondary-title&gt;&lt;/titles&gt;&lt;periodical&gt;&lt;full-title&gt;Global environmental change&lt;/full-title&gt;&lt;/periodical&gt;&lt;pages&gt;153-168&lt;/pages&gt;&lt;volume&gt;42&lt;/volume&gt;&lt;dates&gt;&lt;year&gt;2017&lt;/year&gt;&lt;/dates&gt;&lt;isbn&gt;0959-3780&lt;/isbn&gt;&lt;urls&gt;&lt;/urls&gt;&lt;electronic-resource-num&gt;https://doi.org/10.1016/j.gloenvcha.2016.05.009&lt;/electronic-resource-num&gt;&lt;/record&gt;&lt;/Cite&gt;&lt;/EndNote&gt;</w:instrText>
            </w:r>
            <w:r w:rsidR="003D7A86" w:rsidRPr="0010279E">
              <w:rPr>
                <w:sz w:val="18"/>
                <w:szCs w:val="18"/>
              </w:rPr>
              <w:fldChar w:fldCharType="separate"/>
            </w:r>
            <w:r w:rsidR="003D7A86" w:rsidRPr="0010279E">
              <w:rPr>
                <w:sz w:val="18"/>
                <w:szCs w:val="18"/>
              </w:rPr>
              <w:t>(</w:t>
            </w:r>
            <w:proofErr w:type="spellStart"/>
            <w:r w:rsidR="003D7A86" w:rsidRPr="0010279E">
              <w:rPr>
                <w:sz w:val="18"/>
                <w:szCs w:val="18"/>
              </w:rPr>
              <w:t>Riahi</w:t>
            </w:r>
            <w:proofErr w:type="spellEnd"/>
            <w:r w:rsidR="003D7A86" w:rsidRPr="0010279E">
              <w:rPr>
                <w:sz w:val="18"/>
                <w:szCs w:val="18"/>
              </w:rPr>
              <w:t xml:space="preserve"> et al., 2017)</w:t>
            </w:r>
            <w:r w:rsidR="003D7A86" w:rsidRPr="0010279E">
              <w:rPr>
                <w:sz w:val="18"/>
                <w:szCs w:val="18"/>
              </w:rPr>
              <w:fldChar w:fldCharType="end"/>
            </w:r>
            <w:r w:rsidR="003D7A86" w:rsidRPr="0010279E">
              <w:rPr>
                <w:sz w:val="18"/>
                <w:szCs w:val="18"/>
              </w:rPr>
              <w:t xml:space="preserve">.  SSP global energy 2050 projections Coal, gas, oil (SSP1, SSP2) and ABS mining production data </w:t>
            </w:r>
            <w:r w:rsidR="003D7A86" w:rsidRPr="0010279E">
              <w:rPr>
                <w:sz w:val="18"/>
                <w:szCs w:val="18"/>
              </w:rPr>
              <w:fldChar w:fldCharType="begin"/>
            </w:r>
            <w:r w:rsidR="006C5257">
              <w:rPr>
                <w:sz w:val="18"/>
                <w:szCs w:val="18"/>
              </w:rPr>
              <w:instrText xml:space="preserve"> ADDIN EN.CITE &lt;EndNote&gt;&lt;Cite&gt;&lt;Author&gt;ABS&lt;/Author&gt;&lt;Year&gt;2018&lt;/Year&gt;&lt;RecNum&gt;1078&lt;/RecNum&gt;&lt;DisplayText&gt;(ABS, 2018c)&lt;/DisplayText&gt;&lt;record&gt;&lt;rec-number&gt;1078&lt;/rec-number&gt;&lt;foreign-keys&gt;&lt;key app="EN" db-id="9vsrvaat7fadwtesfsrpw5w5t0x5v500ef25" timestamp="1565225309"&gt;1078&lt;/key&gt;&lt;/foreign-keys&gt;&lt;ref-type name="Dataset"&gt;59&lt;/ref-type&gt;&lt;contributors&gt;&lt;authors&gt;&lt;author&gt;ABS,&lt;/author&gt;&lt;/authors&gt;&lt;/contributors&gt;&lt;titles&gt;&lt;title&gt;8155.0 - Australian Industry&lt;/title&gt;&lt;/titles&gt;&lt;dates&gt;&lt;year&gt;2018&lt;/year&gt;&lt;/dates&gt;&lt;pub-location&gt;Canberra, Australia&lt;/pub-location&gt;&lt;publisher&gt;Australian Bureau of Statistics&lt;/publisher&gt;&lt;urls&gt;&lt;related-urls&gt;&lt;url&gt;https://www.abs.gov.au/AUSSTATS/abs@.nsf/allprimarymainfeatures/ECC05829CF35B0CCCA25840A001811F6?opendocument&lt;/url&gt;&lt;/related-urls&gt;&lt;/urls&gt;&lt;access-date&gt;01/06/18&lt;/access-date&gt;&lt;/record&gt;&lt;/Cite&gt;&lt;/EndNote&gt;</w:instrText>
            </w:r>
            <w:r w:rsidR="003D7A86" w:rsidRPr="0010279E">
              <w:rPr>
                <w:sz w:val="18"/>
                <w:szCs w:val="18"/>
              </w:rPr>
              <w:fldChar w:fldCharType="separate"/>
            </w:r>
            <w:r w:rsidR="006C5257">
              <w:rPr>
                <w:noProof/>
                <w:sz w:val="18"/>
                <w:szCs w:val="18"/>
              </w:rPr>
              <w:t>(ABS, 2018c)</w:t>
            </w:r>
            <w:r w:rsidR="003D7A86" w:rsidRPr="0010279E">
              <w:rPr>
                <w:sz w:val="18"/>
                <w:szCs w:val="18"/>
              </w:rPr>
              <w:fldChar w:fldCharType="end"/>
            </w:r>
            <w:r w:rsidR="003D7A86" w:rsidRPr="0010279E">
              <w:rPr>
                <w:sz w:val="18"/>
                <w:szCs w:val="18"/>
              </w:rPr>
              <w:t>.</w:t>
            </w:r>
            <w:r w:rsidR="00B4205B">
              <w:rPr>
                <w:sz w:val="18"/>
                <w:szCs w:val="18"/>
              </w:rPr>
              <w:t xml:space="preserve"> </w:t>
            </w:r>
            <w:r w:rsidR="00A8514C">
              <w:rPr>
                <w:sz w:val="18"/>
                <w:szCs w:val="18"/>
              </w:rPr>
              <w:t>Calibrated in the model based on the pace of the green energy transition</w:t>
            </w:r>
            <w:r w:rsidR="00FF37A1">
              <w:rPr>
                <w:sz w:val="18"/>
                <w:szCs w:val="18"/>
              </w:rPr>
              <w:t xml:space="preserve">.  Effects of trade tested in sensitivity analysis. </w:t>
            </w:r>
          </w:p>
        </w:tc>
      </w:tr>
    </w:tbl>
    <w:p w14:paraId="3FED08B2" w14:textId="77777777" w:rsidR="008B671A" w:rsidRDefault="008B671A" w:rsidP="008B671A">
      <w:pPr>
        <w:rPr>
          <w:lang w:val="en-US" w:eastAsia="de-DE"/>
        </w:rPr>
      </w:pPr>
    </w:p>
    <w:p w14:paraId="12E3F922" w14:textId="77777777" w:rsidR="00376A61" w:rsidRDefault="00376A61" w:rsidP="008B671A">
      <w:pPr>
        <w:rPr>
          <w:lang w:val="en-US" w:eastAsia="de-DE"/>
        </w:rPr>
      </w:pPr>
    </w:p>
    <w:p w14:paraId="015662A5" w14:textId="7EDC4057" w:rsidR="001E163D" w:rsidRDefault="001E163D">
      <w:pPr>
        <w:rPr>
          <w:lang w:val="en-US" w:eastAsia="de-DE"/>
        </w:rPr>
      </w:pPr>
      <w:r>
        <w:rPr>
          <w:lang w:val="en-US" w:eastAsia="de-DE"/>
        </w:rPr>
        <w:br w:type="page"/>
      </w:r>
    </w:p>
    <w:p w14:paraId="43D841F8" w14:textId="3E0A299C" w:rsidR="001E163D" w:rsidRDefault="001E163D" w:rsidP="001E163D">
      <w:pPr>
        <w:pStyle w:val="Heading2"/>
        <w:rPr>
          <w:lang w:val="en-AU"/>
        </w:rPr>
      </w:pPr>
      <w:bookmarkStart w:id="9" w:name="_Toc123651719"/>
      <w:r>
        <w:rPr>
          <w:lang w:val="en-AU"/>
        </w:rPr>
        <w:lastRenderedPageBreak/>
        <w:t>Supplementary Table 3. Six transformation pathways storylines</w:t>
      </w:r>
      <w:bookmarkEnd w:id="9"/>
    </w:p>
    <w:tbl>
      <w:tblPr>
        <w:tblStyle w:val="TableGrid"/>
        <w:tblW w:w="0" w:type="auto"/>
        <w:tblLook w:val="04A0" w:firstRow="1" w:lastRow="0" w:firstColumn="1" w:lastColumn="0" w:noHBand="0" w:noVBand="1"/>
      </w:tblPr>
      <w:tblGrid>
        <w:gridCol w:w="2263"/>
        <w:gridCol w:w="9923"/>
        <w:gridCol w:w="1762"/>
      </w:tblGrid>
      <w:tr w:rsidR="00FD55A5" w:rsidRPr="0084089A" w14:paraId="41F1F11A" w14:textId="77777777" w:rsidTr="007F346F">
        <w:tc>
          <w:tcPr>
            <w:tcW w:w="2263" w:type="dxa"/>
          </w:tcPr>
          <w:p w14:paraId="2140EC14" w14:textId="77777777" w:rsidR="00FD55A5" w:rsidRPr="0084089A" w:rsidRDefault="00FD55A5" w:rsidP="007F346F">
            <w:pPr>
              <w:rPr>
                <w:b/>
                <w:bCs/>
                <w:sz w:val="18"/>
                <w:szCs w:val="18"/>
              </w:rPr>
            </w:pPr>
            <w:r w:rsidRPr="0084089A">
              <w:rPr>
                <w:b/>
                <w:bCs/>
                <w:sz w:val="18"/>
                <w:szCs w:val="18"/>
              </w:rPr>
              <w:t xml:space="preserve">Transformation </w:t>
            </w:r>
          </w:p>
        </w:tc>
        <w:tc>
          <w:tcPr>
            <w:tcW w:w="9923" w:type="dxa"/>
          </w:tcPr>
          <w:p w14:paraId="52AD70C3" w14:textId="1BB2E49E" w:rsidR="00FD55A5" w:rsidRPr="0084089A" w:rsidRDefault="00AE52E6" w:rsidP="007F346F">
            <w:pPr>
              <w:rPr>
                <w:b/>
                <w:bCs/>
                <w:sz w:val="18"/>
                <w:szCs w:val="18"/>
              </w:rPr>
            </w:pPr>
            <w:r>
              <w:rPr>
                <w:b/>
                <w:bCs/>
                <w:sz w:val="18"/>
                <w:szCs w:val="18"/>
              </w:rPr>
              <w:t>Sustainable Wellbeing Transformation</w:t>
            </w:r>
            <w:r w:rsidR="00FD55A5">
              <w:rPr>
                <w:b/>
                <w:bCs/>
                <w:sz w:val="18"/>
                <w:szCs w:val="18"/>
              </w:rPr>
              <w:t xml:space="preserve"> n</w:t>
            </w:r>
            <w:r w:rsidR="00FD55A5" w:rsidRPr="0084089A">
              <w:rPr>
                <w:b/>
                <w:bCs/>
                <w:sz w:val="18"/>
                <w:szCs w:val="18"/>
              </w:rPr>
              <w:t>arrative for pathway</w:t>
            </w:r>
          </w:p>
        </w:tc>
        <w:tc>
          <w:tcPr>
            <w:tcW w:w="1762" w:type="dxa"/>
          </w:tcPr>
          <w:p w14:paraId="62CBDD34" w14:textId="77777777" w:rsidR="00FD55A5" w:rsidRPr="0084089A" w:rsidRDefault="00FD55A5" w:rsidP="007F346F">
            <w:pPr>
              <w:rPr>
                <w:b/>
                <w:bCs/>
                <w:sz w:val="18"/>
                <w:szCs w:val="18"/>
              </w:rPr>
            </w:pPr>
            <w:r w:rsidRPr="0084089A">
              <w:rPr>
                <w:b/>
                <w:bCs/>
                <w:sz w:val="18"/>
                <w:szCs w:val="18"/>
              </w:rPr>
              <w:t>Sources</w:t>
            </w:r>
          </w:p>
        </w:tc>
      </w:tr>
      <w:tr w:rsidR="00FD55A5" w:rsidRPr="0084089A" w14:paraId="446BA09F" w14:textId="77777777" w:rsidTr="007F346F">
        <w:tc>
          <w:tcPr>
            <w:tcW w:w="2263" w:type="dxa"/>
          </w:tcPr>
          <w:p w14:paraId="79BB4AC8" w14:textId="77777777" w:rsidR="00FD55A5" w:rsidRPr="0084089A" w:rsidRDefault="00FD55A5" w:rsidP="007F346F">
            <w:pPr>
              <w:rPr>
                <w:sz w:val="18"/>
                <w:szCs w:val="18"/>
              </w:rPr>
            </w:pPr>
            <w:r w:rsidRPr="0084089A">
              <w:rPr>
                <w:b/>
                <w:bCs/>
                <w:sz w:val="18"/>
                <w:szCs w:val="18"/>
              </w:rPr>
              <w:t>1. Human wellbeing and capabilities</w:t>
            </w:r>
          </w:p>
        </w:tc>
        <w:tc>
          <w:tcPr>
            <w:tcW w:w="9923" w:type="dxa"/>
          </w:tcPr>
          <w:p w14:paraId="2130E0C8" w14:textId="77777777" w:rsidR="00FD55A5" w:rsidRPr="00E147D7" w:rsidRDefault="00FD55A5" w:rsidP="007F346F">
            <w:pPr>
              <w:rPr>
                <w:b/>
                <w:bCs/>
                <w:sz w:val="18"/>
                <w:szCs w:val="18"/>
              </w:rPr>
            </w:pPr>
            <w:r w:rsidRPr="00E147D7">
              <w:rPr>
                <w:b/>
                <w:bCs/>
                <w:sz w:val="18"/>
                <w:szCs w:val="18"/>
              </w:rPr>
              <w:t>Progress and Challenges</w:t>
            </w:r>
          </w:p>
          <w:p w14:paraId="6B2C1186" w14:textId="608068A5" w:rsidR="00FD55A5" w:rsidRPr="00E147D7" w:rsidRDefault="00FD55A5" w:rsidP="007F346F">
            <w:pPr>
              <w:rPr>
                <w:sz w:val="18"/>
                <w:szCs w:val="18"/>
              </w:rPr>
            </w:pPr>
            <w:r>
              <w:rPr>
                <w:sz w:val="18"/>
                <w:szCs w:val="18"/>
              </w:rPr>
              <w:t xml:space="preserve">In Australia, this transformation which encompasses health, education and resilience could be seen as being at an advanced stage compared to other countries. </w:t>
            </w:r>
            <w:proofErr w:type="gramStart"/>
            <w:r w:rsidRPr="00650B58">
              <w:rPr>
                <w:sz w:val="18"/>
                <w:szCs w:val="18"/>
              </w:rPr>
              <w:t>On the whole</w:t>
            </w:r>
            <w:proofErr w:type="gramEnd"/>
            <w:r w:rsidRPr="00650B58">
              <w:rPr>
                <w:sz w:val="18"/>
                <w:szCs w:val="18"/>
              </w:rPr>
              <w:t>, Australians enjoy very good health</w:t>
            </w:r>
            <w:r>
              <w:rPr>
                <w:sz w:val="18"/>
                <w:szCs w:val="18"/>
              </w:rPr>
              <w:t xml:space="preserve">, are well educated with high levels of tertiary education and a skilled workforce.  </w:t>
            </w:r>
            <w:r w:rsidRPr="00650B58">
              <w:rPr>
                <w:sz w:val="18"/>
                <w:szCs w:val="18"/>
              </w:rPr>
              <w:t>Average life expectancy is among the highest in the world</w:t>
            </w:r>
            <w:r>
              <w:rPr>
                <w:sz w:val="18"/>
                <w:szCs w:val="18"/>
              </w:rPr>
              <w:t xml:space="preserve">, </w:t>
            </w:r>
            <w:r w:rsidRPr="00650B58">
              <w:rPr>
                <w:sz w:val="18"/>
                <w:szCs w:val="18"/>
              </w:rPr>
              <w:t xml:space="preserve">supported by a </w:t>
            </w:r>
            <w:r>
              <w:rPr>
                <w:sz w:val="18"/>
                <w:szCs w:val="18"/>
              </w:rPr>
              <w:t>capable</w:t>
            </w:r>
            <w:r w:rsidRPr="00650B58">
              <w:rPr>
                <w:sz w:val="18"/>
                <w:szCs w:val="18"/>
              </w:rPr>
              <w:t>, universal healthcare system</w:t>
            </w:r>
            <w:r>
              <w:rPr>
                <w:sz w:val="18"/>
                <w:szCs w:val="18"/>
              </w:rPr>
              <w:t xml:space="preserve">, however large disparities exist for </w:t>
            </w:r>
            <w:r w:rsidR="00DC1C13">
              <w:rPr>
                <w:sz w:val="18"/>
                <w:szCs w:val="18"/>
              </w:rPr>
              <w:t>the indigenous population</w:t>
            </w:r>
            <w:r>
              <w:rPr>
                <w:sz w:val="18"/>
                <w:szCs w:val="18"/>
              </w:rPr>
              <w:t xml:space="preserve">. </w:t>
            </w:r>
            <w:r w:rsidRPr="000B069B">
              <w:rPr>
                <w:sz w:val="18"/>
                <w:szCs w:val="18"/>
              </w:rPr>
              <w:t xml:space="preserve">COVID has placed </w:t>
            </w:r>
            <w:r w:rsidRPr="00B13E26">
              <w:rPr>
                <w:sz w:val="18"/>
                <w:szCs w:val="18"/>
              </w:rPr>
              <w:t>severe strains on hospitals and the health sector, highlighting vulnerabilities and the need for continued public investment to provide</w:t>
            </w:r>
            <w:r>
              <w:rPr>
                <w:sz w:val="18"/>
                <w:szCs w:val="18"/>
              </w:rPr>
              <w:t xml:space="preserve"> </w:t>
            </w:r>
            <w:r w:rsidRPr="00424413">
              <w:rPr>
                <w:sz w:val="18"/>
                <w:szCs w:val="18"/>
              </w:rPr>
              <w:t>ongoing, integrated healthcare for Australia’s rapidly ageing population and for people with long-term conditions.</w:t>
            </w:r>
            <w:r>
              <w:rPr>
                <w:sz w:val="18"/>
                <w:szCs w:val="18"/>
              </w:rPr>
              <w:t xml:space="preserve"> </w:t>
            </w:r>
            <w:r w:rsidRPr="00986094">
              <w:rPr>
                <w:sz w:val="18"/>
                <w:szCs w:val="18"/>
              </w:rPr>
              <w:t xml:space="preserve">Health expenditure is currently spent primarily on the treatment of illness and disease. Investment in prevention needs to be enhanced </w:t>
            </w:r>
            <w:proofErr w:type="gramStart"/>
            <w:r w:rsidRPr="00986094">
              <w:rPr>
                <w:sz w:val="18"/>
                <w:szCs w:val="18"/>
              </w:rPr>
              <w:t>in order to</w:t>
            </w:r>
            <w:proofErr w:type="gramEnd"/>
            <w:r w:rsidRPr="00986094">
              <w:rPr>
                <w:sz w:val="18"/>
                <w:szCs w:val="18"/>
              </w:rPr>
              <w:t xml:space="preserve"> achieve a better balance between treatment and prevention in Australia, as outlined in Australia’s Long Term National Health Plan.</w:t>
            </w:r>
            <w:r>
              <w:rPr>
                <w:sz w:val="18"/>
                <w:szCs w:val="18"/>
              </w:rPr>
              <w:t xml:space="preserve"> </w:t>
            </w:r>
            <w:r w:rsidRPr="001829EC">
              <w:rPr>
                <w:sz w:val="18"/>
                <w:szCs w:val="18"/>
              </w:rPr>
              <w:t>Australia invests relatively little in early childhood education</w:t>
            </w:r>
            <w:r>
              <w:rPr>
                <w:sz w:val="18"/>
                <w:szCs w:val="18"/>
              </w:rPr>
              <w:t xml:space="preserve"> and r</w:t>
            </w:r>
            <w:r w:rsidRPr="001829EC">
              <w:rPr>
                <w:sz w:val="18"/>
                <w:szCs w:val="18"/>
              </w:rPr>
              <w:t>emote and disadvantaged communities face significant access and quality gaps.</w:t>
            </w:r>
            <w:r>
              <w:rPr>
                <w:sz w:val="18"/>
                <w:szCs w:val="18"/>
              </w:rPr>
              <w:t xml:space="preserve"> </w:t>
            </w:r>
            <w:r w:rsidRPr="00E147D7">
              <w:rPr>
                <w:sz w:val="18"/>
                <w:szCs w:val="18"/>
              </w:rPr>
              <w:t xml:space="preserve">Australia is particularly vulnerable to the impacts of climate change and is on a path towards more frequent, </w:t>
            </w:r>
            <w:proofErr w:type="gramStart"/>
            <w:r w:rsidRPr="00E147D7">
              <w:rPr>
                <w:sz w:val="18"/>
                <w:szCs w:val="18"/>
              </w:rPr>
              <w:t>severe</w:t>
            </w:r>
            <w:proofErr w:type="gramEnd"/>
            <w:r w:rsidRPr="00E147D7">
              <w:rPr>
                <w:sz w:val="18"/>
                <w:szCs w:val="18"/>
              </w:rPr>
              <w:t xml:space="preserve"> and prolonged droughts, heatwaves, floods and bushfires. Costs associated with recent disasters have escalated rapidly, requiring strong action on climate change and strategic investments in adaptation and resilience. </w:t>
            </w:r>
            <w:r w:rsidR="009B5A1A">
              <w:rPr>
                <w:sz w:val="18"/>
                <w:szCs w:val="18"/>
              </w:rPr>
              <w:t xml:space="preserve">Securing </w:t>
            </w:r>
            <w:r w:rsidR="00597E42">
              <w:rPr>
                <w:sz w:val="18"/>
                <w:szCs w:val="18"/>
              </w:rPr>
              <w:t xml:space="preserve">sustainable public health financing is challenging </w:t>
            </w:r>
            <w:proofErr w:type="gramStart"/>
            <w:r w:rsidR="00597E42">
              <w:rPr>
                <w:sz w:val="18"/>
                <w:szCs w:val="18"/>
              </w:rPr>
              <w:t>as a result of</w:t>
            </w:r>
            <w:proofErr w:type="gramEnd"/>
            <w:r w:rsidR="00597E42">
              <w:rPr>
                <w:sz w:val="18"/>
                <w:szCs w:val="18"/>
              </w:rPr>
              <w:t xml:space="preserve"> increased government debt and declining revenues which create a structural deficit. </w:t>
            </w:r>
            <w:r w:rsidR="009B5A1A">
              <w:rPr>
                <w:sz w:val="18"/>
                <w:szCs w:val="18"/>
              </w:rPr>
              <w:t xml:space="preserve"> </w:t>
            </w:r>
            <w:r w:rsidR="00770425">
              <w:rPr>
                <w:sz w:val="18"/>
                <w:szCs w:val="18"/>
              </w:rPr>
              <w:t>Political conflicts remain unresolved</w:t>
            </w:r>
            <w:r w:rsidR="00CE39BE">
              <w:rPr>
                <w:sz w:val="18"/>
                <w:szCs w:val="18"/>
              </w:rPr>
              <w:t xml:space="preserve"> around the privatisation </w:t>
            </w:r>
            <w:r w:rsidR="00770425">
              <w:rPr>
                <w:sz w:val="18"/>
                <w:szCs w:val="18"/>
              </w:rPr>
              <w:t xml:space="preserve">or adequate government financing of public services and assets. </w:t>
            </w:r>
          </w:p>
          <w:p w14:paraId="14A93CB7" w14:textId="77777777" w:rsidR="00FD55A5" w:rsidRDefault="00FD55A5" w:rsidP="007F346F">
            <w:pPr>
              <w:rPr>
                <w:sz w:val="18"/>
                <w:szCs w:val="18"/>
              </w:rPr>
            </w:pPr>
          </w:p>
          <w:p w14:paraId="3B8AF5D9" w14:textId="77777777" w:rsidR="00FD55A5" w:rsidRPr="00E147D7" w:rsidRDefault="00FD55A5" w:rsidP="007F346F">
            <w:pPr>
              <w:rPr>
                <w:b/>
                <w:bCs/>
                <w:sz w:val="18"/>
                <w:szCs w:val="18"/>
              </w:rPr>
            </w:pPr>
            <w:r>
              <w:rPr>
                <w:b/>
                <w:bCs/>
                <w:sz w:val="18"/>
                <w:szCs w:val="18"/>
              </w:rPr>
              <w:t>Transformation Bottlenecks</w:t>
            </w:r>
          </w:p>
          <w:p w14:paraId="5D06569A" w14:textId="1C436F49" w:rsidR="00FD55A5" w:rsidRPr="002A7BC6" w:rsidRDefault="00FD55A5" w:rsidP="00FD55A5">
            <w:pPr>
              <w:pStyle w:val="ListParagraph"/>
              <w:numPr>
                <w:ilvl w:val="0"/>
                <w:numId w:val="7"/>
              </w:numPr>
              <w:rPr>
                <w:sz w:val="18"/>
                <w:szCs w:val="18"/>
                <w:lang w:val="en-AU"/>
              </w:rPr>
            </w:pPr>
            <w:r w:rsidRPr="002A7BC6">
              <w:rPr>
                <w:b/>
                <w:bCs/>
                <w:sz w:val="18"/>
                <w:szCs w:val="18"/>
                <w:lang w:val="en-AU"/>
              </w:rPr>
              <w:t>Techno-economic:</w:t>
            </w:r>
            <w:r w:rsidRPr="002A7BC6">
              <w:rPr>
                <w:sz w:val="18"/>
                <w:szCs w:val="18"/>
                <w:lang w:val="en-AU"/>
              </w:rPr>
              <w:t xml:space="preserve"> new technologies and treatments face higher upfront costs to governments and the public, or require access to devices, digital literacy and supporting infrastructure. Existing investments in infrastructure, technologies and assets reflect a long chain of decisions and balancing of interests across many generations which may amplify vulnerability to disasters and risks but are difficult to change.  </w:t>
            </w:r>
          </w:p>
          <w:p w14:paraId="57354ACE" w14:textId="413257B2" w:rsidR="00FD55A5" w:rsidRPr="002A7BC6" w:rsidRDefault="00FD55A5" w:rsidP="00FD55A5">
            <w:pPr>
              <w:pStyle w:val="ListParagraph"/>
              <w:numPr>
                <w:ilvl w:val="0"/>
                <w:numId w:val="7"/>
              </w:numPr>
              <w:rPr>
                <w:sz w:val="18"/>
                <w:szCs w:val="18"/>
                <w:lang w:val="en-AU"/>
              </w:rPr>
            </w:pPr>
            <w:r w:rsidRPr="002A7BC6">
              <w:rPr>
                <w:b/>
                <w:bCs/>
                <w:sz w:val="18"/>
                <w:szCs w:val="18"/>
                <w:lang w:val="en-AU"/>
              </w:rPr>
              <w:t>Socio-behavioural</w:t>
            </w:r>
            <w:r w:rsidRPr="002A7BC6">
              <w:rPr>
                <w:sz w:val="18"/>
                <w:szCs w:val="18"/>
                <w:lang w:val="en-AU"/>
              </w:rPr>
              <w:t>: lifestyles that encourage unhealth</w:t>
            </w:r>
            <w:r w:rsidR="00FC5E9F">
              <w:rPr>
                <w:sz w:val="18"/>
                <w:szCs w:val="18"/>
                <w:lang w:val="en-AU"/>
              </w:rPr>
              <w:t>y</w:t>
            </w:r>
            <w:r w:rsidRPr="002A7BC6">
              <w:rPr>
                <w:sz w:val="18"/>
                <w:szCs w:val="18"/>
                <w:lang w:val="en-AU"/>
              </w:rPr>
              <w:t xml:space="preserve"> behaviours including fast food, alcohol consumption, sedentary daily routines, </w:t>
            </w:r>
            <w:r w:rsidR="00F26840">
              <w:rPr>
                <w:sz w:val="18"/>
                <w:szCs w:val="18"/>
                <w:lang w:val="en-AU"/>
              </w:rPr>
              <w:t xml:space="preserve">or </w:t>
            </w:r>
            <w:r w:rsidRPr="002A7BC6">
              <w:rPr>
                <w:sz w:val="18"/>
                <w:szCs w:val="18"/>
                <w:lang w:val="en-AU"/>
              </w:rPr>
              <w:t>smoking; privacy concerns</w:t>
            </w:r>
            <w:r w:rsidR="007F065F">
              <w:rPr>
                <w:sz w:val="18"/>
                <w:szCs w:val="18"/>
                <w:lang w:val="en-AU"/>
              </w:rPr>
              <w:t xml:space="preserve">, beliefs and norms regarding </w:t>
            </w:r>
            <w:r w:rsidRPr="002A7BC6">
              <w:rPr>
                <w:sz w:val="18"/>
                <w:szCs w:val="18"/>
                <w:lang w:val="en-AU"/>
              </w:rPr>
              <w:t>new technologies and data collection</w:t>
            </w:r>
            <w:r w:rsidR="00F26840">
              <w:rPr>
                <w:sz w:val="18"/>
                <w:szCs w:val="18"/>
                <w:lang w:val="en-AU"/>
              </w:rPr>
              <w:t xml:space="preserve"> may limit </w:t>
            </w:r>
            <w:r w:rsidR="007F065F">
              <w:rPr>
                <w:sz w:val="18"/>
                <w:szCs w:val="18"/>
                <w:lang w:val="en-AU"/>
              </w:rPr>
              <w:t>uptake of</w:t>
            </w:r>
            <w:r w:rsidR="00F26840">
              <w:rPr>
                <w:sz w:val="18"/>
                <w:szCs w:val="18"/>
                <w:lang w:val="en-AU"/>
              </w:rPr>
              <w:t xml:space="preserve"> new practices and </w:t>
            </w:r>
            <w:r w:rsidR="007F065F">
              <w:rPr>
                <w:sz w:val="18"/>
                <w:szCs w:val="18"/>
                <w:lang w:val="en-AU"/>
              </w:rPr>
              <w:t xml:space="preserve">emerging </w:t>
            </w:r>
            <w:r w:rsidR="00F26840">
              <w:rPr>
                <w:sz w:val="18"/>
                <w:szCs w:val="18"/>
                <w:lang w:val="en-AU"/>
              </w:rPr>
              <w:t>technologies</w:t>
            </w:r>
            <w:r w:rsidRPr="002A7BC6">
              <w:rPr>
                <w:sz w:val="18"/>
                <w:szCs w:val="18"/>
                <w:lang w:val="en-AU"/>
              </w:rPr>
              <w:t xml:space="preserve">.  </w:t>
            </w:r>
          </w:p>
          <w:p w14:paraId="32839A27" w14:textId="77777777" w:rsidR="00FD55A5" w:rsidRPr="002A7BC6" w:rsidRDefault="00FD55A5" w:rsidP="00FD55A5">
            <w:pPr>
              <w:pStyle w:val="ListParagraph"/>
              <w:numPr>
                <w:ilvl w:val="0"/>
                <w:numId w:val="7"/>
              </w:numPr>
              <w:rPr>
                <w:sz w:val="18"/>
                <w:szCs w:val="18"/>
              </w:rPr>
            </w:pPr>
            <w:r w:rsidRPr="002A7BC6">
              <w:rPr>
                <w:b/>
                <w:bCs/>
                <w:sz w:val="18"/>
                <w:szCs w:val="18"/>
                <w:lang w:val="en-AU"/>
              </w:rPr>
              <w:t>Political-institutional</w:t>
            </w:r>
            <w:r w:rsidRPr="002A7BC6">
              <w:rPr>
                <w:sz w:val="18"/>
                <w:szCs w:val="18"/>
                <w:lang w:val="en-AU"/>
              </w:rPr>
              <w:t xml:space="preserve">: coordination across federal and state jurisdictions and responsibilities; sustainable public health financing in the context of an aging population, high levels of government debt and pressure on governments to undertake budget repair; preventative measures or shifting public investment to lower socio-economic recipients may face strong opposition from existing lobbies including firms selling alcohol, </w:t>
            </w:r>
            <w:proofErr w:type="gramStart"/>
            <w:r w:rsidRPr="002A7BC6">
              <w:rPr>
                <w:sz w:val="18"/>
                <w:szCs w:val="18"/>
                <w:lang w:val="en-AU"/>
              </w:rPr>
              <w:t>tobacco</w:t>
            </w:r>
            <w:proofErr w:type="gramEnd"/>
            <w:r w:rsidRPr="002A7BC6">
              <w:rPr>
                <w:sz w:val="18"/>
                <w:szCs w:val="18"/>
                <w:lang w:val="en-AU"/>
              </w:rPr>
              <w:t xml:space="preserve"> or gambling or by private education or health operators. </w:t>
            </w:r>
          </w:p>
          <w:p w14:paraId="7DBD916C" w14:textId="77777777" w:rsidR="00FD55A5" w:rsidRPr="002A7BC6" w:rsidRDefault="00FD55A5" w:rsidP="007F346F">
            <w:pPr>
              <w:rPr>
                <w:sz w:val="18"/>
                <w:szCs w:val="18"/>
              </w:rPr>
            </w:pPr>
          </w:p>
          <w:p w14:paraId="6C80D278" w14:textId="77777777" w:rsidR="00FD55A5" w:rsidRPr="002A7BC6" w:rsidRDefault="00FD55A5" w:rsidP="007F346F">
            <w:pPr>
              <w:rPr>
                <w:b/>
                <w:bCs/>
                <w:sz w:val="18"/>
                <w:szCs w:val="18"/>
              </w:rPr>
            </w:pPr>
            <w:r>
              <w:rPr>
                <w:b/>
                <w:bCs/>
                <w:sz w:val="18"/>
                <w:szCs w:val="18"/>
              </w:rPr>
              <w:t>Positive signs and seeds of change</w:t>
            </w:r>
          </w:p>
          <w:p w14:paraId="251737B6" w14:textId="77777777" w:rsidR="00FD55A5" w:rsidRDefault="00FD55A5" w:rsidP="00FD55A5">
            <w:pPr>
              <w:numPr>
                <w:ilvl w:val="0"/>
                <w:numId w:val="2"/>
              </w:numPr>
              <w:rPr>
                <w:sz w:val="18"/>
                <w:szCs w:val="18"/>
              </w:rPr>
            </w:pPr>
            <w:r>
              <w:rPr>
                <w:sz w:val="18"/>
                <w:szCs w:val="18"/>
              </w:rPr>
              <w:t>I</w:t>
            </w:r>
            <w:r w:rsidRPr="00F20906">
              <w:rPr>
                <w:sz w:val="18"/>
                <w:szCs w:val="18"/>
              </w:rPr>
              <w:t>mproved coordination across jurisdictions for the vaccine rollout and preparing hospitals for the pandemic.</w:t>
            </w:r>
          </w:p>
          <w:p w14:paraId="06C10D2C" w14:textId="55FD5949" w:rsidR="00FD55A5" w:rsidRPr="00F20906" w:rsidRDefault="00FD55A5" w:rsidP="00FD55A5">
            <w:pPr>
              <w:numPr>
                <w:ilvl w:val="0"/>
                <w:numId w:val="2"/>
              </w:numPr>
              <w:rPr>
                <w:sz w:val="18"/>
                <w:szCs w:val="18"/>
              </w:rPr>
            </w:pPr>
            <w:r w:rsidRPr="00F20906">
              <w:rPr>
                <w:sz w:val="18"/>
                <w:szCs w:val="18"/>
              </w:rPr>
              <w:t>Increased access to vocational training through Job Maker Program and additional research funding during COVID</w:t>
            </w:r>
            <w:r w:rsidR="00C62558">
              <w:rPr>
                <w:sz w:val="18"/>
                <w:szCs w:val="18"/>
              </w:rPr>
              <w:t>.</w:t>
            </w:r>
          </w:p>
          <w:p w14:paraId="37231279" w14:textId="36C64DC2" w:rsidR="00FD55A5" w:rsidRDefault="00FD55A5" w:rsidP="00FD55A5">
            <w:pPr>
              <w:numPr>
                <w:ilvl w:val="0"/>
                <w:numId w:val="2"/>
              </w:numPr>
              <w:rPr>
                <w:sz w:val="18"/>
                <w:szCs w:val="18"/>
              </w:rPr>
            </w:pPr>
            <w:r>
              <w:rPr>
                <w:sz w:val="18"/>
                <w:szCs w:val="18"/>
              </w:rPr>
              <w:t>R</w:t>
            </w:r>
            <w:r w:rsidRPr="00F20906">
              <w:rPr>
                <w:sz w:val="18"/>
                <w:szCs w:val="18"/>
              </w:rPr>
              <w:t>ecent announcements for new Investments in aged care</w:t>
            </w:r>
            <w:r>
              <w:rPr>
                <w:sz w:val="18"/>
                <w:szCs w:val="18"/>
              </w:rPr>
              <w:t>, early childhood education, childcare and in</w:t>
            </w:r>
            <w:r w:rsidR="009F3DA8">
              <w:rPr>
                <w:sz w:val="18"/>
                <w:szCs w:val="18"/>
              </w:rPr>
              <w:t xml:space="preserve"> building</w:t>
            </w:r>
            <w:r>
              <w:rPr>
                <w:sz w:val="18"/>
                <w:szCs w:val="18"/>
              </w:rPr>
              <w:t xml:space="preserve"> resilience</w:t>
            </w:r>
            <w:r w:rsidR="009F3DA8">
              <w:rPr>
                <w:sz w:val="18"/>
                <w:szCs w:val="18"/>
              </w:rPr>
              <w:t xml:space="preserve"> to future shocks</w:t>
            </w:r>
            <w:r>
              <w:rPr>
                <w:sz w:val="18"/>
                <w:szCs w:val="18"/>
              </w:rPr>
              <w:t>.</w:t>
            </w:r>
          </w:p>
          <w:p w14:paraId="57887C5B" w14:textId="77777777" w:rsidR="00FD55A5" w:rsidRPr="00F20906" w:rsidRDefault="00FD55A5" w:rsidP="00FD55A5">
            <w:pPr>
              <w:numPr>
                <w:ilvl w:val="0"/>
                <w:numId w:val="2"/>
              </w:numPr>
              <w:rPr>
                <w:sz w:val="18"/>
                <w:szCs w:val="18"/>
              </w:rPr>
            </w:pPr>
            <w:r>
              <w:rPr>
                <w:sz w:val="18"/>
                <w:szCs w:val="18"/>
              </w:rPr>
              <w:t xml:space="preserve">Emerging technological innovations including </w:t>
            </w:r>
            <w:r w:rsidRPr="003D5F5B">
              <w:rPr>
                <w:sz w:val="18"/>
                <w:szCs w:val="18"/>
              </w:rPr>
              <w:t xml:space="preserve">telehealth, diagnostic and therapeutic tools, wearable technologies, digital platforms, electronic medical records, flexible working arrangements, video conferencing and online learning.  </w:t>
            </w:r>
          </w:p>
          <w:p w14:paraId="2A178514" w14:textId="77777777" w:rsidR="00FD55A5" w:rsidRDefault="00FD55A5" w:rsidP="00FD55A5">
            <w:pPr>
              <w:numPr>
                <w:ilvl w:val="0"/>
                <w:numId w:val="2"/>
              </w:numPr>
              <w:rPr>
                <w:sz w:val="18"/>
                <w:szCs w:val="18"/>
              </w:rPr>
            </w:pPr>
            <w:r w:rsidRPr="00F20906">
              <w:rPr>
                <w:sz w:val="18"/>
                <w:szCs w:val="18"/>
              </w:rPr>
              <w:lastRenderedPageBreak/>
              <w:t>Public awareness improved through active communication from health officials and chief medical officers</w:t>
            </w:r>
            <w:r>
              <w:rPr>
                <w:sz w:val="18"/>
                <w:szCs w:val="18"/>
              </w:rPr>
              <w:t>.</w:t>
            </w:r>
          </w:p>
          <w:p w14:paraId="635917D2" w14:textId="77777777" w:rsidR="00FD55A5" w:rsidRPr="001A666F" w:rsidRDefault="00FD55A5" w:rsidP="00FD55A5">
            <w:pPr>
              <w:numPr>
                <w:ilvl w:val="0"/>
                <w:numId w:val="2"/>
              </w:numPr>
              <w:rPr>
                <w:sz w:val="18"/>
                <w:szCs w:val="18"/>
              </w:rPr>
            </w:pPr>
            <w:r>
              <w:rPr>
                <w:sz w:val="18"/>
                <w:szCs w:val="18"/>
              </w:rPr>
              <w:t xml:space="preserve">Coalitions built through the development of Australia’s Long-Term National Health Plan, the </w:t>
            </w:r>
            <w:r w:rsidRPr="001A666F">
              <w:rPr>
                <w:sz w:val="18"/>
                <w:szCs w:val="18"/>
              </w:rPr>
              <w:t>National Preventative Health Strategy 2021-2030</w:t>
            </w:r>
            <w:r>
              <w:rPr>
                <w:sz w:val="18"/>
                <w:szCs w:val="18"/>
              </w:rPr>
              <w:t xml:space="preserve">, and Australia’s National Vulnerability Profile. </w:t>
            </w:r>
          </w:p>
          <w:p w14:paraId="6BF3BF09" w14:textId="77777777" w:rsidR="00FD55A5" w:rsidRDefault="00FD55A5" w:rsidP="007F346F">
            <w:pPr>
              <w:rPr>
                <w:sz w:val="18"/>
                <w:szCs w:val="18"/>
              </w:rPr>
            </w:pPr>
          </w:p>
          <w:p w14:paraId="00F49DC1" w14:textId="3752A2FC" w:rsidR="00FD55A5" w:rsidRPr="001751FC" w:rsidRDefault="00FD55A5" w:rsidP="007F346F">
            <w:pPr>
              <w:rPr>
                <w:b/>
                <w:bCs/>
                <w:sz w:val="18"/>
                <w:szCs w:val="18"/>
              </w:rPr>
            </w:pPr>
            <w:r>
              <w:rPr>
                <w:b/>
                <w:bCs/>
                <w:sz w:val="18"/>
                <w:szCs w:val="18"/>
              </w:rPr>
              <w:t xml:space="preserve">TP1 Storyline, Enabling </w:t>
            </w:r>
            <w:proofErr w:type="gramStart"/>
            <w:r>
              <w:rPr>
                <w:b/>
                <w:bCs/>
                <w:sz w:val="18"/>
                <w:szCs w:val="18"/>
              </w:rPr>
              <w:t>Conditions</w:t>
            </w:r>
            <w:proofErr w:type="gramEnd"/>
            <w:r>
              <w:rPr>
                <w:b/>
                <w:bCs/>
                <w:sz w:val="18"/>
                <w:szCs w:val="18"/>
              </w:rPr>
              <w:t xml:space="preserve"> and Interventions to Build Back Better</w:t>
            </w:r>
            <w:r w:rsidR="000D2A29">
              <w:rPr>
                <w:b/>
                <w:bCs/>
                <w:sz w:val="18"/>
                <w:szCs w:val="18"/>
              </w:rPr>
              <w:t xml:space="preserve"> through a Sustainable Wellbeing Transformation</w:t>
            </w:r>
          </w:p>
          <w:p w14:paraId="4354B4BA" w14:textId="7DCF0681" w:rsidR="00FD55A5" w:rsidRDefault="00FD55A5" w:rsidP="007F346F">
            <w:pPr>
              <w:rPr>
                <w:sz w:val="18"/>
                <w:szCs w:val="18"/>
              </w:rPr>
            </w:pPr>
            <w:r w:rsidRPr="00715CC9">
              <w:rPr>
                <w:sz w:val="18"/>
                <w:szCs w:val="18"/>
              </w:rPr>
              <w:t xml:space="preserve">The COVID-19 pandemic underscores the importance of having agile and appropriately funded health and education systems which are resilient to shocks including those expected </w:t>
            </w:r>
            <w:r w:rsidR="00DE64CF" w:rsidRPr="00715CC9">
              <w:rPr>
                <w:sz w:val="18"/>
                <w:szCs w:val="18"/>
              </w:rPr>
              <w:t>because of</w:t>
            </w:r>
            <w:r w:rsidRPr="00715CC9">
              <w:rPr>
                <w:sz w:val="18"/>
                <w:szCs w:val="18"/>
              </w:rPr>
              <w:t xml:space="preserve"> climate change.  Health and education systems had to adapt quickly during the pandemic and all levels of government responded by setting up structural changes to the system, including expanding telehealth services, GP-led respiratory clinics, and remote teaching and home-schooling platforms and arrangements. Australians rapidly modified their behaviour too, with handwashing, physical distancing, and self-isolating whilst unwell being instilled into the nation’s approach to everyday life. </w:t>
            </w:r>
            <w:r w:rsidR="00AF43A0">
              <w:rPr>
                <w:sz w:val="18"/>
                <w:szCs w:val="18"/>
              </w:rPr>
              <w:t>Australia has seen one of the highest global rates of vaccination uptake.</w:t>
            </w:r>
            <w:r w:rsidRPr="00715CC9">
              <w:rPr>
                <w:sz w:val="18"/>
                <w:szCs w:val="18"/>
              </w:rPr>
              <w:t xml:space="preserve">  The failures of Australia’s aged care system </w:t>
            </w:r>
            <w:r w:rsidR="00AF43A0">
              <w:rPr>
                <w:sz w:val="18"/>
                <w:szCs w:val="18"/>
              </w:rPr>
              <w:t>were also</w:t>
            </w:r>
            <w:r w:rsidRPr="00715CC9">
              <w:rPr>
                <w:sz w:val="18"/>
                <w:szCs w:val="18"/>
              </w:rPr>
              <w:t xml:space="preserve"> brought into focus, resulting in </w:t>
            </w:r>
            <w:r w:rsidR="000E719F">
              <w:rPr>
                <w:sz w:val="18"/>
                <w:szCs w:val="18"/>
              </w:rPr>
              <w:t xml:space="preserve">recent announcements of </w:t>
            </w:r>
            <w:r w:rsidRPr="00715CC9">
              <w:rPr>
                <w:sz w:val="18"/>
                <w:szCs w:val="18"/>
              </w:rPr>
              <w:t xml:space="preserve">major reforms to the aged care system. </w:t>
            </w:r>
          </w:p>
          <w:p w14:paraId="1B1A16BE" w14:textId="77777777" w:rsidR="006516BB" w:rsidRDefault="006516BB" w:rsidP="007F346F">
            <w:pPr>
              <w:rPr>
                <w:sz w:val="18"/>
                <w:szCs w:val="18"/>
              </w:rPr>
            </w:pPr>
          </w:p>
          <w:p w14:paraId="37FC742F" w14:textId="6940C3C2" w:rsidR="00FD55A5" w:rsidRPr="0054073B" w:rsidRDefault="0050247E" w:rsidP="007F346F">
            <w:pPr>
              <w:rPr>
                <w:sz w:val="18"/>
                <w:szCs w:val="18"/>
              </w:rPr>
            </w:pPr>
            <w:r>
              <w:rPr>
                <w:sz w:val="18"/>
                <w:szCs w:val="18"/>
              </w:rPr>
              <w:t xml:space="preserve">Following the immediate emergency health response, </w:t>
            </w:r>
            <w:r w:rsidR="005E5CE4">
              <w:rPr>
                <w:sz w:val="18"/>
                <w:szCs w:val="18"/>
              </w:rPr>
              <w:t xml:space="preserve">governments and societal actors </w:t>
            </w:r>
            <w:r w:rsidR="00EC4726">
              <w:rPr>
                <w:sz w:val="18"/>
                <w:szCs w:val="18"/>
              </w:rPr>
              <w:t>commit to upgrading Australia’s health and education systems to build back better and ensure that Australia is well-placed to</w:t>
            </w:r>
            <w:r w:rsidR="00D6639E">
              <w:rPr>
                <w:sz w:val="18"/>
                <w:szCs w:val="18"/>
              </w:rPr>
              <w:t xml:space="preserve"> respond to future shocks. </w:t>
            </w:r>
            <w:r w:rsidR="00DC747F">
              <w:rPr>
                <w:sz w:val="18"/>
                <w:szCs w:val="18"/>
              </w:rPr>
              <w:t xml:space="preserve"> </w:t>
            </w:r>
            <w:r w:rsidR="00065918">
              <w:rPr>
                <w:sz w:val="18"/>
                <w:szCs w:val="18"/>
              </w:rPr>
              <w:t>Acute public awareness of the health and education system failings</w:t>
            </w:r>
            <w:r w:rsidR="00635AE7">
              <w:rPr>
                <w:sz w:val="18"/>
                <w:szCs w:val="18"/>
              </w:rPr>
              <w:t xml:space="preserve"> and the need for </w:t>
            </w:r>
            <w:r w:rsidR="001C51EA">
              <w:rPr>
                <w:sz w:val="18"/>
                <w:szCs w:val="18"/>
              </w:rPr>
              <w:t xml:space="preserve">investment in these critical public assets </w:t>
            </w:r>
            <w:r w:rsidR="003A53F2">
              <w:rPr>
                <w:sz w:val="18"/>
                <w:szCs w:val="18"/>
              </w:rPr>
              <w:t>create</w:t>
            </w:r>
            <w:r w:rsidR="001C51EA">
              <w:rPr>
                <w:sz w:val="18"/>
                <w:szCs w:val="18"/>
              </w:rPr>
              <w:t>s</w:t>
            </w:r>
            <w:r w:rsidR="003A53F2">
              <w:rPr>
                <w:sz w:val="18"/>
                <w:szCs w:val="18"/>
              </w:rPr>
              <w:t xml:space="preserve"> the conditions for additional government investment </w:t>
            </w:r>
            <w:r w:rsidR="001C51EA">
              <w:rPr>
                <w:sz w:val="18"/>
                <w:szCs w:val="18"/>
              </w:rPr>
              <w:t>and</w:t>
            </w:r>
            <w:r w:rsidR="003A53F2">
              <w:rPr>
                <w:sz w:val="18"/>
                <w:szCs w:val="18"/>
              </w:rPr>
              <w:t xml:space="preserve"> reforms. </w:t>
            </w:r>
            <w:r w:rsidR="00BB643F" w:rsidRPr="0054073B">
              <w:rPr>
                <w:sz w:val="18"/>
                <w:szCs w:val="18"/>
              </w:rPr>
              <w:t>A systems-based approach is adopted by public administrators</w:t>
            </w:r>
            <w:r w:rsidR="00032ADF">
              <w:rPr>
                <w:sz w:val="18"/>
                <w:szCs w:val="18"/>
              </w:rPr>
              <w:t xml:space="preserve"> using the SDGs as a roadmap</w:t>
            </w:r>
            <w:r w:rsidR="00BB643F" w:rsidRPr="0054073B">
              <w:rPr>
                <w:sz w:val="18"/>
                <w:szCs w:val="18"/>
              </w:rPr>
              <w:t>, with funding rebalanced towards encouraging health</w:t>
            </w:r>
            <w:r w:rsidR="00BB643F">
              <w:rPr>
                <w:sz w:val="18"/>
                <w:szCs w:val="18"/>
              </w:rPr>
              <w:t>y</w:t>
            </w:r>
            <w:r w:rsidR="00BB643F" w:rsidRPr="0054073B">
              <w:rPr>
                <w:sz w:val="18"/>
                <w:szCs w:val="18"/>
              </w:rPr>
              <w:t xml:space="preserve"> lifestyles, providing the best start in life for children, addressing inequality in health and education systems</w:t>
            </w:r>
            <w:r w:rsidR="00824B13">
              <w:rPr>
                <w:sz w:val="18"/>
                <w:szCs w:val="18"/>
              </w:rPr>
              <w:t>, and building long-term resilience</w:t>
            </w:r>
            <w:r w:rsidR="00BB643F" w:rsidRPr="0054073B">
              <w:rPr>
                <w:sz w:val="18"/>
                <w:szCs w:val="18"/>
              </w:rPr>
              <w:t>.</w:t>
            </w:r>
            <w:r w:rsidR="003A53F2">
              <w:rPr>
                <w:sz w:val="18"/>
                <w:szCs w:val="18"/>
              </w:rPr>
              <w:t xml:space="preserve">  </w:t>
            </w:r>
            <w:r w:rsidR="00FD55A5" w:rsidRPr="0054073B">
              <w:rPr>
                <w:sz w:val="18"/>
                <w:szCs w:val="18"/>
              </w:rPr>
              <w:t>Thanks to changes in the way</w:t>
            </w:r>
            <w:r w:rsidR="00FD55A5">
              <w:rPr>
                <w:sz w:val="18"/>
                <w:szCs w:val="18"/>
              </w:rPr>
              <w:t xml:space="preserve"> that</w:t>
            </w:r>
            <w:r w:rsidR="00FD55A5" w:rsidRPr="0054073B">
              <w:rPr>
                <w:sz w:val="18"/>
                <w:szCs w:val="18"/>
              </w:rPr>
              <w:t xml:space="preserve"> public expenditure </w:t>
            </w:r>
            <w:r w:rsidR="00FD55A5">
              <w:rPr>
                <w:sz w:val="18"/>
                <w:szCs w:val="18"/>
              </w:rPr>
              <w:t xml:space="preserve">is </w:t>
            </w:r>
            <w:r w:rsidR="00FD55A5" w:rsidRPr="0054073B">
              <w:rPr>
                <w:sz w:val="18"/>
                <w:szCs w:val="18"/>
              </w:rPr>
              <w:t>screened and allocated</w:t>
            </w:r>
            <w:r w:rsidR="00FD55A5">
              <w:rPr>
                <w:sz w:val="18"/>
                <w:szCs w:val="18"/>
              </w:rPr>
              <w:t xml:space="preserve"> based on wellbeing</w:t>
            </w:r>
            <w:r w:rsidR="00FD55A5" w:rsidRPr="0054073B">
              <w:rPr>
                <w:sz w:val="18"/>
                <w:szCs w:val="18"/>
              </w:rPr>
              <w:t xml:space="preserve"> (</w:t>
            </w:r>
            <w:r w:rsidR="00FD55A5">
              <w:rPr>
                <w:sz w:val="18"/>
                <w:szCs w:val="18"/>
              </w:rPr>
              <w:t xml:space="preserve">see </w:t>
            </w:r>
            <w:r w:rsidR="00FD55A5" w:rsidRPr="0054073B">
              <w:rPr>
                <w:b/>
                <w:bCs/>
                <w:sz w:val="18"/>
                <w:szCs w:val="18"/>
              </w:rPr>
              <w:t>TP2</w:t>
            </w:r>
            <w:r w:rsidR="00FD55A5" w:rsidRPr="0054073B">
              <w:rPr>
                <w:sz w:val="18"/>
                <w:szCs w:val="18"/>
              </w:rPr>
              <w:t xml:space="preserve">), a health and education equity lens is applied to all major government expenditure in these systems.  </w:t>
            </w:r>
          </w:p>
          <w:p w14:paraId="6B020B9C" w14:textId="77777777" w:rsidR="00FD55A5" w:rsidRDefault="00FD55A5" w:rsidP="007F346F">
            <w:pPr>
              <w:rPr>
                <w:sz w:val="18"/>
                <w:szCs w:val="18"/>
              </w:rPr>
            </w:pPr>
          </w:p>
          <w:p w14:paraId="48844606" w14:textId="7D219462" w:rsidR="00FD55A5" w:rsidRPr="00FD6C3E" w:rsidRDefault="00FD55A5" w:rsidP="007F346F">
            <w:pPr>
              <w:rPr>
                <w:sz w:val="18"/>
                <w:szCs w:val="18"/>
              </w:rPr>
            </w:pPr>
            <w:r>
              <w:rPr>
                <w:sz w:val="18"/>
                <w:szCs w:val="18"/>
              </w:rPr>
              <w:t>This results in a s</w:t>
            </w:r>
            <w:r w:rsidRPr="00816B9B">
              <w:rPr>
                <w:sz w:val="18"/>
                <w:szCs w:val="18"/>
              </w:rPr>
              <w:t>hift from a health system fundamentally focused on the treatment of illness and disease, to one that is more focused on prevention and public health</w:t>
            </w:r>
            <w:r>
              <w:rPr>
                <w:sz w:val="18"/>
                <w:szCs w:val="18"/>
              </w:rPr>
              <w:t xml:space="preserve"> as well as addressing weaknesses in aged care. A </w:t>
            </w:r>
            <w:r w:rsidRPr="00D80E66">
              <w:rPr>
                <w:sz w:val="18"/>
                <w:szCs w:val="18"/>
              </w:rPr>
              <w:t>National Preventative Health Strategy sets clear long-term targets aligned to the SDGs and effectively brings together partners across all levels of government and healthcare providers, professional associations, industry, NGOs</w:t>
            </w:r>
            <w:r>
              <w:rPr>
                <w:sz w:val="18"/>
                <w:szCs w:val="18"/>
              </w:rPr>
              <w:t xml:space="preserve">, First Nations groups, </w:t>
            </w:r>
            <w:r w:rsidRPr="00D80E66">
              <w:rPr>
                <w:sz w:val="18"/>
                <w:szCs w:val="18"/>
              </w:rPr>
              <w:t>and individuals. This builds momentum for change, shifts the narrative towards preventative health, and builds public support for new investment and reforms</w:t>
            </w:r>
            <w:r>
              <w:rPr>
                <w:sz w:val="18"/>
                <w:szCs w:val="18"/>
              </w:rPr>
              <w:t xml:space="preserve"> including in early childhood education. </w:t>
            </w:r>
            <w:r w:rsidRPr="00FD6C3E">
              <w:rPr>
                <w:sz w:val="18"/>
                <w:szCs w:val="18"/>
              </w:rPr>
              <w:t>Rapid scale-up of digital technologies provide greater accessibility to services, including telehealth, diagnostic and therapeutic tools, wearable technologies, digital platforms, electronic medical records, flexible working arrangements</w:t>
            </w:r>
            <w:r>
              <w:rPr>
                <w:sz w:val="18"/>
                <w:szCs w:val="18"/>
              </w:rPr>
              <w:t>, video conferencing and online learning</w:t>
            </w:r>
            <w:r w:rsidRPr="00FD6C3E">
              <w:rPr>
                <w:sz w:val="18"/>
                <w:szCs w:val="18"/>
              </w:rPr>
              <w:t xml:space="preserve">. </w:t>
            </w:r>
            <w:r>
              <w:rPr>
                <w:sz w:val="18"/>
                <w:szCs w:val="18"/>
              </w:rPr>
              <w:t xml:space="preserve"> </w:t>
            </w:r>
            <w:r w:rsidRPr="00FD6C3E">
              <w:rPr>
                <w:sz w:val="18"/>
                <w:szCs w:val="18"/>
              </w:rPr>
              <w:t>Tax reforms (</w:t>
            </w:r>
            <w:r>
              <w:rPr>
                <w:sz w:val="18"/>
                <w:szCs w:val="18"/>
              </w:rPr>
              <w:t>T</w:t>
            </w:r>
            <w:r w:rsidRPr="00FD6C3E">
              <w:rPr>
                <w:b/>
                <w:bCs/>
                <w:sz w:val="18"/>
                <w:szCs w:val="18"/>
              </w:rPr>
              <w:t>P2</w:t>
            </w:r>
            <w:r w:rsidRPr="00FD6C3E">
              <w:rPr>
                <w:sz w:val="18"/>
                <w:szCs w:val="18"/>
              </w:rPr>
              <w:t xml:space="preserve">) provide additional revenue needed for further investments in health and education through until 2030. </w:t>
            </w:r>
          </w:p>
          <w:p w14:paraId="157F32D1" w14:textId="77777777" w:rsidR="00FD55A5" w:rsidRDefault="00FD55A5" w:rsidP="007F346F">
            <w:pPr>
              <w:rPr>
                <w:sz w:val="18"/>
                <w:szCs w:val="18"/>
              </w:rPr>
            </w:pPr>
          </w:p>
          <w:p w14:paraId="4BCD3F36" w14:textId="6CACA925" w:rsidR="00FD55A5" w:rsidRPr="00BA69FC" w:rsidRDefault="00FD55A5" w:rsidP="007F346F">
            <w:pPr>
              <w:rPr>
                <w:sz w:val="18"/>
                <w:szCs w:val="18"/>
              </w:rPr>
            </w:pPr>
            <w:r w:rsidRPr="00BA69FC">
              <w:rPr>
                <w:sz w:val="18"/>
                <w:szCs w:val="18"/>
              </w:rPr>
              <w:t xml:space="preserve">Following major bushfire and flooding events, concerns around climate change vulnerabilities are </w:t>
            </w:r>
            <w:r w:rsidR="005B0821">
              <w:rPr>
                <w:sz w:val="18"/>
                <w:szCs w:val="18"/>
              </w:rPr>
              <w:t xml:space="preserve">also </w:t>
            </w:r>
            <w:r w:rsidRPr="00BA69FC">
              <w:rPr>
                <w:sz w:val="18"/>
                <w:szCs w:val="18"/>
              </w:rPr>
              <w:t xml:space="preserve">elevated providing public support for government investment and action to build resilience. Australians see the growing threat for natural hazards to trigger devastating disasters with escalating impacts and expect the government and all sectors to work together to limit the impacts, </w:t>
            </w:r>
            <w:proofErr w:type="gramStart"/>
            <w:r w:rsidRPr="00BA69FC">
              <w:rPr>
                <w:sz w:val="18"/>
                <w:szCs w:val="18"/>
              </w:rPr>
              <w:t>loss</w:t>
            </w:r>
            <w:proofErr w:type="gramEnd"/>
            <w:r w:rsidRPr="00BA69FC">
              <w:rPr>
                <w:sz w:val="18"/>
                <w:szCs w:val="18"/>
              </w:rPr>
              <w:t xml:space="preserve"> and harm.</w:t>
            </w:r>
            <w:r w:rsidR="000D6A74">
              <w:rPr>
                <w:sz w:val="18"/>
                <w:szCs w:val="18"/>
              </w:rPr>
              <w:t xml:space="preserve"> </w:t>
            </w:r>
            <w:r w:rsidR="000D6A74" w:rsidRPr="00BA69FC">
              <w:rPr>
                <w:sz w:val="18"/>
                <w:szCs w:val="18"/>
              </w:rPr>
              <w:t>Th</w:t>
            </w:r>
            <w:r w:rsidR="000D6A74">
              <w:rPr>
                <w:sz w:val="18"/>
                <w:szCs w:val="18"/>
              </w:rPr>
              <w:t xml:space="preserve">is generates a </w:t>
            </w:r>
            <w:r w:rsidR="000D6A74" w:rsidRPr="00BA69FC">
              <w:rPr>
                <w:sz w:val="18"/>
                <w:szCs w:val="18"/>
              </w:rPr>
              <w:t xml:space="preserve">shift in narrative around systemic vulnerability and resilience and approaches to address disasters.  </w:t>
            </w:r>
            <w:r w:rsidRPr="00BA69FC">
              <w:rPr>
                <w:sz w:val="18"/>
                <w:szCs w:val="18"/>
              </w:rPr>
              <w:t xml:space="preserve"> Building on the momentum gained through the multistakeholder </w:t>
            </w:r>
            <w:r w:rsidRPr="00BA69FC">
              <w:rPr>
                <w:i/>
                <w:iCs/>
                <w:sz w:val="18"/>
                <w:szCs w:val="18"/>
              </w:rPr>
              <w:t xml:space="preserve">Profiling Australia’s Vulnerability </w:t>
            </w:r>
            <w:r w:rsidRPr="00BA69FC">
              <w:rPr>
                <w:sz w:val="18"/>
                <w:szCs w:val="18"/>
              </w:rPr>
              <w:t xml:space="preserve">initiative led by the Australia government, there is greater cooperation </w:t>
            </w:r>
            <w:r w:rsidR="004C3AC9">
              <w:rPr>
                <w:sz w:val="18"/>
                <w:szCs w:val="18"/>
              </w:rPr>
              <w:t xml:space="preserve">among levels of government, </w:t>
            </w:r>
            <w:proofErr w:type="gramStart"/>
            <w:r w:rsidR="004C3AC9">
              <w:rPr>
                <w:sz w:val="18"/>
                <w:szCs w:val="18"/>
              </w:rPr>
              <w:t>business</w:t>
            </w:r>
            <w:proofErr w:type="gramEnd"/>
            <w:r w:rsidR="004C3AC9">
              <w:rPr>
                <w:sz w:val="18"/>
                <w:szCs w:val="18"/>
              </w:rPr>
              <w:t xml:space="preserve"> and societal actors </w:t>
            </w:r>
            <w:r w:rsidRPr="00BA69FC">
              <w:rPr>
                <w:sz w:val="18"/>
                <w:szCs w:val="18"/>
              </w:rPr>
              <w:t xml:space="preserve">to broker knowledge across domains, unify efforts, and do more than change at the margins. </w:t>
            </w:r>
          </w:p>
          <w:p w14:paraId="1BFED8CE" w14:textId="77777777" w:rsidR="00FD55A5" w:rsidRDefault="00FD55A5" w:rsidP="007F346F">
            <w:pPr>
              <w:rPr>
                <w:sz w:val="18"/>
                <w:szCs w:val="18"/>
              </w:rPr>
            </w:pPr>
          </w:p>
          <w:p w14:paraId="1AD016AD" w14:textId="31E6FC25" w:rsidR="00FD55A5" w:rsidRDefault="00FD55A5" w:rsidP="007F346F">
            <w:pPr>
              <w:rPr>
                <w:sz w:val="18"/>
                <w:szCs w:val="18"/>
              </w:rPr>
            </w:pPr>
            <w:r>
              <w:rPr>
                <w:sz w:val="18"/>
                <w:szCs w:val="18"/>
              </w:rPr>
              <w:t xml:space="preserve">In line with this </w:t>
            </w:r>
            <w:r w:rsidR="00595339">
              <w:rPr>
                <w:sz w:val="18"/>
                <w:szCs w:val="18"/>
              </w:rPr>
              <w:t>narrative</w:t>
            </w:r>
            <w:r>
              <w:rPr>
                <w:sz w:val="18"/>
                <w:szCs w:val="18"/>
              </w:rPr>
              <w:t xml:space="preserve">, specific quantitative interventions to support this </w:t>
            </w:r>
            <w:r w:rsidR="00595339">
              <w:rPr>
                <w:sz w:val="18"/>
                <w:szCs w:val="18"/>
              </w:rPr>
              <w:t>TP</w:t>
            </w:r>
            <w:r>
              <w:rPr>
                <w:sz w:val="18"/>
                <w:szCs w:val="18"/>
              </w:rPr>
              <w:t xml:space="preserve"> include additional recovery plan expenditure in health, </w:t>
            </w:r>
            <w:proofErr w:type="gramStart"/>
            <w:r>
              <w:rPr>
                <w:sz w:val="18"/>
                <w:szCs w:val="18"/>
              </w:rPr>
              <w:t>education</w:t>
            </w:r>
            <w:proofErr w:type="gramEnd"/>
            <w:r>
              <w:rPr>
                <w:sz w:val="18"/>
                <w:szCs w:val="18"/>
              </w:rPr>
              <w:t xml:space="preserve"> and climate change adaptation (</w:t>
            </w:r>
            <w:r w:rsidRPr="00C944F0">
              <w:rPr>
                <w:b/>
                <w:bCs/>
                <w:sz w:val="18"/>
                <w:szCs w:val="18"/>
              </w:rPr>
              <w:t xml:space="preserve">Supplementary Table </w:t>
            </w:r>
            <w:r>
              <w:rPr>
                <w:b/>
                <w:bCs/>
                <w:sz w:val="18"/>
                <w:szCs w:val="18"/>
              </w:rPr>
              <w:t>2</w:t>
            </w:r>
            <w:r>
              <w:rPr>
                <w:sz w:val="18"/>
                <w:szCs w:val="18"/>
              </w:rPr>
              <w:t xml:space="preserve">). </w:t>
            </w:r>
          </w:p>
          <w:p w14:paraId="3C02BB65" w14:textId="77777777" w:rsidR="00FD55A5" w:rsidRPr="0084089A" w:rsidRDefault="00FD55A5" w:rsidP="007F346F">
            <w:pPr>
              <w:rPr>
                <w:sz w:val="18"/>
                <w:szCs w:val="18"/>
              </w:rPr>
            </w:pPr>
          </w:p>
        </w:tc>
        <w:tc>
          <w:tcPr>
            <w:tcW w:w="1762" w:type="dxa"/>
          </w:tcPr>
          <w:p w14:paraId="4FDBF5A5" w14:textId="55D13477" w:rsidR="00FD55A5" w:rsidRPr="00D2064B" w:rsidRDefault="00FD55A5" w:rsidP="007F346F">
            <w:pPr>
              <w:rPr>
                <w:sz w:val="18"/>
                <w:szCs w:val="18"/>
              </w:rPr>
            </w:pPr>
            <w:r w:rsidRPr="00D2064B">
              <w:rPr>
                <w:sz w:val="18"/>
                <w:szCs w:val="18"/>
              </w:rPr>
              <w:lastRenderedPageBreak/>
              <w:fldChar w:fldCharType="begin">
                <w:fldData xml:space="preserve">PEVuZE5vdGU+PENpdGU+PEF1dGhvcj5OYXRpb25hbCBSZXNpbGllbmNlIFRhc2tmb3JjZTwvQXV0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</w:fldData>
              </w:fldChar>
            </w:r>
            <w:r w:rsidR="006E27EC">
              <w:rPr>
                <w:sz w:val="18"/>
                <w:szCs w:val="18"/>
              </w:rPr>
              <w:instrText xml:space="preserve"> ADDIN EN.CITE </w:instrText>
            </w:r>
            <w:r w:rsidR="006E27EC">
              <w:rPr>
                <w:sz w:val="18"/>
                <w:szCs w:val="18"/>
              </w:rPr>
              <w:fldChar w:fldCharType="begin">
                <w:fldData xml:space="preserve">PEVuZE5vdGU+PENpdGU+PEF1dGhvcj5OYXRpb25hbCBSZXNpbGllbmNlIFRhc2tmb3JjZTwvQXV0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</w:fldData>
              </w:fldChar>
            </w:r>
            <w:r w:rsidR="006E27EC">
              <w:rPr>
                <w:sz w:val="18"/>
                <w:szCs w:val="18"/>
              </w:rPr>
              <w:instrText xml:space="preserve"> ADDIN EN.CITE.DATA </w:instrText>
            </w:r>
            <w:r w:rsidR="006E27EC">
              <w:rPr>
                <w:sz w:val="18"/>
                <w:szCs w:val="18"/>
              </w:rPr>
            </w:r>
            <w:r w:rsidR="006E27EC">
              <w:rPr>
                <w:sz w:val="18"/>
                <w:szCs w:val="18"/>
              </w:rPr>
              <w:fldChar w:fldCharType="end"/>
            </w:r>
            <w:r w:rsidRPr="00D2064B">
              <w:rPr>
                <w:sz w:val="18"/>
                <w:szCs w:val="18"/>
              </w:rPr>
            </w:r>
            <w:r w:rsidRPr="00D2064B">
              <w:rPr>
                <w:sz w:val="18"/>
                <w:szCs w:val="18"/>
              </w:rPr>
              <w:fldChar w:fldCharType="separate"/>
            </w:r>
            <w:r w:rsidR="006E27EC">
              <w:rPr>
                <w:noProof/>
                <w:sz w:val="18"/>
                <w:szCs w:val="18"/>
              </w:rPr>
              <w:t>(National Resilience Taskforce, 2018, Department of Health, 2021, Allen et al., 2020, Allen et al., 2019, NSW Government, 2022)</w:t>
            </w:r>
            <w:r w:rsidRPr="00D2064B">
              <w:rPr>
                <w:sz w:val="18"/>
                <w:szCs w:val="18"/>
              </w:rPr>
              <w:fldChar w:fldCharType="end"/>
            </w:r>
          </w:p>
        </w:tc>
      </w:tr>
      <w:tr w:rsidR="00FD55A5" w:rsidRPr="0084089A" w14:paraId="04EA9AC4" w14:textId="77777777" w:rsidTr="007F346F">
        <w:tc>
          <w:tcPr>
            <w:tcW w:w="2263" w:type="dxa"/>
          </w:tcPr>
          <w:p w14:paraId="6FFDB9E4" w14:textId="77777777" w:rsidR="00FD55A5" w:rsidRPr="0084089A" w:rsidRDefault="00FD55A5" w:rsidP="007F346F">
            <w:pPr>
              <w:rPr>
                <w:sz w:val="18"/>
                <w:szCs w:val="18"/>
              </w:rPr>
            </w:pPr>
            <w:r w:rsidRPr="0084089A">
              <w:rPr>
                <w:b/>
                <w:bCs/>
                <w:sz w:val="18"/>
                <w:szCs w:val="18"/>
              </w:rPr>
              <w:lastRenderedPageBreak/>
              <w:t>2. Sustainable and just economy</w:t>
            </w:r>
          </w:p>
        </w:tc>
        <w:tc>
          <w:tcPr>
            <w:tcW w:w="9923" w:type="dxa"/>
          </w:tcPr>
          <w:p w14:paraId="73D160A1" w14:textId="77777777" w:rsidR="00FD55A5" w:rsidRPr="00E147D7" w:rsidRDefault="00FD55A5" w:rsidP="007F346F">
            <w:pPr>
              <w:rPr>
                <w:b/>
                <w:bCs/>
                <w:sz w:val="18"/>
                <w:szCs w:val="18"/>
              </w:rPr>
            </w:pPr>
            <w:r w:rsidRPr="00E147D7">
              <w:rPr>
                <w:b/>
                <w:bCs/>
                <w:sz w:val="18"/>
                <w:szCs w:val="18"/>
              </w:rPr>
              <w:t>Progress and Challenges</w:t>
            </w:r>
          </w:p>
          <w:p w14:paraId="4274E39E" w14:textId="28B365DE" w:rsidR="00FD55A5" w:rsidRDefault="00FD55A5" w:rsidP="007F346F">
            <w:pPr>
              <w:rPr>
                <w:sz w:val="18"/>
                <w:szCs w:val="18"/>
              </w:rPr>
            </w:pPr>
            <w:r>
              <w:rPr>
                <w:sz w:val="18"/>
                <w:szCs w:val="18"/>
              </w:rPr>
              <w:t xml:space="preserve">Overall, progress on this transformation is still emerging, particularly in achieving a sustainable economy.  </w:t>
            </w:r>
            <w:r w:rsidRPr="009B5894">
              <w:rPr>
                <w:sz w:val="18"/>
                <w:szCs w:val="18"/>
              </w:rPr>
              <w:t xml:space="preserve">Until COVID-19, Australia enjoyed the longest period of uninterrupted economic growth of any advanced economy. Productivity growth and increased workforce participation of women have supported these gains. Australia is a leader in </w:t>
            </w:r>
            <w:proofErr w:type="gramStart"/>
            <w:r w:rsidRPr="009B5894">
              <w:rPr>
                <w:sz w:val="18"/>
                <w:szCs w:val="18"/>
              </w:rPr>
              <w:t>a number of</w:t>
            </w:r>
            <w:proofErr w:type="gramEnd"/>
            <w:r w:rsidRPr="009B5894">
              <w:rPr>
                <w:sz w:val="18"/>
                <w:szCs w:val="18"/>
              </w:rPr>
              <w:t xml:space="preserve"> industries, such as mining, agriculture, education and health.</w:t>
            </w:r>
            <w:r>
              <w:rPr>
                <w:sz w:val="18"/>
                <w:szCs w:val="18"/>
              </w:rPr>
              <w:t xml:space="preserve">  </w:t>
            </w:r>
            <w:r w:rsidRPr="006E14F2">
              <w:rPr>
                <w:sz w:val="18"/>
                <w:szCs w:val="18"/>
              </w:rPr>
              <w:t>Despite these strengths, poverty rates remain stubbornly high and increased slightly in recent years (&gt;13%)</w:t>
            </w:r>
            <w:r>
              <w:rPr>
                <w:sz w:val="18"/>
                <w:szCs w:val="18"/>
              </w:rPr>
              <w:t xml:space="preserve">, as social transfers (Newstart) have fallen below the poverty line, leading to growing inequality.  </w:t>
            </w:r>
            <w:r w:rsidRPr="000B7C8E">
              <w:rPr>
                <w:sz w:val="18"/>
                <w:szCs w:val="18"/>
              </w:rPr>
              <w:t xml:space="preserve">Income and wealth inequality remain higher than other OECD countries, with the top 20% </w:t>
            </w:r>
            <w:r w:rsidR="00C877E1">
              <w:rPr>
                <w:sz w:val="18"/>
                <w:szCs w:val="18"/>
              </w:rPr>
              <w:t>of</w:t>
            </w:r>
            <w:r w:rsidRPr="000B7C8E">
              <w:rPr>
                <w:sz w:val="18"/>
                <w:szCs w:val="18"/>
              </w:rPr>
              <w:t xml:space="preserve"> income</w:t>
            </w:r>
            <w:r>
              <w:rPr>
                <w:sz w:val="18"/>
                <w:szCs w:val="18"/>
              </w:rPr>
              <w:t xml:space="preserve"> earners</w:t>
            </w:r>
            <w:r w:rsidRPr="000B7C8E">
              <w:rPr>
                <w:sz w:val="18"/>
                <w:szCs w:val="18"/>
              </w:rPr>
              <w:t xml:space="preserve"> receiving just over 40% of total income. While the bottom 20% receive around 8% total income.  </w:t>
            </w:r>
            <w:r>
              <w:rPr>
                <w:sz w:val="18"/>
                <w:szCs w:val="18"/>
              </w:rPr>
              <w:t>Similarly, t</w:t>
            </w:r>
            <w:r w:rsidRPr="000D29BA">
              <w:rPr>
                <w:sz w:val="18"/>
                <w:szCs w:val="18"/>
              </w:rPr>
              <w:t>he top 20% control over 60% of the wealth, while the bottom 20% control less than 1%.</w:t>
            </w:r>
            <w:r>
              <w:rPr>
                <w:sz w:val="18"/>
                <w:szCs w:val="18"/>
              </w:rPr>
              <w:t xml:space="preserve"> </w:t>
            </w:r>
            <w:r w:rsidRPr="00101DEB">
              <w:rPr>
                <w:sz w:val="18"/>
                <w:szCs w:val="18"/>
              </w:rPr>
              <w:t xml:space="preserve">Despite temporary relief </w:t>
            </w:r>
            <w:proofErr w:type="gramStart"/>
            <w:r w:rsidRPr="00101DEB">
              <w:rPr>
                <w:sz w:val="18"/>
                <w:szCs w:val="18"/>
              </w:rPr>
              <w:t>as a result of</w:t>
            </w:r>
            <w:proofErr w:type="gramEnd"/>
            <w:r w:rsidRPr="00101DEB">
              <w:rPr>
                <w:sz w:val="18"/>
                <w:szCs w:val="18"/>
              </w:rPr>
              <w:t xml:space="preserve"> government social transfers, COVID-19 is anticipated to have a mainly negative </w:t>
            </w:r>
            <w:r w:rsidR="00914E7F" w:rsidRPr="00101DEB">
              <w:rPr>
                <w:sz w:val="18"/>
                <w:szCs w:val="18"/>
              </w:rPr>
              <w:t>longer-term</w:t>
            </w:r>
            <w:r w:rsidRPr="00101DEB">
              <w:rPr>
                <w:sz w:val="18"/>
                <w:szCs w:val="18"/>
              </w:rPr>
              <w:t xml:space="preserve"> impact as households have drawn on savings to make it through the crisis, while spiralling cost of living and inflation have placed further pressures, particularly on vulnerable households. </w:t>
            </w:r>
          </w:p>
          <w:p w14:paraId="194D0A3B" w14:textId="77777777" w:rsidR="00FD55A5" w:rsidRDefault="00FD55A5" w:rsidP="007F346F">
            <w:pPr>
              <w:rPr>
                <w:sz w:val="18"/>
                <w:szCs w:val="18"/>
              </w:rPr>
            </w:pPr>
          </w:p>
          <w:p w14:paraId="7346FB3B" w14:textId="5BAA79FC" w:rsidR="00FD55A5" w:rsidRDefault="00FD55A5" w:rsidP="007F346F">
            <w:pPr>
              <w:rPr>
                <w:sz w:val="18"/>
                <w:szCs w:val="18"/>
              </w:rPr>
            </w:pPr>
            <w:r w:rsidRPr="005E6C9A">
              <w:rPr>
                <w:sz w:val="18"/>
                <w:szCs w:val="18"/>
              </w:rPr>
              <w:t>Some of the</w:t>
            </w:r>
            <w:r w:rsidRPr="003B1D20">
              <w:rPr>
                <w:sz w:val="18"/>
                <w:szCs w:val="18"/>
              </w:rPr>
              <w:t xml:space="preserve"> </w:t>
            </w:r>
            <w:r w:rsidRPr="005E6C9A">
              <w:rPr>
                <w:sz w:val="18"/>
                <w:szCs w:val="18"/>
              </w:rPr>
              <w:t>main</w:t>
            </w:r>
            <w:r w:rsidRPr="003B1D20">
              <w:rPr>
                <w:sz w:val="18"/>
                <w:szCs w:val="18"/>
              </w:rPr>
              <w:t xml:space="preserve"> </w:t>
            </w:r>
            <w:r w:rsidRPr="005E6C9A">
              <w:rPr>
                <w:sz w:val="18"/>
                <w:szCs w:val="18"/>
              </w:rPr>
              <w:t>elements of</w:t>
            </w:r>
            <w:r w:rsidRPr="003B1D20">
              <w:rPr>
                <w:sz w:val="18"/>
                <w:szCs w:val="18"/>
              </w:rPr>
              <w:t xml:space="preserve"> </w:t>
            </w:r>
            <w:r w:rsidRPr="005E6C9A">
              <w:rPr>
                <w:sz w:val="18"/>
                <w:szCs w:val="18"/>
              </w:rPr>
              <w:t>Australia’s</w:t>
            </w:r>
            <w:r w:rsidRPr="003B1D20">
              <w:rPr>
                <w:sz w:val="18"/>
                <w:szCs w:val="18"/>
              </w:rPr>
              <w:t xml:space="preserve"> </w:t>
            </w:r>
            <w:r>
              <w:rPr>
                <w:sz w:val="18"/>
                <w:szCs w:val="18"/>
              </w:rPr>
              <w:t xml:space="preserve">economic </w:t>
            </w:r>
            <w:r w:rsidRPr="005E6C9A">
              <w:rPr>
                <w:sz w:val="18"/>
                <w:szCs w:val="18"/>
              </w:rPr>
              <w:t>regime</w:t>
            </w:r>
            <w:r w:rsidRPr="003B1D20">
              <w:rPr>
                <w:sz w:val="18"/>
                <w:szCs w:val="18"/>
              </w:rPr>
              <w:t xml:space="preserve"> </w:t>
            </w:r>
            <w:r w:rsidRPr="005E6C9A">
              <w:rPr>
                <w:sz w:val="18"/>
                <w:szCs w:val="18"/>
              </w:rPr>
              <w:t>have</w:t>
            </w:r>
            <w:r w:rsidRPr="003B1D20">
              <w:rPr>
                <w:sz w:val="18"/>
                <w:szCs w:val="18"/>
              </w:rPr>
              <w:t xml:space="preserve"> </w:t>
            </w:r>
            <w:r w:rsidRPr="005E6C9A">
              <w:rPr>
                <w:sz w:val="18"/>
                <w:szCs w:val="18"/>
              </w:rPr>
              <w:t>been fiscal conservatism, labour</w:t>
            </w:r>
            <w:r w:rsidRPr="003B1D20">
              <w:rPr>
                <w:sz w:val="18"/>
                <w:szCs w:val="18"/>
              </w:rPr>
              <w:t xml:space="preserve"> </w:t>
            </w:r>
            <w:r w:rsidRPr="005E6C9A">
              <w:rPr>
                <w:sz w:val="18"/>
                <w:szCs w:val="18"/>
              </w:rPr>
              <w:t>market deregulation, privatisation of</w:t>
            </w:r>
            <w:r w:rsidRPr="003B1D20">
              <w:rPr>
                <w:sz w:val="18"/>
                <w:szCs w:val="18"/>
              </w:rPr>
              <w:t xml:space="preserve"> </w:t>
            </w:r>
            <w:r w:rsidRPr="005E6C9A">
              <w:rPr>
                <w:sz w:val="18"/>
                <w:szCs w:val="18"/>
              </w:rPr>
              <w:t>state assets, and ‘mutual obligation’ (provision of government</w:t>
            </w:r>
            <w:r w:rsidRPr="003B1D20">
              <w:rPr>
                <w:sz w:val="18"/>
                <w:szCs w:val="18"/>
              </w:rPr>
              <w:t xml:space="preserve"> </w:t>
            </w:r>
            <w:r w:rsidRPr="005E6C9A">
              <w:rPr>
                <w:sz w:val="18"/>
                <w:szCs w:val="18"/>
              </w:rPr>
              <w:t>funding-support conditional upon recipients being ‘work-ready’). Others include the re-scaling of governance,</w:t>
            </w:r>
            <w:r w:rsidRPr="003B1D20">
              <w:rPr>
                <w:sz w:val="18"/>
                <w:szCs w:val="18"/>
              </w:rPr>
              <w:t xml:space="preserve"> </w:t>
            </w:r>
            <w:r w:rsidRPr="005E6C9A">
              <w:rPr>
                <w:sz w:val="18"/>
                <w:szCs w:val="18"/>
              </w:rPr>
              <w:t>along with changes to state-based regulation aimed at both stimulating</w:t>
            </w:r>
            <w:r w:rsidRPr="003B1D20">
              <w:rPr>
                <w:sz w:val="18"/>
                <w:szCs w:val="18"/>
              </w:rPr>
              <w:t xml:space="preserve"> </w:t>
            </w:r>
            <w:r w:rsidRPr="005E6C9A">
              <w:rPr>
                <w:sz w:val="18"/>
                <w:szCs w:val="18"/>
              </w:rPr>
              <w:t>free trade and extending profit-making opportunities for</w:t>
            </w:r>
            <w:r w:rsidRPr="003B1D20">
              <w:rPr>
                <w:sz w:val="18"/>
                <w:szCs w:val="18"/>
              </w:rPr>
              <w:t xml:space="preserve"> private firms and corporations</w:t>
            </w:r>
            <w:r>
              <w:rPr>
                <w:sz w:val="18"/>
                <w:szCs w:val="18"/>
              </w:rPr>
              <w:t>.</w:t>
            </w:r>
            <w:r w:rsidR="002A2F12">
              <w:rPr>
                <w:sz w:val="18"/>
                <w:szCs w:val="18"/>
              </w:rPr>
              <w:t xml:space="preserve"> However, t</w:t>
            </w:r>
            <w:r w:rsidRPr="002134E9">
              <w:rPr>
                <w:sz w:val="18"/>
                <w:szCs w:val="18"/>
              </w:rPr>
              <w:t xml:space="preserve">he sophistication of Australia’s economy has gone backwards, with investment in </w:t>
            </w:r>
            <w:proofErr w:type="gramStart"/>
            <w:r w:rsidRPr="002134E9">
              <w:rPr>
                <w:sz w:val="18"/>
                <w:szCs w:val="18"/>
              </w:rPr>
              <w:t>knowledge based</w:t>
            </w:r>
            <w:proofErr w:type="gramEnd"/>
            <w:r w:rsidRPr="002134E9">
              <w:rPr>
                <w:sz w:val="18"/>
                <w:szCs w:val="18"/>
              </w:rPr>
              <w:t xml:space="preserve"> capital and support for collaboration well below innovative nations.</w:t>
            </w:r>
            <w:r w:rsidRPr="007448CF">
              <w:rPr>
                <w:sz w:val="18"/>
                <w:szCs w:val="18"/>
              </w:rPr>
              <w:t xml:space="preserve"> </w:t>
            </w:r>
            <w:r w:rsidRPr="002134E9">
              <w:rPr>
                <w:sz w:val="18"/>
                <w:szCs w:val="18"/>
              </w:rPr>
              <w:t>There has been limited diversification of Australia’s economy over the past 15 years. The decarbonisation process that will inevitably be required has proceeded slowly not only in sectors with a high material footprint such as primary resources, but across the board. Alongside poor targeting of infrastructure and innovation policies, Australia’s economy has struggled to seize new opportunities to become more resilient and robust for the future.</w:t>
            </w:r>
            <w:r w:rsidRPr="007448CF">
              <w:rPr>
                <w:sz w:val="18"/>
                <w:szCs w:val="18"/>
              </w:rPr>
              <w:t xml:space="preserve"> </w:t>
            </w:r>
            <w:r w:rsidR="002A2F12">
              <w:rPr>
                <w:sz w:val="18"/>
                <w:szCs w:val="18"/>
              </w:rPr>
              <w:t>For example, m</w:t>
            </w:r>
            <w:r w:rsidRPr="007448CF">
              <w:rPr>
                <w:sz w:val="18"/>
                <w:szCs w:val="18"/>
              </w:rPr>
              <w:t>anufacturing has been in decline in Australia since the early 2000s.</w:t>
            </w:r>
            <w:r>
              <w:rPr>
                <w:sz w:val="18"/>
                <w:szCs w:val="18"/>
              </w:rPr>
              <w:t xml:space="preserve"> </w:t>
            </w:r>
          </w:p>
          <w:p w14:paraId="0521048B" w14:textId="77777777" w:rsidR="00FD55A5" w:rsidRDefault="00FD55A5" w:rsidP="007F346F">
            <w:pPr>
              <w:rPr>
                <w:sz w:val="18"/>
                <w:szCs w:val="18"/>
              </w:rPr>
            </w:pPr>
          </w:p>
          <w:p w14:paraId="5EB7F095" w14:textId="05A11AB9" w:rsidR="00FD55A5" w:rsidRDefault="00FD55A5" w:rsidP="007F346F">
            <w:pPr>
              <w:rPr>
                <w:sz w:val="18"/>
                <w:szCs w:val="18"/>
              </w:rPr>
            </w:pPr>
            <w:r w:rsidRPr="003303A2">
              <w:rPr>
                <w:sz w:val="18"/>
                <w:szCs w:val="18"/>
              </w:rPr>
              <w:t xml:space="preserve">Divisions in the Australia’s economic debate are sharp – between economic growth and wider policy goals, between the profits of businesses and the wages of workers, </w:t>
            </w:r>
            <w:r w:rsidR="002A2F12">
              <w:rPr>
                <w:sz w:val="18"/>
                <w:szCs w:val="18"/>
              </w:rPr>
              <w:t xml:space="preserve">between privatization and public ownership of assets, </w:t>
            </w:r>
            <w:r w:rsidRPr="003303A2">
              <w:rPr>
                <w:sz w:val="18"/>
                <w:szCs w:val="18"/>
              </w:rPr>
              <w:t>and between those benefiting from change in inner cities and those struggling to do so in outer suburbs and regions.</w:t>
            </w:r>
            <w:r>
              <w:rPr>
                <w:sz w:val="18"/>
                <w:szCs w:val="18"/>
              </w:rPr>
              <w:t xml:space="preserve"> </w:t>
            </w:r>
            <w:r w:rsidRPr="003303A2">
              <w:rPr>
                <w:sz w:val="18"/>
                <w:szCs w:val="18"/>
              </w:rPr>
              <w:t>Australia's economic strategy support</w:t>
            </w:r>
            <w:r w:rsidR="005C7440">
              <w:rPr>
                <w:sz w:val="18"/>
                <w:szCs w:val="18"/>
              </w:rPr>
              <w:t>s</w:t>
            </w:r>
            <w:r w:rsidRPr="003303A2">
              <w:rPr>
                <w:sz w:val="18"/>
                <w:szCs w:val="18"/>
              </w:rPr>
              <w:t xml:space="preserve"> a narrow base of today’s economic winners and hoping that market forces alone will see the benefits ‘trickle down’. This approach will not pull enough people, </w:t>
            </w:r>
            <w:proofErr w:type="gramStart"/>
            <w:r w:rsidRPr="003303A2">
              <w:rPr>
                <w:sz w:val="18"/>
                <w:szCs w:val="18"/>
              </w:rPr>
              <w:t>places</w:t>
            </w:r>
            <w:proofErr w:type="gramEnd"/>
            <w:r w:rsidRPr="003303A2">
              <w:rPr>
                <w:sz w:val="18"/>
                <w:szCs w:val="18"/>
              </w:rPr>
              <w:t xml:space="preserve"> and sectors into innovative, higher-value activities.</w:t>
            </w:r>
            <w:r>
              <w:rPr>
                <w:sz w:val="18"/>
                <w:szCs w:val="18"/>
              </w:rPr>
              <w:t xml:space="preserve"> </w:t>
            </w:r>
            <w:r w:rsidRPr="00E1188E">
              <w:rPr>
                <w:sz w:val="18"/>
                <w:szCs w:val="18"/>
              </w:rPr>
              <w:t xml:space="preserve">Australia's economic model is struggling to adapt, as public institutions and leaders seem to have lost the capability to build consensus, drive collaboration and improve outcomes. </w:t>
            </w:r>
            <w:r>
              <w:rPr>
                <w:sz w:val="18"/>
                <w:szCs w:val="18"/>
              </w:rPr>
              <w:t xml:space="preserve"> As a result of its COVID-19 response, government has gone heavily into debt, requiring budget repair in coming years. </w:t>
            </w:r>
            <w:r w:rsidRPr="00D01A26">
              <w:rPr>
                <w:sz w:val="18"/>
                <w:szCs w:val="18"/>
              </w:rPr>
              <w:t xml:space="preserve">Recent proposals and attempts at tax reform have been derailed due to strong opposition </w:t>
            </w:r>
            <w:r>
              <w:rPr>
                <w:sz w:val="18"/>
                <w:szCs w:val="18"/>
              </w:rPr>
              <w:t xml:space="preserve">from incumbents and sectors of the community </w:t>
            </w:r>
            <w:r w:rsidRPr="00D01A26">
              <w:rPr>
                <w:sz w:val="18"/>
                <w:szCs w:val="18"/>
              </w:rPr>
              <w:t>(</w:t>
            </w:r>
            <w:proofErr w:type="gramStart"/>
            <w:r w:rsidRPr="00D01A26">
              <w:rPr>
                <w:sz w:val="18"/>
                <w:szCs w:val="18"/>
              </w:rPr>
              <w:t>e.g.</w:t>
            </w:r>
            <w:proofErr w:type="gramEnd"/>
            <w:r w:rsidRPr="00D01A26">
              <w:rPr>
                <w:sz w:val="18"/>
                <w:szCs w:val="18"/>
              </w:rPr>
              <w:t xml:space="preserve"> mining industry, retirees, investment property owners</w:t>
            </w:r>
            <w:r>
              <w:rPr>
                <w:sz w:val="18"/>
                <w:szCs w:val="18"/>
              </w:rPr>
              <w:t>, media interests</w:t>
            </w:r>
            <w:r w:rsidRPr="00D01A26">
              <w:rPr>
                <w:sz w:val="18"/>
                <w:szCs w:val="18"/>
              </w:rPr>
              <w:t xml:space="preserve"> etc.).</w:t>
            </w:r>
            <w:r>
              <w:rPr>
                <w:sz w:val="18"/>
                <w:szCs w:val="18"/>
              </w:rPr>
              <w:t xml:space="preserve"> </w:t>
            </w:r>
          </w:p>
          <w:p w14:paraId="519564C9" w14:textId="77777777" w:rsidR="00FD55A5" w:rsidRDefault="00FD55A5" w:rsidP="007F346F">
            <w:pPr>
              <w:rPr>
                <w:sz w:val="18"/>
                <w:szCs w:val="18"/>
              </w:rPr>
            </w:pPr>
          </w:p>
          <w:p w14:paraId="6B4858FF" w14:textId="77777777" w:rsidR="00FD55A5" w:rsidRPr="00AA104B" w:rsidRDefault="00FD55A5" w:rsidP="007F346F">
            <w:pPr>
              <w:rPr>
                <w:b/>
                <w:bCs/>
                <w:sz w:val="18"/>
                <w:szCs w:val="18"/>
              </w:rPr>
            </w:pPr>
            <w:r w:rsidRPr="00AA104B">
              <w:rPr>
                <w:b/>
                <w:bCs/>
                <w:sz w:val="18"/>
                <w:szCs w:val="18"/>
              </w:rPr>
              <w:t>Transformation Bottlenecks</w:t>
            </w:r>
          </w:p>
          <w:p w14:paraId="518B10A4" w14:textId="2C2364CE" w:rsidR="00FD55A5" w:rsidRPr="009517C7" w:rsidRDefault="00FD55A5" w:rsidP="00FD55A5">
            <w:pPr>
              <w:numPr>
                <w:ilvl w:val="0"/>
                <w:numId w:val="8"/>
              </w:numPr>
              <w:rPr>
                <w:sz w:val="18"/>
                <w:szCs w:val="18"/>
              </w:rPr>
            </w:pPr>
            <w:r w:rsidRPr="009517C7">
              <w:rPr>
                <w:b/>
                <w:bCs/>
                <w:sz w:val="18"/>
                <w:szCs w:val="18"/>
              </w:rPr>
              <w:t>Techno-economic</w:t>
            </w:r>
            <w:r w:rsidRPr="009517C7">
              <w:rPr>
                <w:sz w:val="18"/>
                <w:szCs w:val="18"/>
              </w:rPr>
              <w:t>: large sunk investments and inertia in existing dominant industries (</w:t>
            </w:r>
            <w:proofErr w:type="spellStart"/>
            <w:r w:rsidRPr="009517C7">
              <w:rPr>
                <w:sz w:val="18"/>
                <w:szCs w:val="18"/>
              </w:rPr>
              <w:t>e.g</w:t>
            </w:r>
            <w:proofErr w:type="spellEnd"/>
            <w:r w:rsidRPr="009517C7">
              <w:rPr>
                <w:sz w:val="18"/>
                <w:szCs w:val="18"/>
              </w:rPr>
              <w:t xml:space="preserve"> </w:t>
            </w:r>
            <w:r w:rsidR="00BB4C61">
              <w:rPr>
                <w:sz w:val="18"/>
                <w:szCs w:val="18"/>
              </w:rPr>
              <w:t>energy and resources</w:t>
            </w:r>
            <w:r w:rsidRPr="009517C7">
              <w:rPr>
                <w:sz w:val="18"/>
                <w:szCs w:val="18"/>
              </w:rPr>
              <w:t xml:space="preserve"> sector</w:t>
            </w:r>
            <w:r w:rsidR="00BB4C61">
              <w:rPr>
                <w:sz w:val="18"/>
                <w:szCs w:val="18"/>
              </w:rPr>
              <w:t>s</w:t>
            </w:r>
            <w:r w:rsidRPr="009517C7">
              <w:rPr>
                <w:sz w:val="18"/>
                <w:szCs w:val="18"/>
              </w:rPr>
              <w:t>) crowd out investment in sustainable industries; continued reliance on fossil fuel energy hampers emergence of new industries (</w:t>
            </w:r>
            <w:proofErr w:type="gramStart"/>
            <w:r w:rsidRPr="009517C7">
              <w:rPr>
                <w:sz w:val="18"/>
                <w:szCs w:val="18"/>
              </w:rPr>
              <w:t>e.g.</w:t>
            </w:r>
            <w:proofErr w:type="gramEnd"/>
            <w:r w:rsidRPr="009517C7">
              <w:rPr>
                <w:sz w:val="18"/>
                <w:szCs w:val="18"/>
              </w:rPr>
              <w:t xml:space="preserve"> </w:t>
            </w:r>
            <w:r w:rsidRPr="009517C7">
              <w:rPr>
                <w:sz w:val="18"/>
                <w:szCs w:val="18"/>
              </w:rPr>
              <w:lastRenderedPageBreak/>
              <w:t>green manufacturing)</w:t>
            </w:r>
            <w:r>
              <w:rPr>
                <w:sz w:val="18"/>
                <w:szCs w:val="18"/>
              </w:rPr>
              <w:t xml:space="preserve">; </w:t>
            </w:r>
            <w:r w:rsidRPr="009517C7">
              <w:rPr>
                <w:sz w:val="18"/>
                <w:szCs w:val="18"/>
              </w:rPr>
              <w:t>gaps in skills/capabilities needed for new or emerging sustainable industries</w:t>
            </w:r>
            <w:r w:rsidR="00F266EE">
              <w:rPr>
                <w:sz w:val="18"/>
                <w:szCs w:val="18"/>
              </w:rPr>
              <w:t>; lower return on investment for sustainable alternatives inhibit</w:t>
            </w:r>
            <w:r w:rsidR="00FB5A1B">
              <w:rPr>
                <w:sz w:val="18"/>
                <w:szCs w:val="18"/>
              </w:rPr>
              <w:t>s the</w:t>
            </w:r>
            <w:r w:rsidR="00F266EE">
              <w:rPr>
                <w:sz w:val="18"/>
                <w:szCs w:val="18"/>
              </w:rPr>
              <w:t xml:space="preserve"> </w:t>
            </w:r>
            <w:r w:rsidR="00663BD4">
              <w:rPr>
                <w:sz w:val="18"/>
                <w:szCs w:val="18"/>
              </w:rPr>
              <w:t xml:space="preserve">scaling up of finance. </w:t>
            </w:r>
          </w:p>
          <w:p w14:paraId="5F0A53E5" w14:textId="77777777" w:rsidR="00FD55A5" w:rsidRDefault="00FD55A5" w:rsidP="00FD55A5">
            <w:pPr>
              <w:numPr>
                <w:ilvl w:val="0"/>
                <w:numId w:val="8"/>
              </w:numPr>
              <w:rPr>
                <w:sz w:val="18"/>
                <w:szCs w:val="18"/>
              </w:rPr>
            </w:pPr>
            <w:r w:rsidRPr="009517C7">
              <w:rPr>
                <w:b/>
                <w:bCs/>
                <w:sz w:val="18"/>
                <w:szCs w:val="18"/>
              </w:rPr>
              <w:t>Socio-behavioural:</w:t>
            </w:r>
            <w:r w:rsidRPr="009517C7">
              <w:rPr>
                <w:sz w:val="18"/>
                <w:szCs w:val="18"/>
              </w:rPr>
              <w:t xml:space="preserve">  highly consumptive lifestyles associated with the pursuit of affluence; Australians are aware of inequality, </w:t>
            </w:r>
            <w:proofErr w:type="gramStart"/>
            <w:r w:rsidRPr="009517C7">
              <w:rPr>
                <w:sz w:val="18"/>
                <w:szCs w:val="18"/>
              </w:rPr>
              <w:t>poverty</w:t>
            </w:r>
            <w:proofErr w:type="gramEnd"/>
            <w:r w:rsidRPr="009517C7">
              <w:rPr>
                <w:sz w:val="18"/>
                <w:szCs w:val="18"/>
              </w:rPr>
              <w:t xml:space="preserve"> and disadvantage however there is less awareness of prevailing institutional arrangements and decision-making processes that lead to these outcomes, and how to address these. </w:t>
            </w:r>
          </w:p>
          <w:p w14:paraId="288FDC16" w14:textId="207C263F" w:rsidR="00FD55A5" w:rsidRPr="00384A30" w:rsidRDefault="00FD55A5" w:rsidP="00FD55A5">
            <w:pPr>
              <w:numPr>
                <w:ilvl w:val="0"/>
                <w:numId w:val="8"/>
              </w:numPr>
              <w:rPr>
                <w:sz w:val="18"/>
                <w:szCs w:val="18"/>
              </w:rPr>
            </w:pPr>
            <w:r w:rsidRPr="00384A30">
              <w:rPr>
                <w:b/>
                <w:bCs/>
                <w:sz w:val="18"/>
                <w:szCs w:val="18"/>
              </w:rPr>
              <w:t>Political-institutional</w:t>
            </w:r>
            <w:r w:rsidRPr="00384A30">
              <w:rPr>
                <w:sz w:val="18"/>
                <w:szCs w:val="18"/>
              </w:rPr>
              <w:t xml:space="preserve">: policy inertia due to powerful industry lobbies (e.g. in energy and resources) with close ties to policy networks which prevent changes to government incentives away from incumbents towards new sectors; the decline of unions in Australia has eroded the capacity for workers to bargain for higher wages; businesses and high-income earners with access to policy makers resist progressive tax reforms intended to favour low income households and adequately finance public services; </w:t>
            </w:r>
            <w:r w:rsidR="00CB32CB">
              <w:rPr>
                <w:sz w:val="18"/>
                <w:szCs w:val="18"/>
              </w:rPr>
              <w:t>resistance to</w:t>
            </w:r>
            <w:r w:rsidRPr="00384A30">
              <w:rPr>
                <w:sz w:val="18"/>
                <w:szCs w:val="18"/>
              </w:rPr>
              <w:t xml:space="preserve"> tax reform </w:t>
            </w:r>
            <w:r w:rsidR="00CB32CB">
              <w:rPr>
                <w:sz w:val="18"/>
                <w:szCs w:val="18"/>
              </w:rPr>
              <w:t>comes from potential ‘losers’</w:t>
            </w:r>
            <w:r w:rsidRPr="00384A30">
              <w:rPr>
                <w:sz w:val="18"/>
                <w:szCs w:val="18"/>
              </w:rPr>
              <w:t xml:space="preserve"> which include businesses, workers, property owners, retirees, shareholders </w:t>
            </w:r>
            <w:r w:rsidR="009E5C83">
              <w:rPr>
                <w:sz w:val="18"/>
                <w:szCs w:val="18"/>
              </w:rPr>
              <w:t xml:space="preserve">etc. </w:t>
            </w:r>
            <w:r w:rsidR="00C41D0A">
              <w:rPr>
                <w:sz w:val="18"/>
                <w:szCs w:val="18"/>
              </w:rPr>
              <w:t>and tax reform becomes</w:t>
            </w:r>
            <w:r w:rsidRPr="00384A30">
              <w:rPr>
                <w:sz w:val="18"/>
                <w:szCs w:val="18"/>
              </w:rPr>
              <w:t xml:space="preserve"> a political landmine and is put into the too-hard basket</w:t>
            </w:r>
            <w:r w:rsidR="00C41D0A">
              <w:rPr>
                <w:sz w:val="18"/>
                <w:szCs w:val="18"/>
              </w:rPr>
              <w:t>.</w:t>
            </w:r>
          </w:p>
          <w:p w14:paraId="31FB0385" w14:textId="77777777" w:rsidR="00FD55A5" w:rsidRDefault="00FD55A5" w:rsidP="007F346F">
            <w:pPr>
              <w:rPr>
                <w:sz w:val="18"/>
                <w:szCs w:val="18"/>
              </w:rPr>
            </w:pPr>
          </w:p>
          <w:p w14:paraId="2081CCFF" w14:textId="77777777" w:rsidR="00FD55A5" w:rsidRPr="00AA104B" w:rsidRDefault="00FD55A5" w:rsidP="007F346F">
            <w:pPr>
              <w:rPr>
                <w:b/>
                <w:bCs/>
                <w:sz w:val="18"/>
                <w:szCs w:val="18"/>
              </w:rPr>
            </w:pPr>
            <w:r w:rsidRPr="00AA104B">
              <w:rPr>
                <w:b/>
                <w:bCs/>
                <w:sz w:val="18"/>
                <w:szCs w:val="18"/>
              </w:rPr>
              <w:t xml:space="preserve">Positive signs and seeds of change </w:t>
            </w:r>
          </w:p>
          <w:p w14:paraId="2EA22609" w14:textId="3A8A17DF" w:rsidR="00FD55A5" w:rsidRPr="00BF0248" w:rsidRDefault="00FD55A5" w:rsidP="00FD55A5">
            <w:pPr>
              <w:pStyle w:val="ListParagraph"/>
              <w:numPr>
                <w:ilvl w:val="0"/>
                <w:numId w:val="8"/>
              </w:numPr>
              <w:rPr>
                <w:sz w:val="18"/>
                <w:szCs w:val="18"/>
                <w:lang w:val="en-AU"/>
              </w:rPr>
            </w:pPr>
            <w:r w:rsidRPr="00C41D0A">
              <w:rPr>
                <w:sz w:val="18"/>
                <w:szCs w:val="18"/>
                <w:lang w:val="en-AU"/>
              </w:rPr>
              <w:t>Proposal</w:t>
            </w:r>
            <w:r w:rsidRPr="00BF0248">
              <w:rPr>
                <w:sz w:val="18"/>
                <w:szCs w:val="18"/>
                <w:lang w:val="en-AU"/>
              </w:rPr>
              <w:t>s at the state and federal levels to establish wellbeing budgets, building o</w:t>
            </w:r>
            <w:r w:rsidR="00C41D0A">
              <w:rPr>
                <w:sz w:val="18"/>
                <w:szCs w:val="18"/>
                <w:lang w:val="en-AU"/>
              </w:rPr>
              <w:t>n</w:t>
            </w:r>
            <w:r w:rsidRPr="00BF0248">
              <w:rPr>
                <w:sz w:val="18"/>
                <w:szCs w:val="18"/>
                <w:lang w:val="en-AU"/>
              </w:rPr>
              <w:t xml:space="preserve"> the New Zealand experience</w:t>
            </w:r>
          </w:p>
          <w:p w14:paraId="2830A44C" w14:textId="77777777" w:rsidR="00070273" w:rsidRDefault="00FD55A5" w:rsidP="00FD55A5">
            <w:pPr>
              <w:pStyle w:val="ListParagraph"/>
              <w:numPr>
                <w:ilvl w:val="0"/>
                <w:numId w:val="8"/>
              </w:numPr>
              <w:rPr>
                <w:sz w:val="18"/>
                <w:szCs w:val="18"/>
                <w:lang w:val="en-AU"/>
              </w:rPr>
            </w:pPr>
            <w:r w:rsidRPr="00BF0248">
              <w:rPr>
                <w:sz w:val="18"/>
                <w:szCs w:val="18"/>
                <w:lang w:val="en-AU"/>
              </w:rPr>
              <w:t xml:space="preserve">Recent successes in reconciling contrasting priorities among the business community, governments and union movement including through the Jobs Summit, industrial </w:t>
            </w:r>
            <w:proofErr w:type="gramStart"/>
            <w:r w:rsidRPr="00BF0248">
              <w:rPr>
                <w:sz w:val="18"/>
                <w:szCs w:val="18"/>
                <w:lang w:val="en-AU"/>
              </w:rPr>
              <w:t>relations</w:t>
            </w:r>
            <w:proofErr w:type="gramEnd"/>
            <w:r w:rsidRPr="00BF0248">
              <w:rPr>
                <w:sz w:val="18"/>
                <w:szCs w:val="18"/>
                <w:lang w:val="en-AU"/>
              </w:rPr>
              <w:t xml:space="preserve"> and minimum wages, and legislated and more ambitious climate targets</w:t>
            </w:r>
            <w:r w:rsidR="00070273">
              <w:rPr>
                <w:sz w:val="18"/>
                <w:szCs w:val="18"/>
                <w:lang w:val="en-AU"/>
              </w:rPr>
              <w:t>.</w:t>
            </w:r>
          </w:p>
          <w:p w14:paraId="1D99E11E" w14:textId="74B8B57D" w:rsidR="00FD55A5" w:rsidRPr="00BF0248" w:rsidRDefault="00070273" w:rsidP="00FD55A5">
            <w:pPr>
              <w:pStyle w:val="ListParagraph"/>
              <w:numPr>
                <w:ilvl w:val="0"/>
                <w:numId w:val="8"/>
              </w:numPr>
              <w:rPr>
                <w:sz w:val="18"/>
                <w:szCs w:val="18"/>
                <w:lang w:val="en-AU"/>
              </w:rPr>
            </w:pPr>
            <w:r>
              <w:rPr>
                <w:sz w:val="18"/>
                <w:szCs w:val="18"/>
                <w:lang w:val="en-AU"/>
              </w:rPr>
              <w:t xml:space="preserve">A </w:t>
            </w:r>
            <w:r w:rsidR="00C41D0A">
              <w:rPr>
                <w:sz w:val="18"/>
                <w:szCs w:val="18"/>
                <w:lang w:val="en-AU"/>
              </w:rPr>
              <w:t>proposed</w:t>
            </w:r>
            <w:r>
              <w:rPr>
                <w:sz w:val="18"/>
                <w:szCs w:val="18"/>
                <w:lang w:val="en-AU"/>
              </w:rPr>
              <w:t xml:space="preserve"> Revenue Summit to bring actors together to discuss tax reform. </w:t>
            </w:r>
            <w:r w:rsidR="00FD55A5" w:rsidRPr="00BF0248">
              <w:rPr>
                <w:sz w:val="18"/>
                <w:szCs w:val="18"/>
                <w:lang w:val="en-AU"/>
              </w:rPr>
              <w:t xml:space="preserve"> </w:t>
            </w:r>
          </w:p>
          <w:p w14:paraId="335DF811" w14:textId="391FF907" w:rsidR="00FD55A5" w:rsidRPr="00BF0248" w:rsidRDefault="00FD55A5" w:rsidP="00FD55A5">
            <w:pPr>
              <w:pStyle w:val="ListParagraph"/>
              <w:numPr>
                <w:ilvl w:val="0"/>
                <w:numId w:val="8"/>
              </w:numPr>
              <w:rPr>
                <w:sz w:val="18"/>
                <w:szCs w:val="18"/>
                <w:lang w:val="en-AU"/>
              </w:rPr>
            </w:pPr>
            <w:r w:rsidRPr="00BF0248">
              <w:rPr>
                <w:sz w:val="18"/>
                <w:szCs w:val="18"/>
                <w:lang w:val="en-AU"/>
              </w:rPr>
              <w:t>Emerging technologies such as green hydrogen and green manufacturing</w:t>
            </w:r>
            <w:r w:rsidR="00025EA3">
              <w:rPr>
                <w:sz w:val="18"/>
                <w:szCs w:val="18"/>
                <w:lang w:val="en-AU"/>
              </w:rPr>
              <w:t xml:space="preserve"> provide green economic opportunities and have</w:t>
            </w:r>
            <w:r w:rsidRPr="00BF0248">
              <w:rPr>
                <w:sz w:val="18"/>
                <w:szCs w:val="18"/>
                <w:lang w:val="en-AU"/>
              </w:rPr>
              <w:t xml:space="preserve"> support from powerful interests and actors (including Forest Future Industries, Mike Cannon Brookes)</w:t>
            </w:r>
          </w:p>
          <w:p w14:paraId="3702788C" w14:textId="4C92A70A" w:rsidR="00FD55A5" w:rsidRPr="00BF0248" w:rsidRDefault="00FD55A5" w:rsidP="00FD55A5">
            <w:pPr>
              <w:pStyle w:val="ListParagraph"/>
              <w:numPr>
                <w:ilvl w:val="0"/>
                <w:numId w:val="8"/>
              </w:numPr>
              <w:rPr>
                <w:sz w:val="18"/>
                <w:szCs w:val="18"/>
                <w:lang w:val="en-AU"/>
              </w:rPr>
            </w:pPr>
            <w:r w:rsidRPr="00BF0248">
              <w:rPr>
                <w:sz w:val="18"/>
                <w:szCs w:val="18"/>
                <w:lang w:val="en-AU"/>
              </w:rPr>
              <w:t xml:space="preserve">Detailed technical pathways for a decarbonised future economy </w:t>
            </w:r>
            <w:r w:rsidR="00025EA3">
              <w:rPr>
                <w:sz w:val="18"/>
                <w:szCs w:val="18"/>
                <w:lang w:val="en-AU"/>
              </w:rPr>
              <w:t>have emerged</w:t>
            </w:r>
            <w:r w:rsidRPr="00BF0248">
              <w:rPr>
                <w:sz w:val="18"/>
                <w:szCs w:val="18"/>
                <w:lang w:val="en-AU"/>
              </w:rPr>
              <w:t xml:space="preserve"> through collaborative projects led by stakeholders such as </w:t>
            </w:r>
            <w:proofErr w:type="spellStart"/>
            <w:r w:rsidRPr="00BF0248">
              <w:rPr>
                <w:sz w:val="18"/>
                <w:szCs w:val="18"/>
                <w:lang w:val="en-AU"/>
              </w:rPr>
              <w:t>ClimateWorks</w:t>
            </w:r>
            <w:proofErr w:type="spellEnd"/>
            <w:r w:rsidRPr="00BF0248">
              <w:rPr>
                <w:sz w:val="18"/>
                <w:szCs w:val="18"/>
                <w:lang w:val="en-AU"/>
              </w:rPr>
              <w:t>, CSIRO and Beyond Net Zero</w:t>
            </w:r>
          </w:p>
          <w:p w14:paraId="74D75A90" w14:textId="20A17633" w:rsidR="00FD55A5" w:rsidRPr="00BF0248" w:rsidRDefault="00FD55A5" w:rsidP="00FD55A5">
            <w:pPr>
              <w:pStyle w:val="ListParagraph"/>
              <w:numPr>
                <w:ilvl w:val="0"/>
                <w:numId w:val="8"/>
              </w:numPr>
              <w:rPr>
                <w:sz w:val="18"/>
                <w:szCs w:val="18"/>
                <w:lang w:val="en-AU"/>
              </w:rPr>
            </w:pPr>
            <w:r w:rsidRPr="00C41D0A">
              <w:rPr>
                <w:sz w:val="18"/>
                <w:szCs w:val="18"/>
                <w:lang w:val="en-AU"/>
              </w:rPr>
              <w:t>Powerful</w:t>
            </w:r>
            <w:r w:rsidRPr="00BF0248">
              <w:rPr>
                <w:sz w:val="18"/>
                <w:szCs w:val="18"/>
                <w:lang w:val="en-AU"/>
              </w:rPr>
              <w:t xml:space="preserve"> actors calling for tax reform as well as increas</w:t>
            </w:r>
            <w:r w:rsidR="00025EA3">
              <w:rPr>
                <w:sz w:val="18"/>
                <w:szCs w:val="18"/>
                <w:lang w:val="en-AU"/>
              </w:rPr>
              <w:t>ing the</w:t>
            </w:r>
            <w:r w:rsidRPr="00BF0248">
              <w:rPr>
                <w:sz w:val="18"/>
                <w:szCs w:val="18"/>
                <w:lang w:val="en-AU"/>
              </w:rPr>
              <w:t xml:space="preserve"> Newstart allowance including the Business Council of Australia, Australian Chamber of Commerce and Industry, Union Movement, Australian Council of Social Services</w:t>
            </w:r>
          </w:p>
          <w:p w14:paraId="04BA4000" w14:textId="77777777" w:rsidR="00FD55A5" w:rsidRPr="00BF0248" w:rsidRDefault="00FD55A5" w:rsidP="00FD55A5">
            <w:pPr>
              <w:pStyle w:val="ListParagraph"/>
              <w:numPr>
                <w:ilvl w:val="0"/>
                <w:numId w:val="8"/>
              </w:numPr>
              <w:rPr>
                <w:sz w:val="18"/>
                <w:szCs w:val="18"/>
                <w:lang w:val="en-AU"/>
              </w:rPr>
            </w:pPr>
            <w:r w:rsidRPr="00BF0248">
              <w:rPr>
                <w:sz w:val="18"/>
                <w:szCs w:val="18"/>
              </w:rPr>
              <w:t xml:space="preserve">New coalitions in support of increased equality, including the Champions for Change Coalition of leaders in business, government, </w:t>
            </w:r>
            <w:proofErr w:type="gramStart"/>
            <w:r w:rsidRPr="00BF0248">
              <w:rPr>
                <w:sz w:val="18"/>
                <w:szCs w:val="18"/>
              </w:rPr>
              <w:t>community</w:t>
            </w:r>
            <w:proofErr w:type="gramEnd"/>
            <w:r w:rsidRPr="00BF0248">
              <w:rPr>
                <w:sz w:val="18"/>
                <w:szCs w:val="18"/>
              </w:rPr>
              <w:t xml:space="preserve"> and academia for achieving gender equality, advancing more and diverse women in leadership, and building respectful and inclusive workplaces.  </w:t>
            </w:r>
          </w:p>
          <w:p w14:paraId="7835F2E0" w14:textId="77777777" w:rsidR="00FD55A5" w:rsidRPr="003A19AE" w:rsidRDefault="00FD55A5" w:rsidP="00FD55A5">
            <w:pPr>
              <w:pStyle w:val="ListParagraph"/>
              <w:numPr>
                <w:ilvl w:val="0"/>
                <w:numId w:val="8"/>
              </w:numPr>
              <w:rPr>
                <w:sz w:val="18"/>
                <w:szCs w:val="18"/>
                <w:lang w:val="en-AU"/>
              </w:rPr>
            </w:pPr>
            <w:r w:rsidRPr="00BF0248">
              <w:rPr>
                <w:sz w:val="18"/>
                <w:szCs w:val="18"/>
              </w:rPr>
              <w:t>Australia’s</w:t>
            </w:r>
            <w:r>
              <w:rPr>
                <w:sz w:val="18"/>
                <w:szCs w:val="18"/>
              </w:rPr>
              <w:t xml:space="preserve"> superannuation sector which manages $3.3 trillion in assets is increasingly aligning investment strategies with social and sustainability objectives, including the SDGs.  CBUS </w:t>
            </w:r>
            <w:proofErr w:type="gramStart"/>
            <w:r>
              <w:rPr>
                <w:sz w:val="18"/>
                <w:szCs w:val="18"/>
              </w:rPr>
              <w:t>recently  announced</w:t>
            </w:r>
            <w:proofErr w:type="gramEnd"/>
            <w:r>
              <w:rPr>
                <w:sz w:val="18"/>
                <w:szCs w:val="18"/>
              </w:rPr>
              <w:t xml:space="preserve"> the development of a new Sustainable Development Investments (SDI) framework to align investing with the SDGs, building on leading examples from Europe. </w:t>
            </w:r>
          </w:p>
          <w:p w14:paraId="48B36207" w14:textId="77777777" w:rsidR="00FD55A5" w:rsidRPr="00734D94" w:rsidRDefault="00FD55A5" w:rsidP="00FD55A5">
            <w:pPr>
              <w:pStyle w:val="ListParagraph"/>
              <w:numPr>
                <w:ilvl w:val="0"/>
                <w:numId w:val="8"/>
              </w:numPr>
              <w:rPr>
                <w:sz w:val="18"/>
                <w:szCs w:val="18"/>
                <w:lang w:val="en-AU"/>
              </w:rPr>
            </w:pPr>
            <w:r>
              <w:rPr>
                <w:sz w:val="18"/>
                <w:szCs w:val="18"/>
              </w:rPr>
              <w:t xml:space="preserve">An increasing number of ASX200 companies are undertaking detailed or comprehensive ESG disclosures, with 64% now reporting specifically on the SDGs (up from 10% five years ago). </w:t>
            </w:r>
          </w:p>
          <w:p w14:paraId="24C47AB0" w14:textId="3F63BDBF" w:rsidR="00FD55A5" w:rsidRPr="00BF0248" w:rsidRDefault="00FD55A5" w:rsidP="00FD55A5">
            <w:pPr>
              <w:pStyle w:val="ListParagraph"/>
              <w:numPr>
                <w:ilvl w:val="0"/>
                <w:numId w:val="8"/>
              </w:numPr>
              <w:rPr>
                <w:sz w:val="18"/>
                <w:szCs w:val="18"/>
                <w:lang w:val="en-AU"/>
              </w:rPr>
            </w:pPr>
            <w:r>
              <w:rPr>
                <w:sz w:val="18"/>
                <w:szCs w:val="18"/>
              </w:rPr>
              <w:t>The Australian Sustainable Finance Initiative bring</w:t>
            </w:r>
            <w:r w:rsidR="00D87E00">
              <w:rPr>
                <w:sz w:val="18"/>
                <w:szCs w:val="18"/>
              </w:rPr>
              <w:t>s</w:t>
            </w:r>
            <w:r>
              <w:rPr>
                <w:sz w:val="18"/>
                <w:szCs w:val="18"/>
              </w:rPr>
              <w:t xml:space="preserve"> together a coalition </w:t>
            </w:r>
            <w:r w:rsidR="00D87E00">
              <w:rPr>
                <w:sz w:val="18"/>
                <w:szCs w:val="18"/>
              </w:rPr>
              <w:t xml:space="preserve">of business </w:t>
            </w:r>
            <w:r w:rsidR="00100515">
              <w:rPr>
                <w:sz w:val="18"/>
                <w:szCs w:val="18"/>
              </w:rPr>
              <w:t>interests</w:t>
            </w:r>
            <w:r w:rsidR="00D87E00">
              <w:rPr>
                <w:sz w:val="18"/>
                <w:szCs w:val="18"/>
              </w:rPr>
              <w:t xml:space="preserve"> </w:t>
            </w:r>
            <w:r>
              <w:rPr>
                <w:sz w:val="18"/>
                <w:szCs w:val="18"/>
              </w:rPr>
              <w:t xml:space="preserve">to develop a roadmap to transform Australia’s financial system to ensure that finance is mobilised and connected to a sustainable future.  </w:t>
            </w:r>
          </w:p>
          <w:p w14:paraId="20A38B1B" w14:textId="77777777" w:rsidR="00FD55A5" w:rsidRPr="00642912" w:rsidRDefault="00FD55A5" w:rsidP="007F346F">
            <w:pPr>
              <w:rPr>
                <w:sz w:val="20"/>
                <w:szCs w:val="20"/>
              </w:rPr>
            </w:pPr>
          </w:p>
          <w:p w14:paraId="3D1C4421" w14:textId="269F55F9" w:rsidR="00FD55A5" w:rsidRPr="001751FC" w:rsidRDefault="00FD55A5" w:rsidP="007F346F">
            <w:pPr>
              <w:rPr>
                <w:b/>
                <w:bCs/>
                <w:sz w:val="18"/>
                <w:szCs w:val="18"/>
              </w:rPr>
            </w:pPr>
            <w:r>
              <w:rPr>
                <w:b/>
                <w:bCs/>
                <w:sz w:val="18"/>
                <w:szCs w:val="18"/>
              </w:rPr>
              <w:t xml:space="preserve">TP2 Storyline, Enabling </w:t>
            </w:r>
            <w:proofErr w:type="gramStart"/>
            <w:r>
              <w:rPr>
                <w:b/>
                <w:bCs/>
                <w:sz w:val="18"/>
                <w:szCs w:val="18"/>
              </w:rPr>
              <w:t>Conditions</w:t>
            </w:r>
            <w:proofErr w:type="gramEnd"/>
            <w:r>
              <w:rPr>
                <w:b/>
                <w:bCs/>
                <w:sz w:val="18"/>
                <w:szCs w:val="18"/>
              </w:rPr>
              <w:t xml:space="preserve"> and Interventions to Build Back Better</w:t>
            </w:r>
            <w:r w:rsidR="000D2A29">
              <w:rPr>
                <w:b/>
                <w:bCs/>
                <w:sz w:val="18"/>
                <w:szCs w:val="18"/>
              </w:rPr>
              <w:t xml:space="preserve"> through a Sustainable Wellbeing Transformation</w:t>
            </w:r>
          </w:p>
          <w:p w14:paraId="006E7E1C" w14:textId="3B16E7FC" w:rsidR="00FD55A5" w:rsidRPr="00CB6446" w:rsidRDefault="00FD55A5" w:rsidP="007F346F">
            <w:pPr>
              <w:rPr>
                <w:sz w:val="18"/>
                <w:szCs w:val="18"/>
              </w:rPr>
            </w:pPr>
            <w:r w:rsidRPr="007410AA">
              <w:rPr>
                <w:sz w:val="18"/>
                <w:szCs w:val="18"/>
              </w:rPr>
              <w:t>The multiple crises bring the rising cost of living pressure</w:t>
            </w:r>
            <w:r>
              <w:rPr>
                <w:sz w:val="18"/>
                <w:szCs w:val="18"/>
              </w:rPr>
              <w:t>s</w:t>
            </w:r>
            <w:r w:rsidRPr="007410AA">
              <w:rPr>
                <w:sz w:val="18"/>
                <w:szCs w:val="18"/>
              </w:rPr>
              <w:t xml:space="preserve">, stubborn poverty rates, and rising inequality into sharp focus.  </w:t>
            </w:r>
            <w:r>
              <w:rPr>
                <w:sz w:val="18"/>
                <w:szCs w:val="18"/>
              </w:rPr>
              <w:t xml:space="preserve">Increased media attention to these issues including by comparison with the more </w:t>
            </w:r>
            <w:r w:rsidR="00AA1F5C">
              <w:rPr>
                <w:sz w:val="18"/>
                <w:szCs w:val="18"/>
              </w:rPr>
              <w:t>chronic</w:t>
            </w:r>
            <w:r>
              <w:rPr>
                <w:sz w:val="18"/>
                <w:szCs w:val="18"/>
              </w:rPr>
              <w:t xml:space="preserve"> situation in the USA and UK raises public</w:t>
            </w:r>
            <w:r w:rsidRPr="007410AA">
              <w:rPr>
                <w:sz w:val="18"/>
                <w:szCs w:val="18"/>
              </w:rPr>
              <w:t xml:space="preserve"> awareness of the poverty and inequality </w:t>
            </w:r>
            <w:r>
              <w:rPr>
                <w:sz w:val="18"/>
                <w:szCs w:val="18"/>
              </w:rPr>
              <w:t xml:space="preserve">blight and </w:t>
            </w:r>
            <w:r w:rsidRPr="007410AA">
              <w:rPr>
                <w:sz w:val="18"/>
                <w:szCs w:val="18"/>
              </w:rPr>
              <w:t>increases broader community support for action.</w:t>
            </w:r>
            <w:r>
              <w:rPr>
                <w:sz w:val="18"/>
                <w:szCs w:val="18"/>
              </w:rPr>
              <w:t xml:space="preserve"> </w:t>
            </w:r>
            <w:r w:rsidRPr="001F4361">
              <w:rPr>
                <w:sz w:val="18"/>
                <w:szCs w:val="18"/>
              </w:rPr>
              <w:t xml:space="preserve">Following the </w:t>
            </w:r>
            <w:r>
              <w:rPr>
                <w:sz w:val="18"/>
                <w:szCs w:val="18"/>
              </w:rPr>
              <w:t xml:space="preserve">economic fallout from the </w:t>
            </w:r>
            <w:r w:rsidRPr="001F4361">
              <w:rPr>
                <w:sz w:val="18"/>
                <w:szCs w:val="18"/>
              </w:rPr>
              <w:t xml:space="preserve">COVID-19 pandemic, Australia for the first time adopts goals and targets to halve poverty by 2030, reduce inequalities and to close </w:t>
            </w:r>
            <w:r w:rsidRPr="001F4361">
              <w:rPr>
                <w:sz w:val="18"/>
                <w:szCs w:val="18"/>
              </w:rPr>
              <w:lastRenderedPageBreak/>
              <w:t>the gender pay gap, amongst others (</w:t>
            </w:r>
            <w:r w:rsidRPr="001F4361">
              <w:rPr>
                <w:b/>
                <w:bCs/>
                <w:sz w:val="18"/>
                <w:szCs w:val="18"/>
              </w:rPr>
              <w:t xml:space="preserve">Supplementary Table </w:t>
            </w:r>
            <w:r>
              <w:rPr>
                <w:b/>
                <w:bCs/>
                <w:sz w:val="18"/>
                <w:szCs w:val="18"/>
              </w:rPr>
              <w:t>2</w:t>
            </w:r>
            <w:r w:rsidRPr="001F4361">
              <w:rPr>
                <w:sz w:val="18"/>
                <w:szCs w:val="18"/>
              </w:rPr>
              <w:t xml:space="preserve">). </w:t>
            </w:r>
            <w:r w:rsidRPr="00C002AB">
              <w:rPr>
                <w:sz w:val="18"/>
                <w:szCs w:val="18"/>
              </w:rPr>
              <w:t>Building on the successes in New Zealand and emerging proposals in Australia, federal and state governments adopt ‘wellbeing budgets’ which screen major public expenditure to ensure equity</w:t>
            </w:r>
            <w:r>
              <w:rPr>
                <w:sz w:val="18"/>
                <w:szCs w:val="18"/>
              </w:rPr>
              <w:t xml:space="preserve"> and alignment with key social goals. </w:t>
            </w:r>
            <w:r w:rsidRPr="00CB6446">
              <w:rPr>
                <w:sz w:val="18"/>
                <w:szCs w:val="18"/>
              </w:rPr>
              <w:t>There is a renewed focus on building back better to make sure we emerge from the pandemic with</w:t>
            </w:r>
            <w:r w:rsidRPr="00AA1F5C">
              <w:rPr>
                <w:sz w:val="18"/>
                <w:szCs w:val="18"/>
              </w:rPr>
              <w:t xml:space="preserve"> a stronger and more inclusive economy.</w:t>
            </w:r>
            <w:r w:rsidRPr="00CB6446">
              <w:rPr>
                <w:sz w:val="18"/>
                <w:szCs w:val="18"/>
              </w:rPr>
              <w:t xml:space="preserve"> </w:t>
            </w:r>
            <w:r>
              <w:rPr>
                <w:sz w:val="18"/>
                <w:szCs w:val="18"/>
              </w:rPr>
              <w:t xml:space="preserve"> </w:t>
            </w:r>
          </w:p>
          <w:p w14:paraId="29E89CAA" w14:textId="77777777" w:rsidR="00FD55A5" w:rsidRDefault="00FD55A5" w:rsidP="007F346F">
            <w:pPr>
              <w:rPr>
                <w:sz w:val="18"/>
                <w:szCs w:val="18"/>
              </w:rPr>
            </w:pPr>
          </w:p>
          <w:p w14:paraId="5BCEEAD7" w14:textId="7B68B10F" w:rsidR="00FD55A5" w:rsidRDefault="00FD55A5" w:rsidP="007F346F">
            <w:pPr>
              <w:rPr>
                <w:sz w:val="18"/>
                <w:szCs w:val="18"/>
              </w:rPr>
            </w:pPr>
            <w:r w:rsidRPr="002D707E">
              <w:rPr>
                <w:sz w:val="18"/>
                <w:szCs w:val="18"/>
              </w:rPr>
              <w:t>Even before COV</w:t>
            </w:r>
            <w:r w:rsidR="00C81BCE">
              <w:rPr>
                <w:sz w:val="18"/>
                <w:szCs w:val="18"/>
              </w:rPr>
              <w:t>I</w:t>
            </w:r>
            <w:r w:rsidRPr="002D707E">
              <w:rPr>
                <w:sz w:val="18"/>
                <w:szCs w:val="18"/>
              </w:rPr>
              <w:t>D</w:t>
            </w:r>
            <w:r w:rsidR="00C81BCE">
              <w:rPr>
                <w:sz w:val="18"/>
                <w:szCs w:val="18"/>
              </w:rPr>
              <w:t>-19</w:t>
            </w:r>
            <w:r w:rsidRPr="002D707E">
              <w:rPr>
                <w:sz w:val="18"/>
                <w:szCs w:val="18"/>
              </w:rPr>
              <w:t xml:space="preserve">, the Australian tax system was struggling to meet the needs of the community. </w:t>
            </w:r>
            <w:r w:rsidRPr="002924C9">
              <w:rPr>
                <w:sz w:val="18"/>
                <w:szCs w:val="18"/>
              </w:rPr>
              <w:t xml:space="preserve">COVID creates the ‘burning platform’ needed to ignite the willingness of stakeholders to embrace reform </w:t>
            </w:r>
            <w:r w:rsidR="00AA1F5C">
              <w:rPr>
                <w:sz w:val="18"/>
                <w:szCs w:val="18"/>
              </w:rPr>
              <w:t xml:space="preserve">and </w:t>
            </w:r>
            <w:r w:rsidRPr="002924C9">
              <w:rPr>
                <w:sz w:val="18"/>
                <w:szCs w:val="18"/>
              </w:rPr>
              <w:t xml:space="preserve">provides the political momentum for policy makers to challenge and change the status quo. </w:t>
            </w:r>
            <w:r>
              <w:rPr>
                <w:sz w:val="18"/>
                <w:szCs w:val="18"/>
              </w:rPr>
              <w:t xml:space="preserve"> </w:t>
            </w:r>
            <w:r w:rsidRPr="00332343">
              <w:rPr>
                <w:sz w:val="18"/>
                <w:szCs w:val="18"/>
              </w:rPr>
              <w:t xml:space="preserve">Post-COVID, tax reform becomes a national priority due to high levels of debt accumulated through the response and the need to generate revenue, improve </w:t>
            </w:r>
            <w:r w:rsidR="0046330D" w:rsidRPr="00332343">
              <w:rPr>
                <w:sz w:val="18"/>
                <w:szCs w:val="18"/>
              </w:rPr>
              <w:t>equity,</w:t>
            </w:r>
            <w:r w:rsidRPr="00332343">
              <w:rPr>
                <w:sz w:val="18"/>
                <w:szCs w:val="18"/>
              </w:rPr>
              <w:t xml:space="preserve"> and support </w:t>
            </w:r>
            <w:r w:rsidR="00EB649D">
              <w:rPr>
                <w:sz w:val="18"/>
                <w:szCs w:val="18"/>
              </w:rPr>
              <w:t>growth in green sectors</w:t>
            </w:r>
            <w:r w:rsidRPr="00332343">
              <w:rPr>
                <w:sz w:val="18"/>
                <w:szCs w:val="18"/>
              </w:rPr>
              <w:t xml:space="preserve">. </w:t>
            </w:r>
            <w:r w:rsidRPr="00CE64E0">
              <w:rPr>
                <w:sz w:val="18"/>
                <w:szCs w:val="18"/>
              </w:rPr>
              <w:t xml:space="preserve">A national tax reform process led by the Australian government brings together key stakeholders </w:t>
            </w:r>
            <w:r w:rsidR="00342A8F">
              <w:rPr>
                <w:sz w:val="18"/>
                <w:szCs w:val="18"/>
              </w:rPr>
              <w:t xml:space="preserve">for a National Revenue Summit </w:t>
            </w:r>
            <w:r w:rsidRPr="00CE64E0">
              <w:rPr>
                <w:sz w:val="18"/>
                <w:szCs w:val="18"/>
              </w:rPr>
              <w:t xml:space="preserve">and builds a coalition of powerful actors in favour of reform, including the Business Council of Australia, Australian Chamber of Commerce and Industry, Union movement, Australian Council of Social Services etc.  </w:t>
            </w:r>
            <w:r>
              <w:rPr>
                <w:sz w:val="18"/>
                <w:szCs w:val="18"/>
              </w:rPr>
              <w:t xml:space="preserve"> </w:t>
            </w:r>
            <w:r w:rsidRPr="002924C9">
              <w:rPr>
                <w:sz w:val="18"/>
                <w:szCs w:val="18"/>
              </w:rPr>
              <w:t xml:space="preserve">Building on the successful </w:t>
            </w:r>
            <w:r>
              <w:rPr>
                <w:sz w:val="18"/>
                <w:szCs w:val="18"/>
              </w:rPr>
              <w:t xml:space="preserve">national </w:t>
            </w:r>
            <w:r w:rsidRPr="002924C9">
              <w:rPr>
                <w:sz w:val="18"/>
                <w:szCs w:val="18"/>
              </w:rPr>
              <w:t>Job Summit model which reached compr</w:t>
            </w:r>
            <w:r>
              <w:rPr>
                <w:sz w:val="18"/>
                <w:szCs w:val="18"/>
              </w:rPr>
              <w:t xml:space="preserve">omise </w:t>
            </w:r>
            <w:r w:rsidRPr="002924C9">
              <w:rPr>
                <w:sz w:val="18"/>
                <w:szCs w:val="18"/>
              </w:rPr>
              <w:t xml:space="preserve">between key actors, a National </w:t>
            </w:r>
            <w:r w:rsidR="00EB649D">
              <w:rPr>
                <w:sz w:val="18"/>
                <w:szCs w:val="18"/>
              </w:rPr>
              <w:t>Revenue</w:t>
            </w:r>
            <w:r w:rsidRPr="002924C9">
              <w:rPr>
                <w:sz w:val="18"/>
                <w:szCs w:val="18"/>
              </w:rPr>
              <w:t xml:space="preserve"> Summit is convened</w:t>
            </w:r>
            <w:r>
              <w:rPr>
                <w:sz w:val="18"/>
                <w:szCs w:val="18"/>
              </w:rPr>
              <w:t xml:space="preserve">, resulting in a set of recommended reforms that are promptly implemented by government.  </w:t>
            </w:r>
            <w:r w:rsidR="00EB649D" w:rsidRPr="00332343">
              <w:rPr>
                <w:sz w:val="18"/>
                <w:szCs w:val="18"/>
              </w:rPr>
              <w:t xml:space="preserve">Government </w:t>
            </w:r>
            <w:r w:rsidR="00EB649D">
              <w:rPr>
                <w:sz w:val="18"/>
                <w:szCs w:val="18"/>
              </w:rPr>
              <w:t xml:space="preserve">repeals </w:t>
            </w:r>
            <w:r w:rsidR="00EB649D" w:rsidRPr="00332343">
              <w:rPr>
                <w:sz w:val="18"/>
                <w:szCs w:val="18"/>
              </w:rPr>
              <w:t>plans for tax reform which favour</w:t>
            </w:r>
            <w:r w:rsidR="00EB649D">
              <w:rPr>
                <w:sz w:val="18"/>
                <w:szCs w:val="18"/>
              </w:rPr>
              <w:t>s</w:t>
            </w:r>
            <w:r w:rsidR="00EB649D" w:rsidRPr="00332343">
              <w:rPr>
                <w:sz w:val="18"/>
                <w:szCs w:val="18"/>
              </w:rPr>
              <w:t xml:space="preserve"> high income earners (</w:t>
            </w:r>
            <w:proofErr w:type="gramStart"/>
            <w:r w:rsidR="00EB649D" w:rsidRPr="00332343">
              <w:rPr>
                <w:sz w:val="18"/>
                <w:szCs w:val="18"/>
              </w:rPr>
              <w:t>e.g.</w:t>
            </w:r>
            <w:proofErr w:type="gramEnd"/>
            <w:r w:rsidR="00EB649D" w:rsidRPr="00332343">
              <w:rPr>
                <w:sz w:val="18"/>
                <w:szCs w:val="18"/>
              </w:rPr>
              <w:t xml:space="preserve"> Stage 3 tax cuts), with a shift instead towards a more progressive tax system which favours low-income earners.</w:t>
            </w:r>
            <w:r w:rsidR="00EB649D">
              <w:rPr>
                <w:sz w:val="18"/>
                <w:szCs w:val="18"/>
              </w:rPr>
              <w:t xml:space="preserve">  </w:t>
            </w:r>
            <w:r w:rsidR="00291EE3">
              <w:rPr>
                <w:sz w:val="18"/>
                <w:szCs w:val="18"/>
              </w:rPr>
              <w:t xml:space="preserve">In addition, reforms remove or tighten </w:t>
            </w:r>
            <w:r>
              <w:rPr>
                <w:sz w:val="18"/>
                <w:szCs w:val="18"/>
              </w:rPr>
              <w:t>perverse tax incentives including negative gearing for investment properties and franking credits on self-funded retirees. These r</w:t>
            </w:r>
            <w:r w:rsidRPr="00271556">
              <w:rPr>
                <w:sz w:val="18"/>
                <w:szCs w:val="18"/>
              </w:rPr>
              <w:t xml:space="preserve">eforms are legislated </w:t>
            </w:r>
            <w:r>
              <w:rPr>
                <w:sz w:val="18"/>
                <w:szCs w:val="18"/>
              </w:rPr>
              <w:t xml:space="preserve">and </w:t>
            </w:r>
            <w:r w:rsidRPr="00271556">
              <w:rPr>
                <w:sz w:val="18"/>
                <w:szCs w:val="18"/>
              </w:rPr>
              <w:t xml:space="preserve">provide additional revenue from income and profits, international </w:t>
            </w:r>
            <w:proofErr w:type="gramStart"/>
            <w:r w:rsidRPr="00271556">
              <w:rPr>
                <w:sz w:val="18"/>
                <w:szCs w:val="18"/>
              </w:rPr>
              <w:t>trade</w:t>
            </w:r>
            <w:proofErr w:type="gramEnd"/>
            <w:r w:rsidRPr="00271556">
              <w:rPr>
                <w:sz w:val="18"/>
                <w:szCs w:val="18"/>
              </w:rPr>
              <w:t xml:space="preserve"> and consumption.</w:t>
            </w:r>
            <w:r>
              <w:rPr>
                <w:sz w:val="18"/>
                <w:szCs w:val="18"/>
              </w:rPr>
              <w:t xml:space="preserve"> </w:t>
            </w:r>
          </w:p>
          <w:p w14:paraId="2C143195" w14:textId="77777777" w:rsidR="00FD55A5" w:rsidRDefault="00FD55A5" w:rsidP="007F346F">
            <w:pPr>
              <w:rPr>
                <w:sz w:val="18"/>
                <w:szCs w:val="18"/>
              </w:rPr>
            </w:pPr>
          </w:p>
          <w:p w14:paraId="1DBED97A" w14:textId="77777777" w:rsidR="00FD55A5" w:rsidRDefault="00FD55A5" w:rsidP="007F346F">
            <w:pPr>
              <w:rPr>
                <w:sz w:val="18"/>
                <w:szCs w:val="18"/>
              </w:rPr>
            </w:pPr>
            <w:r w:rsidRPr="00271556">
              <w:rPr>
                <w:sz w:val="18"/>
                <w:szCs w:val="18"/>
              </w:rPr>
              <w:t>Additional revenue funds a broad suite of government investments including an increase in social transfers and redistribution to address poverty and inequality, as well as to support transformations in health and education (</w:t>
            </w:r>
            <w:r>
              <w:rPr>
                <w:b/>
                <w:bCs/>
                <w:sz w:val="18"/>
                <w:szCs w:val="18"/>
              </w:rPr>
              <w:t>T</w:t>
            </w:r>
            <w:r w:rsidRPr="00271556">
              <w:rPr>
                <w:b/>
                <w:bCs/>
                <w:sz w:val="18"/>
                <w:szCs w:val="18"/>
              </w:rPr>
              <w:t>P1</w:t>
            </w:r>
            <w:r w:rsidRPr="00271556">
              <w:rPr>
                <w:sz w:val="18"/>
                <w:szCs w:val="18"/>
              </w:rPr>
              <w:t>), sustainable food systems (</w:t>
            </w:r>
            <w:r>
              <w:rPr>
                <w:b/>
                <w:bCs/>
                <w:sz w:val="18"/>
                <w:szCs w:val="18"/>
              </w:rPr>
              <w:t>T</w:t>
            </w:r>
            <w:r w:rsidRPr="00271556">
              <w:rPr>
                <w:b/>
                <w:bCs/>
                <w:sz w:val="18"/>
                <w:szCs w:val="18"/>
              </w:rPr>
              <w:t>P</w:t>
            </w:r>
            <w:r>
              <w:rPr>
                <w:b/>
                <w:bCs/>
                <w:sz w:val="18"/>
                <w:szCs w:val="18"/>
              </w:rPr>
              <w:t>3</w:t>
            </w:r>
            <w:r w:rsidRPr="00271556">
              <w:rPr>
                <w:sz w:val="18"/>
                <w:szCs w:val="18"/>
              </w:rPr>
              <w:t>), energy decarbonization (</w:t>
            </w:r>
            <w:r>
              <w:rPr>
                <w:b/>
                <w:bCs/>
                <w:sz w:val="18"/>
                <w:szCs w:val="18"/>
              </w:rPr>
              <w:t>T</w:t>
            </w:r>
            <w:r w:rsidRPr="00271556">
              <w:rPr>
                <w:b/>
                <w:bCs/>
                <w:sz w:val="18"/>
                <w:szCs w:val="18"/>
              </w:rPr>
              <w:t>P4</w:t>
            </w:r>
            <w:r w:rsidRPr="00271556">
              <w:rPr>
                <w:sz w:val="18"/>
                <w:szCs w:val="18"/>
              </w:rPr>
              <w:t>), sustainable cities (</w:t>
            </w:r>
            <w:r>
              <w:rPr>
                <w:b/>
                <w:bCs/>
                <w:sz w:val="18"/>
                <w:szCs w:val="18"/>
              </w:rPr>
              <w:t>T</w:t>
            </w:r>
            <w:r w:rsidRPr="00271556">
              <w:rPr>
                <w:b/>
                <w:bCs/>
                <w:sz w:val="18"/>
                <w:szCs w:val="18"/>
              </w:rPr>
              <w:t>P5</w:t>
            </w:r>
            <w:r w:rsidRPr="00271556">
              <w:rPr>
                <w:sz w:val="18"/>
                <w:szCs w:val="18"/>
              </w:rPr>
              <w:t>) and biodiversity (</w:t>
            </w:r>
            <w:r>
              <w:rPr>
                <w:b/>
                <w:bCs/>
                <w:sz w:val="18"/>
                <w:szCs w:val="18"/>
              </w:rPr>
              <w:t>T</w:t>
            </w:r>
            <w:r w:rsidRPr="00271556">
              <w:rPr>
                <w:b/>
                <w:bCs/>
                <w:sz w:val="18"/>
                <w:szCs w:val="18"/>
              </w:rPr>
              <w:t>P6</w:t>
            </w:r>
            <w:r w:rsidRPr="00271556">
              <w:rPr>
                <w:sz w:val="18"/>
                <w:szCs w:val="18"/>
              </w:rPr>
              <w:t>).</w:t>
            </w:r>
            <w:r>
              <w:rPr>
                <w:sz w:val="18"/>
                <w:szCs w:val="18"/>
              </w:rPr>
              <w:t xml:space="preserve">  To support the shift towards a sustainable economy, additional investment is made to improve supporting infrastructure needed for green hydrogen and manufacturing industries. Shifting behaviours towards lower consumption and sustainable practices </w:t>
            </w:r>
            <w:r w:rsidRPr="008A4FDA">
              <w:rPr>
                <w:sz w:val="18"/>
                <w:szCs w:val="18"/>
              </w:rPr>
              <w:t xml:space="preserve">is also </w:t>
            </w:r>
            <w:r>
              <w:rPr>
                <w:sz w:val="18"/>
                <w:szCs w:val="18"/>
              </w:rPr>
              <w:t xml:space="preserve">supported through changes in </w:t>
            </w:r>
            <w:r w:rsidRPr="008A4FDA">
              <w:rPr>
                <w:sz w:val="18"/>
                <w:szCs w:val="18"/>
              </w:rPr>
              <w:t>education</w:t>
            </w:r>
            <w:r>
              <w:rPr>
                <w:sz w:val="18"/>
                <w:szCs w:val="18"/>
              </w:rPr>
              <w:t xml:space="preserve"> curriculums</w:t>
            </w:r>
            <w:r w:rsidRPr="008A4FDA">
              <w:rPr>
                <w:sz w:val="18"/>
                <w:szCs w:val="18"/>
              </w:rPr>
              <w:t xml:space="preserve">, information campaigns, and </w:t>
            </w:r>
            <w:r>
              <w:rPr>
                <w:sz w:val="18"/>
                <w:szCs w:val="18"/>
              </w:rPr>
              <w:t xml:space="preserve">incentives.  Stricter regulations and standards on pollution and emissions are also regulated over time to provide </w:t>
            </w:r>
            <w:r w:rsidRPr="008A4FDA">
              <w:rPr>
                <w:sz w:val="18"/>
                <w:szCs w:val="18"/>
              </w:rPr>
              <w:t>incentives and penalties</w:t>
            </w:r>
            <w:r>
              <w:rPr>
                <w:sz w:val="18"/>
                <w:szCs w:val="18"/>
              </w:rPr>
              <w:t xml:space="preserve"> to accelerate technology improvements and behaviour change. </w:t>
            </w:r>
          </w:p>
          <w:p w14:paraId="3DA9E793" w14:textId="77777777" w:rsidR="00FD55A5" w:rsidRDefault="00FD55A5" w:rsidP="007F346F">
            <w:pPr>
              <w:rPr>
                <w:sz w:val="18"/>
                <w:szCs w:val="18"/>
              </w:rPr>
            </w:pPr>
          </w:p>
          <w:p w14:paraId="3A25CC78" w14:textId="2C1A42AF" w:rsidR="00FD55A5" w:rsidRPr="00271556" w:rsidRDefault="00FD55A5" w:rsidP="007F346F">
            <w:pPr>
              <w:rPr>
                <w:sz w:val="18"/>
                <w:szCs w:val="18"/>
              </w:rPr>
            </w:pPr>
            <w:r>
              <w:rPr>
                <w:sz w:val="18"/>
                <w:szCs w:val="18"/>
              </w:rPr>
              <w:t xml:space="preserve">The mission-oriented approach adopted by governments helps to reorient capital to where it can support a thriving Australian society, a healthy </w:t>
            </w:r>
            <w:proofErr w:type="gramStart"/>
            <w:r>
              <w:rPr>
                <w:sz w:val="18"/>
                <w:szCs w:val="18"/>
              </w:rPr>
              <w:t>environment</w:t>
            </w:r>
            <w:proofErr w:type="gramEnd"/>
            <w:r>
              <w:rPr>
                <w:sz w:val="18"/>
                <w:szCs w:val="18"/>
              </w:rPr>
              <w:t xml:space="preserve"> and a prosperous economy. </w:t>
            </w:r>
            <w:r w:rsidRPr="008977A2">
              <w:rPr>
                <w:sz w:val="18"/>
                <w:szCs w:val="18"/>
              </w:rPr>
              <w:t xml:space="preserve">While governments across Australia – federal, </w:t>
            </w:r>
            <w:proofErr w:type="gramStart"/>
            <w:r w:rsidRPr="008977A2">
              <w:rPr>
                <w:sz w:val="18"/>
                <w:szCs w:val="18"/>
              </w:rPr>
              <w:t>state</w:t>
            </w:r>
            <w:proofErr w:type="gramEnd"/>
            <w:r w:rsidRPr="008977A2">
              <w:rPr>
                <w:sz w:val="18"/>
                <w:szCs w:val="18"/>
              </w:rPr>
              <w:t xml:space="preserve"> and local –</w:t>
            </w:r>
            <w:r>
              <w:rPr>
                <w:sz w:val="18"/>
                <w:szCs w:val="18"/>
              </w:rPr>
              <w:t>clearly set</w:t>
            </w:r>
            <w:r w:rsidRPr="008977A2">
              <w:rPr>
                <w:sz w:val="18"/>
                <w:szCs w:val="18"/>
              </w:rPr>
              <w:t xml:space="preserve"> a direction for a stronger and more sustainable nation, t</w:t>
            </w:r>
            <w:r>
              <w:rPr>
                <w:sz w:val="18"/>
                <w:szCs w:val="18"/>
              </w:rPr>
              <w:t>he</w:t>
            </w:r>
            <w:r w:rsidRPr="008977A2">
              <w:rPr>
                <w:sz w:val="18"/>
                <w:szCs w:val="18"/>
              </w:rPr>
              <w:t xml:space="preserve"> Australian Sustainable Finance Roadmap </w:t>
            </w:r>
            <w:r>
              <w:rPr>
                <w:sz w:val="18"/>
                <w:szCs w:val="18"/>
              </w:rPr>
              <w:t>provides the</w:t>
            </w:r>
            <w:r w:rsidRPr="008977A2">
              <w:rPr>
                <w:sz w:val="18"/>
                <w:szCs w:val="18"/>
              </w:rPr>
              <w:t xml:space="preserve"> Australian financial system’s contribution to ensuring finance is mobilised and connected to a sustainable future</w:t>
            </w:r>
            <w:r>
              <w:rPr>
                <w:sz w:val="18"/>
                <w:szCs w:val="18"/>
              </w:rPr>
              <w:t xml:space="preserve">. The SDGs also represent a clear turning point in responsible investing and private capital is increasingly aligned with the SDGs. </w:t>
            </w:r>
            <w:proofErr w:type="gramStart"/>
            <w:r>
              <w:rPr>
                <w:sz w:val="18"/>
                <w:szCs w:val="18"/>
              </w:rPr>
              <w:t>In particular, Australia’s</w:t>
            </w:r>
            <w:proofErr w:type="gramEnd"/>
            <w:r>
              <w:rPr>
                <w:sz w:val="18"/>
                <w:szCs w:val="18"/>
              </w:rPr>
              <w:t xml:space="preserve"> large superannuation sector throws its support behind the SDGs with all major funds developing sustainable development investment frameworks aligned with the SDGs.</w:t>
            </w:r>
            <w:r w:rsidR="002B199F">
              <w:rPr>
                <w:sz w:val="18"/>
                <w:szCs w:val="18"/>
              </w:rPr>
              <w:t xml:space="preserve"> This considerably scales up investment in </w:t>
            </w:r>
            <w:r w:rsidR="00C211DA">
              <w:rPr>
                <w:sz w:val="18"/>
                <w:szCs w:val="18"/>
              </w:rPr>
              <w:t xml:space="preserve">SDG-aligned </w:t>
            </w:r>
            <w:r w:rsidR="002B199F">
              <w:rPr>
                <w:sz w:val="18"/>
                <w:szCs w:val="18"/>
              </w:rPr>
              <w:t xml:space="preserve">sectors and divestment </w:t>
            </w:r>
            <w:r w:rsidR="00C211DA">
              <w:rPr>
                <w:sz w:val="18"/>
                <w:szCs w:val="18"/>
              </w:rPr>
              <w:t>from unsustainable industries</w:t>
            </w:r>
            <w:r w:rsidR="002B199F">
              <w:rPr>
                <w:sz w:val="18"/>
                <w:szCs w:val="18"/>
              </w:rPr>
              <w:t xml:space="preserve">. </w:t>
            </w:r>
          </w:p>
          <w:p w14:paraId="5721D7CE" w14:textId="77777777" w:rsidR="00FD55A5" w:rsidRDefault="00FD55A5" w:rsidP="007F346F">
            <w:pPr>
              <w:rPr>
                <w:sz w:val="18"/>
                <w:szCs w:val="18"/>
              </w:rPr>
            </w:pPr>
          </w:p>
          <w:p w14:paraId="4860ED3A" w14:textId="13AED12C" w:rsidR="00FD55A5" w:rsidRPr="0084089A" w:rsidRDefault="00FD55A5" w:rsidP="007F346F">
            <w:pPr>
              <w:rPr>
                <w:sz w:val="18"/>
                <w:szCs w:val="18"/>
              </w:rPr>
            </w:pPr>
            <w:r>
              <w:rPr>
                <w:sz w:val="18"/>
                <w:szCs w:val="18"/>
              </w:rPr>
              <w:t>In line with this narrative, specific quantitative interventions (</w:t>
            </w:r>
            <w:r w:rsidRPr="006D6836">
              <w:rPr>
                <w:b/>
                <w:bCs/>
                <w:sz w:val="18"/>
                <w:szCs w:val="18"/>
              </w:rPr>
              <w:t xml:space="preserve">Supplementary Table </w:t>
            </w:r>
            <w:r w:rsidR="00AF6556">
              <w:rPr>
                <w:b/>
                <w:bCs/>
                <w:sz w:val="18"/>
                <w:szCs w:val="18"/>
              </w:rPr>
              <w:t>2</w:t>
            </w:r>
            <w:r>
              <w:rPr>
                <w:sz w:val="18"/>
                <w:szCs w:val="18"/>
              </w:rPr>
              <w:t xml:space="preserve">) to support this transformation include tax reforms which increase revenue from income and profits, </w:t>
            </w:r>
            <w:proofErr w:type="gramStart"/>
            <w:r>
              <w:rPr>
                <w:sz w:val="18"/>
                <w:szCs w:val="18"/>
              </w:rPr>
              <w:t>consumption</w:t>
            </w:r>
            <w:proofErr w:type="gramEnd"/>
            <w:r>
              <w:rPr>
                <w:sz w:val="18"/>
                <w:szCs w:val="18"/>
              </w:rPr>
              <w:t xml:space="preserve"> and trade</w:t>
            </w:r>
            <w:r w:rsidR="00C211DA">
              <w:rPr>
                <w:sz w:val="18"/>
                <w:szCs w:val="18"/>
              </w:rPr>
              <w:t>,</w:t>
            </w:r>
            <w:r>
              <w:rPr>
                <w:sz w:val="18"/>
                <w:szCs w:val="18"/>
              </w:rPr>
              <w:t xml:space="preserve"> and increas</w:t>
            </w:r>
            <w:r w:rsidR="00C211DA">
              <w:rPr>
                <w:sz w:val="18"/>
                <w:szCs w:val="18"/>
              </w:rPr>
              <w:t>ed</w:t>
            </w:r>
            <w:r>
              <w:rPr>
                <w:sz w:val="18"/>
                <w:szCs w:val="18"/>
              </w:rPr>
              <w:t xml:space="preserve"> fiscal pressure on higher income earners with greater distribution to </w:t>
            </w:r>
            <w:r w:rsidR="00C211DA">
              <w:rPr>
                <w:sz w:val="18"/>
                <w:szCs w:val="18"/>
              </w:rPr>
              <w:t>low-income</w:t>
            </w:r>
            <w:r>
              <w:rPr>
                <w:sz w:val="18"/>
                <w:szCs w:val="18"/>
              </w:rPr>
              <w:t xml:space="preserve"> earners.  Additional revenue is used to increase subsidies and transfers to households (</w:t>
            </w:r>
            <w:proofErr w:type="gramStart"/>
            <w:r>
              <w:rPr>
                <w:sz w:val="18"/>
                <w:szCs w:val="18"/>
              </w:rPr>
              <w:t>i.e.</w:t>
            </w:r>
            <w:proofErr w:type="gramEnd"/>
            <w:r>
              <w:rPr>
                <w:sz w:val="18"/>
                <w:szCs w:val="18"/>
              </w:rPr>
              <w:t xml:space="preserve"> increase Newstart) as well as infrastructure expenditure and investments in a green manufacturing transition.  </w:t>
            </w:r>
            <w:r>
              <w:rPr>
                <w:sz w:val="18"/>
                <w:szCs w:val="18"/>
              </w:rPr>
              <w:lastRenderedPageBreak/>
              <w:t>Stronger standards and regulations result in increased material consumption efficiency but also reduce</w:t>
            </w:r>
            <w:r w:rsidR="0055515D">
              <w:rPr>
                <w:sz w:val="18"/>
                <w:szCs w:val="18"/>
              </w:rPr>
              <w:t>d</w:t>
            </w:r>
            <w:r>
              <w:rPr>
                <w:sz w:val="18"/>
                <w:szCs w:val="18"/>
              </w:rPr>
              <w:t xml:space="preserve"> industry productivity (</w:t>
            </w:r>
            <w:r w:rsidRPr="00C944F0">
              <w:rPr>
                <w:b/>
                <w:bCs/>
                <w:sz w:val="18"/>
                <w:szCs w:val="18"/>
              </w:rPr>
              <w:t xml:space="preserve">Supplementary Table </w:t>
            </w:r>
            <w:r w:rsidR="00AF6556">
              <w:rPr>
                <w:b/>
                <w:bCs/>
                <w:sz w:val="18"/>
                <w:szCs w:val="18"/>
              </w:rPr>
              <w:t>2</w:t>
            </w:r>
            <w:r>
              <w:rPr>
                <w:sz w:val="18"/>
                <w:szCs w:val="18"/>
              </w:rPr>
              <w:t xml:space="preserve">). </w:t>
            </w:r>
          </w:p>
        </w:tc>
        <w:tc>
          <w:tcPr>
            <w:tcW w:w="1762" w:type="dxa"/>
          </w:tcPr>
          <w:p w14:paraId="4979996B" w14:textId="5F70C16D" w:rsidR="00FD55A5" w:rsidRDefault="00FD55A5" w:rsidP="007F346F">
            <w:pPr>
              <w:rPr>
                <w:sz w:val="18"/>
                <w:szCs w:val="18"/>
              </w:rPr>
            </w:pPr>
            <w:r w:rsidRPr="00C561D8">
              <w:rPr>
                <w:sz w:val="18"/>
                <w:szCs w:val="18"/>
              </w:rPr>
              <w:lastRenderedPageBreak/>
              <w:fldChar w:fldCharType="begin">
                <w:fldData xml:space="preserve">PEVuZE5vdGU+PENpdGU+PEF1dGhvcj5Qd0M8L0F1dGhvcj48WWVhcj4yMDIwPC9ZZWFyPjxSZWNO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</w:fldData>
              </w:fldChar>
            </w:r>
            <w:r w:rsidR="006E27EC">
              <w:rPr>
                <w:sz w:val="18"/>
                <w:szCs w:val="18"/>
              </w:rPr>
              <w:instrText xml:space="preserve"> ADDIN EN.CITE </w:instrText>
            </w:r>
            <w:r w:rsidR="006E27EC">
              <w:rPr>
                <w:sz w:val="18"/>
                <w:szCs w:val="18"/>
              </w:rPr>
              <w:fldChar w:fldCharType="begin">
                <w:fldData xml:space="preserve">PEVuZE5vdGU+PENpdGU+PEF1dGhvcj5Qd0M8L0F1dGhvcj48WWVhcj4yMDIwPC9ZZWFyPjxSZWNO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</w:fldData>
              </w:fldChar>
            </w:r>
            <w:r w:rsidR="006E27EC">
              <w:rPr>
                <w:sz w:val="18"/>
                <w:szCs w:val="18"/>
              </w:rPr>
              <w:instrText xml:space="preserve"> ADDIN EN.CITE.DATA </w:instrText>
            </w:r>
            <w:r w:rsidR="006E27EC">
              <w:rPr>
                <w:sz w:val="18"/>
                <w:szCs w:val="18"/>
              </w:rPr>
            </w:r>
            <w:r w:rsidR="006E27EC">
              <w:rPr>
                <w:sz w:val="18"/>
                <w:szCs w:val="18"/>
              </w:rPr>
              <w:fldChar w:fldCharType="end"/>
            </w:r>
            <w:r w:rsidRPr="00C561D8">
              <w:rPr>
                <w:sz w:val="18"/>
                <w:szCs w:val="18"/>
              </w:rPr>
            </w:r>
            <w:r w:rsidRPr="00C561D8">
              <w:rPr>
                <w:sz w:val="18"/>
                <w:szCs w:val="18"/>
              </w:rPr>
              <w:fldChar w:fldCharType="separate"/>
            </w:r>
            <w:r w:rsidR="006E27EC">
              <w:rPr>
                <w:noProof/>
                <w:sz w:val="18"/>
                <w:szCs w:val="18"/>
              </w:rPr>
              <w:t>(PwC, 2020, ACOSS and UNSW Sydney, 2020a, BZE, 2021, ACOSS and UNSW Sydney, 2020b, BZE, 2020, Allen et al., 2020, Allen et al., 2019, Jones et al., 2021, NSW Government, 2022, ASFI, 2020, ACSI, 2022)</w:t>
            </w:r>
            <w:r w:rsidRPr="00C561D8">
              <w:rPr>
                <w:sz w:val="18"/>
                <w:szCs w:val="18"/>
              </w:rPr>
              <w:fldChar w:fldCharType="end"/>
            </w:r>
          </w:p>
          <w:p w14:paraId="58FF856C" w14:textId="77777777" w:rsidR="00FD55A5" w:rsidRDefault="00FD55A5" w:rsidP="007F346F">
            <w:pPr>
              <w:rPr>
                <w:sz w:val="18"/>
                <w:szCs w:val="18"/>
              </w:rPr>
            </w:pPr>
          </w:p>
          <w:p w14:paraId="5DAE5B1F" w14:textId="77777777" w:rsidR="00FD55A5" w:rsidRPr="00C561D8" w:rsidRDefault="00FD55A5" w:rsidP="007F346F">
            <w:pPr>
              <w:rPr>
                <w:sz w:val="18"/>
                <w:szCs w:val="18"/>
              </w:rPr>
            </w:pPr>
          </w:p>
        </w:tc>
      </w:tr>
      <w:tr w:rsidR="00FD55A5" w:rsidRPr="0084089A" w14:paraId="1969644B" w14:textId="77777777" w:rsidTr="007F346F">
        <w:tc>
          <w:tcPr>
            <w:tcW w:w="2263" w:type="dxa"/>
          </w:tcPr>
          <w:p w14:paraId="37401743" w14:textId="77777777" w:rsidR="00FD55A5" w:rsidRPr="0084089A" w:rsidRDefault="00FD55A5" w:rsidP="007F346F">
            <w:pPr>
              <w:rPr>
                <w:sz w:val="18"/>
                <w:szCs w:val="18"/>
              </w:rPr>
            </w:pPr>
            <w:r w:rsidRPr="0084089A">
              <w:rPr>
                <w:b/>
                <w:bCs/>
                <w:sz w:val="18"/>
                <w:szCs w:val="18"/>
              </w:rPr>
              <w:lastRenderedPageBreak/>
              <w:t>3. Sustainable food systems and health</w:t>
            </w:r>
            <w:r>
              <w:rPr>
                <w:b/>
                <w:bCs/>
                <w:sz w:val="18"/>
                <w:szCs w:val="18"/>
              </w:rPr>
              <w:t>y</w:t>
            </w:r>
            <w:r w:rsidRPr="0084089A">
              <w:rPr>
                <w:b/>
                <w:bCs/>
                <w:sz w:val="18"/>
                <w:szCs w:val="18"/>
              </w:rPr>
              <w:t xml:space="preserve"> nutrition</w:t>
            </w:r>
          </w:p>
        </w:tc>
        <w:tc>
          <w:tcPr>
            <w:tcW w:w="9923" w:type="dxa"/>
          </w:tcPr>
          <w:p w14:paraId="30C938D0" w14:textId="77777777" w:rsidR="00FD55A5" w:rsidRDefault="00FD55A5" w:rsidP="007F346F">
            <w:pPr>
              <w:rPr>
                <w:sz w:val="18"/>
                <w:szCs w:val="18"/>
              </w:rPr>
            </w:pPr>
            <w:r>
              <w:rPr>
                <w:b/>
                <w:bCs/>
                <w:sz w:val="18"/>
                <w:szCs w:val="18"/>
              </w:rPr>
              <w:t>Progress and Challenges</w:t>
            </w:r>
          </w:p>
          <w:p w14:paraId="32954460" w14:textId="44FC7412" w:rsidR="00FD55A5" w:rsidRDefault="00FD55A5" w:rsidP="007F346F">
            <w:pPr>
              <w:rPr>
                <w:sz w:val="18"/>
                <w:szCs w:val="18"/>
              </w:rPr>
            </w:pPr>
            <w:r w:rsidRPr="003E2A46">
              <w:rPr>
                <w:sz w:val="18"/>
                <w:szCs w:val="18"/>
              </w:rPr>
              <w:t>Australia is internationally recognised as a major food producer and a major quality food supplier. However, access to quality food varies considerably by location and across social and economic groups.</w:t>
            </w:r>
            <w:r w:rsidRPr="00C754C6">
              <w:rPr>
                <w:sz w:val="18"/>
                <w:szCs w:val="18"/>
              </w:rPr>
              <w:t xml:space="preserve"> </w:t>
            </w:r>
            <w:r w:rsidRPr="003E2A46">
              <w:rPr>
                <w:sz w:val="18"/>
                <w:szCs w:val="18"/>
              </w:rPr>
              <w:t>Yearly agricultural yields and income can vary significantly, especially those dependent on rainfall</w:t>
            </w:r>
            <w:r w:rsidRPr="00C754C6">
              <w:rPr>
                <w:sz w:val="18"/>
                <w:szCs w:val="18"/>
              </w:rPr>
              <w:t xml:space="preserve">, and are vulnerable to natural disasters. </w:t>
            </w:r>
            <w:r>
              <w:rPr>
                <w:sz w:val="18"/>
                <w:szCs w:val="18"/>
              </w:rPr>
              <w:t xml:space="preserve">Agriculture is largely unsubsidised and export-oriented, with some 60% of total production sold abroad. </w:t>
            </w:r>
            <w:r w:rsidRPr="00695BB2">
              <w:rPr>
                <w:sz w:val="18"/>
                <w:szCs w:val="18"/>
              </w:rPr>
              <w:t xml:space="preserve">Australian farmers operate in a very lean financial environment with little government support and limited bargaining power in terms of farm gate prices due to concentration in the Australian supermarket sector. </w:t>
            </w:r>
            <w:r>
              <w:rPr>
                <w:sz w:val="18"/>
                <w:szCs w:val="18"/>
              </w:rPr>
              <w:t xml:space="preserve">To improve efficiency and increase output, they have adopted the latest technologies and management systems. Neoliberal settings have encouraged specialisation, </w:t>
            </w:r>
            <w:proofErr w:type="gramStart"/>
            <w:r>
              <w:rPr>
                <w:sz w:val="18"/>
                <w:szCs w:val="18"/>
              </w:rPr>
              <w:t>intensification</w:t>
            </w:r>
            <w:proofErr w:type="gramEnd"/>
            <w:r>
              <w:rPr>
                <w:sz w:val="18"/>
                <w:szCs w:val="18"/>
              </w:rPr>
              <w:t xml:space="preserve"> and economic concentration, as well as the </w:t>
            </w:r>
            <w:r w:rsidR="005A3949">
              <w:rPr>
                <w:sz w:val="18"/>
                <w:szCs w:val="18"/>
              </w:rPr>
              <w:t>financialization</w:t>
            </w:r>
            <w:r>
              <w:rPr>
                <w:sz w:val="18"/>
                <w:szCs w:val="18"/>
              </w:rPr>
              <w:t xml:space="preserve"> of agriculture where sovereign wealth funds and international investors have purchased large areas of farming land. A</w:t>
            </w:r>
            <w:r w:rsidRPr="00304402">
              <w:rPr>
                <w:sz w:val="18"/>
                <w:szCs w:val="18"/>
              </w:rPr>
              <w:t xml:space="preserve"> strongly concentrated number of multinational corporations hold</w:t>
            </w:r>
            <w:r>
              <w:rPr>
                <w:sz w:val="18"/>
                <w:szCs w:val="18"/>
              </w:rPr>
              <w:t xml:space="preserve"> </w:t>
            </w:r>
            <w:r w:rsidRPr="00304402">
              <w:rPr>
                <w:sz w:val="18"/>
                <w:szCs w:val="18"/>
              </w:rPr>
              <w:t>a large stake in the Australian food system</w:t>
            </w:r>
            <w:r>
              <w:rPr>
                <w:sz w:val="18"/>
                <w:szCs w:val="18"/>
              </w:rPr>
              <w:t xml:space="preserve">. </w:t>
            </w:r>
            <w:r w:rsidRPr="00D33BCE">
              <w:rPr>
                <w:sz w:val="18"/>
                <w:szCs w:val="18"/>
              </w:rPr>
              <w:t>There is a challenge of succession between farming generations, with young farmers struggling to raise adequate capital to buy farms</w:t>
            </w:r>
            <w:r>
              <w:rPr>
                <w:sz w:val="18"/>
                <w:szCs w:val="18"/>
              </w:rPr>
              <w:t xml:space="preserve">. </w:t>
            </w:r>
          </w:p>
          <w:p w14:paraId="236CF549" w14:textId="77777777" w:rsidR="00FD55A5" w:rsidRDefault="00FD55A5" w:rsidP="007F346F">
            <w:pPr>
              <w:rPr>
                <w:sz w:val="18"/>
                <w:szCs w:val="18"/>
              </w:rPr>
            </w:pPr>
          </w:p>
          <w:p w14:paraId="260AC644" w14:textId="1FBEBDEF" w:rsidR="00FD55A5" w:rsidRDefault="00F435B5" w:rsidP="007F346F">
            <w:pPr>
              <w:rPr>
                <w:sz w:val="18"/>
                <w:szCs w:val="18"/>
              </w:rPr>
            </w:pPr>
            <w:r w:rsidRPr="005778D0">
              <w:rPr>
                <w:sz w:val="18"/>
                <w:szCs w:val="18"/>
              </w:rPr>
              <w:t>While there are many ways of configuring food system</w:t>
            </w:r>
            <w:r>
              <w:rPr>
                <w:sz w:val="18"/>
                <w:szCs w:val="18"/>
              </w:rPr>
              <w:t>s</w:t>
            </w:r>
            <w:r w:rsidRPr="005778D0">
              <w:rPr>
                <w:sz w:val="18"/>
                <w:szCs w:val="18"/>
              </w:rPr>
              <w:t xml:space="preserve">, the </w:t>
            </w:r>
            <w:r>
              <w:rPr>
                <w:sz w:val="18"/>
                <w:szCs w:val="18"/>
              </w:rPr>
              <w:t xml:space="preserve">current </w:t>
            </w:r>
            <w:r w:rsidRPr="005778D0">
              <w:rPr>
                <w:sz w:val="18"/>
                <w:szCs w:val="18"/>
              </w:rPr>
              <w:t>dominant model organises around an unsustainable growth imperative; the need to produce the highest output at the lowest cost and generate as much profit as possible in the shortest amount of time. This fundamental (yet often hidden) rule is what drives and shapes the industrial food system.</w:t>
            </w:r>
            <w:r>
              <w:rPr>
                <w:sz w:val="18"/>
                <w:szCs w:val="18"/>
              </w:rPr>
              <w:t xml:space="preserve"> </w:t>
            </w:r>
            <w:r w:rsidR="00FD55A5" w:rsidRPr="00056BAA">
              <w:rPr>
                <w:sz w:val="18"/>
                <w:szCs w:val="18"/>
              </w:rPr>
              <w:t>Australia’s food system is</w:t>
            </w:r>
            <w:r w:rsidR="00FD55A5">
              <w:rPr>
                <w:sz w:val="18"/>
                <w:szCs w:val="18"/>
              </w:rPr>
              <w:t xml:space="preserve"> also</w:t>
            </w:r>
            <w:r w:rsidR="00FD55A5" w:rsidRPr="00056BAA">
              <w:rPr>
                <w:sz w:val="18"/>
                <w:szCs w:val="18"/>
              </w:rPr>
              <w:t xml:space="preserve"> organised in a way that makes it energy and emissions-intensive – amounting to 30-40% of Australia’s total GHGs and accounting for the most food-related emissions per capita globall</w:t>
            </w:r>
            <w:r w:rsidR="00FD55A5">
              <w:rPr>
                <w:sz w:val="18"/>
                <w:szCs w:val="18"/>
              </w:rPr>
              <w:t xml:space="preserve">y. </w:t>
            </w:r>
            <w:r w:rsidR="00FD55A5" w:rsidRPr="00D84B9C">
              <w:rPr>
                <w:sz w:val="18"/>
                <w:szCs w:val="18"/>
              </w:rPr>
              <w:t>A large proportion of emissions comes from industrial agriculture, which is heavily dependent on synthetic fertilizers and other fossil fuel derived agrochemicals. The reliance on fertilizers to maintain or improve soil fertility is costly for farmers and disrupts the functioning of soils ecosystems</w:t>
            </w:r>
            <w:r w:rsidR="005A3949">
              <w:rPr>
                <w:sz w:val="18"/>
                <w:szCs w:val="18"/>
              </w:rPr>
              <w:t>.</w:t>
            </w:r>
            <w:r w:rsidR="00FD55A5" w:rsidRPr="00D84B9C">
              <w:rPr>
                <w:sz w:val="18"/>
                <w:szCs w:val="18"/>
              </w:rPr>
              <w:t xml:space="preserve"> Soil degradation has also been exacerbated by the widespread removal of deep-rooted native vegetation and replacement with (non-native) annual crops and perennial pastures, which in turn has promulgated habitat destruction, biodiversity loss and water scarcity</w:t>
            </w:r>
            <w:r w:rsidR="00FD55A5">
              <w:rPr>
                <w:sz w:val="18"/>
                <w:szCs w:val="18"/>
              </w:rPr>
              <w:t xml:space="preserve">. </w:t>
            </w:r>
          </w:p>
          <w:p w14:paraId="0664E2E4" w14:textId="77777777" w:rsidR="00FD55A5" w:rsidRDefault="00FD55A5" w:rsidP="007F346F">
            <w:pPr>
              <w:rPr>
                <w:sz w:val="18"/>
                <w:szCs w:val="18"/>
              </w:rPr>
            </w:pPr>
            <w:r w:rsidRPr="00695BB2">
              <w:rPr>
                <w:sz w:val="18"/>
                <w:szCs w:val="18"/>
              </w:rPr>
              <w:t>Over the past two decades, irrigation efficiency and water-saving techniques have led to a reduction in agricultural water consumption accompanied by increased productivity.  Agriculture uses the largest share of water of any industry.</w:t>
            </w:r>
            <w:r>
              <w:rPr>
                <w:sz w:val="18"/>
                <w:szCs w:val="18"/>
              </w:rPr>
              <w:t xml:space="preserve"> </w:t>
            </w:r>
          </w:p>
          <w:p w14:paraId="6761038B" w14:textId="77777777" w:rsidR="00FD55A5" w:rsidRDefault="00FD55A5" w:rsidP="007F346F">
            <w:pPr>
              <w:rPr>
                <w:sz w:val="18"/>
                <w:szCs w:val="18"/>
              </w:rPr>
            </w:pPr>
          </w:p>
          <w:p w14:paraId="0FD1C69D" w14:textId="1EB7E3C9" w:rsidR="00FD55A5" w:rsidRDefault="00FD55A5" w:rsidP="007F346F">
            <w:pPr>
              <w:rPr>
                <w:sz w:val="18"/>
                <w:szCs w:val="18"/>
              </w:rPr>
            </w:pPr>
            <w:r w:rsidRPr="00D41B46">
              <w:rPr>
                <w:sz w:val="18"/>
                <w:szCs w:val="18"/>
              </w:rPr>
              <w:t xml:space="preserve">While </w:t>
            </w:r>
            <w:r>
              <w:rPr>
                <w:sz w:val="18"/>
                <w:szCs w:val="18"/>
              </w:rPr>
              <w:t>Australia</w:t>
            </w:r>
            <w:r w:rsidRPr="00D41B46">
              <w:rPr>
                <w:sz w:val="18"/>
                <w:szCs w:val="18"/>
              </w:rPr>
              <w:t xml:space="preserve"> produce</w:t>
            </w:r>
            <w:r>
              <w:rPr>
                <w:sz w:val="18"/>
                <w:szCs w:val="18"/>
              </w:rPr>
              <w:t>s</w:t>
            </w:r>
            <w:r w:rsidRPr="00D41B46">
              <w:rPr>
                <w:sz w:val="18"/>
                <w:szCs w:val="18"/>
              </w:rPr>
              <w:t xml:space="preserve"> significantly more food than </w:t>
            </w:r>
            <w:r>
              <w:rPr>
                <w:sz w:val="18"/>
                <w:szCs w:val="18"/>
              </w:rPr>
              <w:t>it consumes, it</w:t>
            </w:r>
            <w:r w:rsidRPr="00D41B46">
              <w:rPr>
                <w:sz w:val="18"/>
                <w:szCs w:val="18"/>
              </w:rPr>
              <w:t xml:space="preserve"> remain</w:t>
            </w:r>
            <w:r>
              <w:rPr>
                <w:sz w:val="18"/>
                <w:szCs w:val="18"/>
              </w:rPr>
              <w:t>s</w:t>
            </w:r>
            <w:r w:rsidRPr="00D41B46">
              <w:rPr>
                <w:sz w:val="18"/>
                <w:szCs w:val="18"/>
              </w:rPr>
              <w:t xml:space="preserve"> vulnerable to shortfalls in the domestic supply of fruit and vegetables – the very foundation of nutritious diets</w:t>
            </w:r>
            <w:r>
              <w:rPr>
                <w:sz w:val="18"/>
                <w:szCs w:val="18"/>
              </w:rPr>
              <w:t xml:space="preserve">. </w:t>
            </w:r>
            <w:r w:rsidRPr="00FE3565">
              <w:rPr>
                <w:sz w:val="18"/>
                <w:szCs w:val="18"/>
              </w:rPr>
              <w:t xml:space="preserve">The significant concentration of power in the food system also compromises its resilience. Concentration is especially notable at the retail stage, where </w:t>
            </w:r>
            <w:r w:rsidR="003E0913">
              <w:rPr>
                <w:sz w:val="18"/>
                <w:szCs w:val="18"/>
              </w:rPr>
              <w:t>a small number of</w:t>
            </w:r>
            <w:r w:rsidRPr="00FE3565">
              <w:rPr>
                <w:sz w:val="18"/>
                <w:szCs w:val="18"/>
              </w:rPr>
              <w:t xml:space="preserve"> companies dominate the market. This imbalance of bargaining power can lead to unfair trading practices, which disadvantages producers, particularly small and medium-size, and generate financial stress among farmers</w:t>
            </w:r>
            <w:r w:rsidR="005A3949">
              <w:rPr>
                <w:sz w:val="18"/>
                <w:szCs w:val="18"/>
              </w:rPr>
              <w:t>.</w:t>
            </w:r>
            <w:r>
              <w:rPr>
                <w:sz w:val="18"/>
                <w:szCs w:val="18"/>
              </w:rPr>
              <w:t xml:space="preserve"> </w:t>
            </w:r>
            <w:r w:rsidRPr="00DB648A">
              <w:rPr>
                <w:sz w:val="18"/>
                <w:szCs w:val="18"/>
              </w:rPr>
              <w:t xml:space="preserve">Over many years, driven by the need to achieve economies of scale (i.e., “get big or get out”), there has been an ongoing restructuring of farming landscapes towards increasing consolidation, </w:t>
            </w:r>
            <w:proofErr w:type="gramStart"/>
            <w:r w:rsidRPr="00DB648A">
              <w:rPr>
                <w:sz w:val="18"/>
                <w:szCs w:val="18"/>
              </w:rPr>
              <w:t>concentration</w:t>
            </w:r>
            <w:proofErr w:type="gramEnd"/>
            <w:r w:rsidRPr="00DB648A">
              <w:rPr>
                <w:sz w:val="18"/>
                <w:szCs w:val="18"/>
              </w:rPr>
              <w:t xml:space="preserve"> and specialisation. These tendencies have come at the expense of many adverse environmental, social and health outcomes</w:t>
            </w:r>
            <w:r>
              <w:rPr>
                <w:sz w:val="18"/>
                <w:szCs w:val="18"/>
              </w:rPr>
              <w:t xml:space="preserve">. </w:t>
            </w:r>
            <w:r w:rsidRPr="004502CD">
              <w:rPr>
                <w:sz w:val="18"/>
                <w:szCs w:val="18"/>
              </w:rPr>
              <w:t>A concentration of power in Australia’s food supply chains is undermining sustainable food systems and the ability of food producers and consumers to enable change</w:t>
            </w:r>
            <w:r>
              <w:rPr>
                <w:sz w:val="18"/>
                <w:szCs w:val="18"/>
              </w:rPr>
              <w:t xml:space="preserve">. </w:t>
            </w:r>
            <w:r w:rsidRPr="00F72542">
              <w:rPr>
                <w:sz w:val="18"/>
                <w:szCs w:val="18"/>
              </w:rPr>
              <w:t xml:space="preserve">There is little effective regulation to </w:t>
            </w:r>
            <w:r w:rsidR="003E0913">
              <w:rPr>
                <w:sz w:val="18"/>
                <w:szCs w:val="18"/>
              </w:rPr>
              <w:t>these deficiencies.</w:t>
            </w:r>
            <w:r>
              <w:rPr>
                <w:sz w:val="18"/>
                <w:szCs w:val="18"/>
              </w:rPr>
              <w:t xml:space="preserve"> </w:t>
            </w:r>
          </w:p>
          <w:p w14:paraId="7DBD23B6" w14:textId="77777777" w:rsidR="00FD55A5" w:rsidRDefault="00FD55A5" w:rsidP="007F346F">
            <w:pPr>
              <w:rPr>
                <w:sz w:val="18"/>
                <w:szCs w:val="18"/>
              </w:rPr>
            </w:pPr>
          </w:p>
          <w:p w14:paraId="5C10038A" w14:textId="77777777" w:rsidR="00FD55A5" w:rsidRDefault="00FD55A5" w:rsidP="007F346F">
            <w:pPr>
              <w:rPr>
                <w:sz w:val="18"/>
                <w:szCs w:val="18"/>
              </w:rPr>
            </w:pPr>
            <w:r>
              <w:rPr>
                <w:b/>
                <w:bCs/>
                <w:sz w:val="18"/>
                <w:szCs w:val="18"/>
              </w:rPr>
              <w:t>Transformation Bottlenecks</w:t>
            </w:r>
          </w:p>
          <w:p w14:paraId="314612F7" w14:textId="7B23BCC1" w:rsidR="00FD55A5" w:rsidRPr="00996BA7" w:rsidRDefault="00FD55A5" w:rsidP="00FD55A5">
            <w:pPr>
              <w:numPr>
                <w:ilvl w:val="0"/>
                <w:numId w:val="3"/>
              </w:numPr>
              <w:rPr>
                <w:sz w:val="18"/>
                <w:szCs w:val="18"/>
              </w:rPr>
            </w:pPr>
            <w:r w:rsidRPr="00996BA7">
              <w:rPr>
                <w:b/>
                <w:bCs/>
                <w:sz w:val="18"/>
                <w:szCs w:val="18"/>
              </w:rPr>
              <w:t>Techno-economic:</w:t>
            </w:r>
            <w:r w:rsidRPr="00996BA7">
              <w:rPr>
                <w:sz w:val="18"/>
                <w:szCs w:val="18"/>
              </w:rPr>
              <w:t xml:space="preserve"> sunk investments in agricultural machinery, land and infrastructure and knowledge create vested interests;  the current business model involving large-scale land holdings, foreign investment and expected returns, and market concentration in supply chains create barriers to emerging business models based on regenerative, small-scale farming and </w:t>
            </w:r>
            <w:r w:rsidRPr="00996BA7">
              <w:rPr>
                <w:sz w:val="18"/>
                <w:szCs w:val="18"/>
              </w:rPr>
              <w:lastRenderedPageBreak/>
              <w:t xml:space="preserve">local supply chains; economies of scale for large-scale farming out-compete small farms;  </w:t>
            </w:r>
            <w:r>
              <w:rPr>
                <w:sz w:val="18"/>
                <w:szCs w:val="18"/>
              </w:rPr>
              <w:t>f</w:t>
            </w:r>
            <w:r w:rsidRPr="00996BA7">
              <w:rPr>
                <w:sz w:val="18"/>
                <w:szCs w:val="18"/>
              </w:rPr>
              <w:t>armers must invest in acquiring skills, equipment, networks, and retail relationships associated with industrial agriculture, and could lose these if they converted to agroecology</w:t>
            </w:r>
            <w:r w:rsidR="00E96319">
              <w:rPr>
                <w:sz w:val="18"/>
                <w:szCs w:val="18"/>
              </w:rPr>
              <w:t>.</w:t>
            </w:r>
          </w:p>
          <w:p w14:paraId="6852506A" w14:textId="7F64ECF4" w:rsidR="00FD55A5" w:rsidRPr="00154EB0" w:rsidRDefault="00FD55A5" w:rsidP="00FD55A5">
            <w:pPr>
              <w:numPr>
                <w:ilvl w:val="0"/>
                <w:numId w:val="3"/>
              </w:numPr>
              <w:rPr>
                <w:sz w:val="18"/>
                <w:szCs w:val="18"/>
              </w:rPr>
            </w:pPr>
            <w:r w:rsidRPr="00154EB0">
              <w:rPr>
                <w:b/>
                <w:bCs/>
                <w:sz w:val="18"/>
                <w:szCs w:val="18"/>
              </w:rPr>
              <w:t>Socio-behavioural</w:t>
            </w:r>
            <w:r w:rsidRPr="00154EB0">
              <w:rPr>
                <w:sz w:val="18"/>
                <w:szCs w:val="18"/>
              </w:rPr>
              <w:t>: modern lifestyles increasingly rely on fast, readily available, convenient ultra-processed foods; the dominant framing or worldview of “sustainable intensification” rather than regenerative or agroecological farming; there is an expectation that food should be cheap and accessible; strong beliefs among scientist, industry, and government elites in the power of science and technology to overcome climate constraints are leading to agroecology being ignored</w:t>
            </w:r>
            <w:r w:rsidR="00B2267D" w:rsidRPr="00154EB0">
              <w:rPr>
                <w:sz w:val="18"/>
                <w:szCs w:val="18"/>
              </w:rPr>
              <w:t>; attention is focused on optimising the current system</w:t>
            </w:r>
          </w:p>
          <w:p w14:paraId="38E3E5AC" w14:textId="01634A46" w:rsidR="00FD55A5" w:rsidRPr="00F22D87" w:rsidRDefault="00FD55A5" w:rsidP="00FD55A5">
            <w:pPr>
              <w:numPr>
                <w:ilvl w:val="0"/>
                <w:numId w:val="3"/>
              </w:numPr>
              <w:rPr>
                <w:sz w:val="18"/>
                <w:szCs w:val="18"/>
              </w:rPr>
            </w:pPr>
            <w:r w:rsidRPr="00D54991">
              <w:rPr>
                <w:b/>
                <w:bCs/>
                <w:sz w:val="18"/>
                <w:szCs w:val="18"/>
              </w:rPr>
              <w:t>Socio</w:t>
            </w:r>
            <w:r w:rsidRPr="008870DB">
              <w:rPr>
                <w:b/>
                <w:bCs/>
                <w:sz w:val="18"/>
                <w:szCs w:val="18"/>
              </w:rPr>
              <w:t>-ecological</w:t>
            </w:r>
            <w:r w:rsidRPr="00D54991">
              <w:rPr>
                <w:sz w:val="18"/>
                <w:szCs w:val="18"/>
              </w:rPr>
              <w:t xml:space="preserve">: settler colonialism </w:t>
            </w:r>
            <w:r w:rsidR="004C3CEB">
              <w:rPr>
                <w:sz w:val="18"/>
                <w:szCs w:val="18"/>
              </w:rPr>
              <w:t xml:space="preserve">created a particularly agrarian trajectory in Australia which </w:t>
            </w:r>
            <w:r w:rsidRPr="00D54991">
              <w:rPr>
                <w:sz w:val="18"/>
                <w:szCs w:val="18"/>
              </w:rPr>
              <w:t xml:space="preserve">has reshaped landscapes and ecologies and </w:t>
            </w:r>
            <w:r w:rsidR="004C3CEB">
              <w:rPr>
                <w:sz w:val="18"/>
                <w:szCs w:val="18"/>
              </w:rPr>
              <w:t>erased</w:t>
            </w:r>
            <w:r w:rsidRPr="00D54991">
              <w:rPr>
                <w:sz w:val="18"/>
                <w:szCs w:val="18"/>
              </w:rPr>
              <w:t xml:space="preserve"> indigenous farming systems that could have inspired alternative agriculture</w:t>
            </w:r>
            <w:r w:rsidR="004C3CEB">
              <w:rPr>
                <w:sz w:val="18"/>
                <w:szCs w:val="18"/>
              </w:rPr>
              <w:t>.</w:t>
            </w:r>
          </w:p>
          <w:p w14:paraId="19EED84B" w14:textId="2758DA11" w:rsidR="00FD55A5" w:rsidRPr="00B04C79" w:rsidRDefault="00FD55A5" w:rsidP="00FD55A5">
            <w:pPr>
              <w:numPr>
                <w:ilvl w:val="0"/>
                <w:numId w:val="3"/>
              </w:numPr>
              <w:rPr>
                <w:sz w:val="18"/>
                <w:szCs w:val="18"/>
              </w:rPr>
            </w:pPr>
            <w:r w:rsidRPr="00F22D87">
              <w:rPr>
                <w:b/>
                <w:bCs/>
                <w:sz w:val="18"/>
                <w:szCs w:val="18"/>
              </w:rPr>
              <w:t>Political-institutional</w:t>
            </w:r>
            <w:r w:rsidRPr="00F22D87">
              <w:rPr>
                <w:sz w:val="18"/>
                <w:szCs w:val="18"/>
              </w:rPr>
              <w:t>:  existing government policy settings</w:t>
            </w:r>
            <w:r>
              <w:rPr>
                <w:sz w:val="18"/>
                <w:szCs w:val="18"/>
              </w:rPr>
              <w:t>, research and extension services,</w:t>
            </w:r>
            <w:r w:rsidRPr="00F22D87">
              <w:rPr>
                <w:sz w:val="18"/>
                <w:szCs w:val="18"/>
              </w:rPr>
              <w:t xml:space="preserve"> and </w:t>
            </w:r>
            <w:r>
              <w:rPr>
                <w:sz w:val="18"/>
                <w:szCs w:val="18"/>
              </w:rPr>
              <w:t>retailer bulk supply preferences</w:t>
            </w:r>
            <w:r w:rsidRPr="00F22D87">
              <w:rPr>
                <w:sz w:val="18"/>
                <w:szCs w:val="18"/>
              </w:rPr>
              <w:t xml:space="preserve"> favour large-scale </w:t>
            </w:r>
            <w:r>
              <w:rPr>
                <w:sz w:val="18"/>
                <w:szCs w:val="18"/>
              </w:rPr>
              <w:t xml:space="preserve">industrial </w:t>
            </w:r>
            <w:r w:rsidRPr="00F22D87">
              <w:rPr>
                <w:sz w:val="18"/>
                <w:szCs w:val="18"/>
              </w:rPr>
              <w:t xml:space="preserve">farming and incumbent firms; there is a lack of support and uneven playing field for local farmers; </w:t>
            </w:r>
            <w:r>
              <w:rPr>
                <w:sz w:val="18"/>
                <w:szCs w:val="18"/>
              </w:rPr>
              <w:t xml:space="preserve">corporate concentration of power and </w:t>
            </w:r>
            <w:r w:rsidRPr="00F22D87">
              <w:rPr>
                <w:sz w:val="18"/>
                <w:szCs w:val="18"/>
              </w:rPr>
              <w:t xml:space="preserve">vested interests </w:t>
            </w:r>
            <w:r>
              <w:rPr>
                <w:sz w:val="18"/>
                <w:szCs w:val="18"/>
              </w:rPr>
              <w:t>prevent change and</w:t>
            </w:r>
            <w:r w:rsidRPr="00F22D87">
              <w:rPr>
                <w:sz w:val="18"/>
                <w:szCs w:val="18"/>
              </w:rPr>
              <w:t xml:space="preserve"> hamper innovation</w:t>
            </w:r>
            <w:r>
              <w:rPr>
                <w:sz w:val="18"/>
                <w:szCs w:val="18"/>
              </w:rPr>
              <w:t xml:space="preserve">; supermarket duopoly </w:t>
            </w:r>
            <w:r w:rsidR="0025670D">
              <w:rPr>
                <w:sz w:val="18"/>
                <w:szCs w:val="18"/>
              </w:rPr>
              <w:t>has the</w:t>
            </w:r>
            <w:r w:rsidRPr="00931E8B">
              <w:rPr>
                <w:sz w:val="18"/>
                <w:szCs w:val="18"/>
              </w:rPr>
              <w:t xml:space="preserve"> power to determine</w:t>
            </w:r>
            <w:r w:rsidRPr="0072478D">
              <w:rPr>
                <w:sz w:val="18"/>
                <w:szCs w:val="18"/>
              </w:rPr>
              <w:t xml:space="preserve"> </w:t>
            </w:r>
            <w:r w:rsidRPr="00931E8B">
              <w:rPr>
                <w:sz w:val="18"/>
                <w:szCs w:val="18"/>
              </w:rPr>
              <w:t xml:space="preserve">the conditions of supply </w:t>
            </w:r>
            <w:r w:rsidR="0025670D">
              <w:rPr>
                <w:sz w:val="18"/>
                <w:szCs w:val="18"/>
              </w:rPr>
              <w:t>chains</w:t>
            </w:r>
            <w:r w:rsidR="00C41D0A">
              <w:rPr>
                <w:sz w:val="18"/>
                <w:szCs w:val="18"/>
              </w:rPr>
              <w:t xml:space="preserve">; a </w:t>
            </w:r>
            <w:r w:rsidR="00C41D0A" w:rsidRPr="00384A30">
              <w:rPr>
                <w:sz w:val="18"/>
                <w:szCs w:val="18"/>
              </w:rPr>
              <w:t>web of interlocking market and political incentives tailored to large-scale farming</w:t>
            </w:r>
            <w:r w:rsidR="00C41D0A">
              <w:rPr>
                <w:sz w:val="18"/>
                <w:szCs w:val="18"/>
              </w:rPr>
              <w:t xml:space="preserve"> </w:t>
            </w:r>
            <w:r w:rsidR="00C41D0A" w:rsidRPr="00384A30">
              <w:rPr>
                <w:sz w:val="18"/>
                <w:szCs w:val="18"/>
              </w:rPr>
              <w:t>reinforces the use of industrial methods</w:t>
            </w:r>
            <w:r w:rsidR="00C41D0A">
              <w:rPr>
                <w:sz w:val="18"/>
                <w:szCs w:val="18"/>
              </w:rPr>
              <w:t>.</w:t>
            </w:r>
          </w:p>
          <w:p w14:paraId="7AEC82CB" w14:textId="77777777" w:rsidR="00FD55A5" w:rsidRDefault="00FD55A5" w:rsidP="007F346F">
            <w:pPr>
              <w:rPr>
                <w:sz w:val="18"/>
                <w:szCs w:val="18"/>
              </w:rPr>
            </w:pPr>
          </w:p>
          <w:p w14:paraId="5E62A5DF" w14:textId="77777777" w:rsidR="00FD55A5" w:rsidRDefault="00FD55A5" w:rsidP="007F346F">
            <w:pPr>
              <w:rPr>
                <w:sz w:val="18"/>
                <w:szCs w:val="18"/>
              </w:rPr>
            </w:pPr>
            <w:r>
              <w:rPr>
                <w:b/>
                <w:bCs/>
                <w:sz w:val="18"/>
                <w:szCs w:val="18"/>
              </w:rPr>
              <w:t>Positive Signs and Seeds of Change</w:t>
            </w:r>
          </w:p>
          <w:p w14:paraId="09824D3B" w14:textId="77777777" w:rsidR="00FD55A5" w:rsidRDefault="00FD55A5" w:rsidP="00FD55A5">
            <w:pPr>
              <w:pStyle w:val="ListParagraph"/>
              <w:numPr>
                <w:ilvl w:val="0"/>
                <w:numId w:val="9"/>
              </w:numPr>
              <w:rPr>
                <w:sz w:val="18"/>
                <w:szCs w:val="18"/>
                <w:lang w:val="en-AU"/>
              </w:rPr>
            </w:pPr>
            <w:r>
              <w:rPr>
                <w:sz w:val="18"/>
                <w:szCs w:val="18"/>
                <w:lang w:val="en-AU"/>
              </w:rPr>
              <w:t xml:space="preserve">Growing number of farmers willing to transition to agroecological practices through proactive investment and capacity building. </w:t>
            </w:r>
          </w:p>
          <w:p w14:paraId="66D99584" w14:textId="16B27D45" w:rsidR="00FD55A5" w:rsidRDefault="00FD55A5" w:rsidP="00FD55A5">
            <w:pPr>
              <w:pStyle w:val="ListParagraph"/>
              <w:numPr>
                <w:ilvl w:val="0"/>
                <w:numId w:val="9"/>
              </w:numPr>
              <w:rPr>
                <w:sz w:val="18"/>
                <w:szCs w:val="18"/>
                <w:lang w:val="en-AU"/>
              </w:rPr>
            </w:pPr>
            <w:r w:rsidRPr="000F464B">
              <w:rPr>
                <w:sz w:val="18"/>
                <w:szCs w:val="18"/>
                <w:lang w:val="en-AU"/>
              </w:rPr>
              <w:t>High-Level Panel of Experts on Food Security and other independent bodies concerned with the sustainability of our food system are calling for a radical transformation by boldly reshaping the underlying principles that organise it from production to consumption.</w:t>
            </w:r>
            <w:r>
              <w:rPr>
                <w:sz w:val="18"/>
                <w:szCs w:val="18"/>
                <w:lang w:val="en-AU"/>
              </w:rPr>
              <w:t xml:space="preserve"> </w:t>
            </w:r>
          </w:p>
          <w:p w14:paraId="4449D4ED" w14:textId="4633A546" w:rsidR="00FD55A5" w:rsidRDefault="00FD55A5" w:rsidP="00FD55A5">
            <w:pPr>
              <w:pStyle w:val="ListParagraph"/>
              <w:numPr>
                <w:ilvl w:val="0"/>
                <w:numId w:val="9"/>
              </w:numPr>
              <w:rPr>
                <w:sz w:val="18"/>
                <w:szCs w:val="18"/>
                <w:lang w:val="en-AU"/>
              </w:rPr>
            </w:pPr>
            <w:r>
              <w:rPr>
                <w:sz w:val="18"/>
                <w:szCs w:val="18"/>
                <w:lang w:val="en-AU"/>
              </w:rPr>
              <w:t>Various emerging initiatives</w:t>
            </w:r>
            <w:r w:rsidR="0025670D">
              <w:rPr>
                <w:sz w:val="18"/>
                <w:szCs w:val="18"/>
                <w:lang w:val="en-AU"/>
              </w:rPr>
              <w:t xml:space="preserve"> in Australia</w:t>
            </w:r>
            <w:r>
              <w:rPr>
                <w:sz w:val="18"/>
                <w:szCs w:val="18"/>
                <w:lang w:val="en-AU"/>
              </w:rPr>
              <w:t xml:space="preserve"> are promoting food systems transformation, including Resilient </w:t>
            </w:r>
            <w:proofErr w:type="spellStart"/>
            <w:r>
              <w:rPr>
                <w:sz w:val="18"/>
                <w:szCs w:val="18"/>
                <w:lang w:val="en-AU"/>
              </w:rPr>
              <w:t>Foodbowl</w:t>
            </w:r>
            <w:proofErr w:type="spellEnd"/>
            <w:r>
              <w:rPr>
                <w:sz w:val="18"/>
                <w:szCs w:val="18"/>
                <w:lang w:val="en-AU"/>
              </w:rPr>
              <w:t>, Ripe for Change, CSIRO Future Food Systems and CRC</w:t>
            </w:r>
            <w:r w:rsidR="0025670D">
              <w:rPr>
                <w:sz w:val="18"/>
                <w:szCs w:val="18"/>
                <w:lang w:val="en-AU"/>
              </w:rPr>
              <w:t>,</w:t>
            </w:r>
            <w:r>
              <w:rPr>
                <w:sz w:val="18"/>
                <w:szCs w:val="18"/>
                <w:lang w:val="en-AU"/>
              </w:rPr>
              <w:t xml:space="preserve"> Regenerative Food Systems Investment Australia, and </w:t>
            </w:r>
            <w:proofErr w:type="spellStart"/>
            <w:r>
              <w:rPr>
                <w:sz w:val="18"/>
                <w:szCs w:val="18"/>
                <w:lang w:val="en-AU"/>
              </w:rPr>
              <w:t>RegenWA</w:t>
            </w:r>
            <w:proofErr w:type="spellEnd"/>
            <w:r>
              <w:rPr>
                <w:sz w:val="18"/>
                <w:szCs w:val="18"/>
                <w:lang w:val="en-AU"/>
              </w:rPr>
              <w:t xml:space="preserve">. </w:t>
            </w:r>
          </w:p>
          <w:p w14:paraId="52A731B2" w14:textId="18C964F0" w:rsidR="006B5CFE" w:rsidRDefault="00FD55A5" w:rsidP="006B5CFE">
            <w:pPr>
              <w:pStyle w:val="ListParagraph"/>
              <w:numPr>
                <w:ilvl w:val="0"/>
                <w:numId w:val="9"/>
              </w:numPr>
              <w:rPr>
                <w:sz w:val="18"/>
                <w:szCs w:val="18"/>
                <w:lang w:val="en-AU"/>
              </w:rPr>
            </w:pPr>
            <w:r>
              <w:rPr>
                <w:sz w:val="18"/>
                <w:szCs w:val="18"/>
                <w:lang w:val="en-AU"/>
              </w:rPr>
              <w:t>Public awareness of the need for food systems transformation is increasing as a result of popular books (</w:t>
            </w:r>
            <w:proofErr w:type="gramStart"/>
            <w:r>
              <w:rPr>
                <w:sz w:val="18"/>
                <w:szCs w:val="18"/>
                <w:lang w:val="en-AU"/>
              </w:rPr>
              <w:t>e.g.</w:t>
            </w:r>
            <w:proofErr w:type="gramEnd"/>
            <w:r>
              <w:rPr>
                <w:sz w:val="18"/>
                <w:szCs w:val="18"/>
                <w:lang w:val="en-AU"/>
              </w:rPr>
              <w:t xml:space="preserve"> Call of the Reed Warbler) and films (e.g. Regeneration)</w:t>
            </w:r>
            <w:r w:rsidR="006B5CFE">
              <w:rPr>
                <w:sz w:val="18"/>
                <w:szCs w:val="18"/>
                <w:lang w:val="en-AU"/>
              </w:rPr>
              <w:t xml:space="preserve">. There is also increasing public awareness of healthy diets and lifestyles and growing demand for organic and fresh foods. </w:t>
            </w:r>
          </w:p>
          <w:p w14:paraId="739376CC" w14:textId="074CC7B1" w:rsidR="00FD55A5" w:rsidRDefault="00FD55A5" w:rsidP="00FD55A5">
            <w:pPr>
              <w:pStyle w:val="ListParagraph"/>
              <w:numPr>
                <w:ilvl w:val="0"/>
                <w:numId w:val="9"/>
              </w:numPr>
              <w:rPr>
                <w:sz w:val="18"/>
                <w:szCs w:val="18"/>
                <w:lang w:val="en-AU"/>
              </w:rPr>
            </w:pPr>
            <w:r>
              <w:rPr>
                <w:sz w:val="18"/>
                <w:szCs w:val="18"/>
                <w:lang w:val="en-AU"/>
              </w:rPr>
              <w:t>Governments and</w:t>
            </w:r>
            <w:r w:rsidR="000736BB">
              <w:rPr>
                <w:sz w:val="18"/>
                <w:szCs w:val="18"/>
                <w:lang w:val="en-AU"/>
              </w:rPr>
              <w:t xml:space="preserve"> their</w:t>
            </w:r>
            <w:r>
              <w:rPr>
                <w:sz w:val="18"/>
                <w:szCs w:val="18"/>
                <w:lang w:val="en-AU"/>
              </w:rPr>
              <w:t xml:space="preserve"> partners are also moving ahead, including VicHealth’s recent Consensus Statement – Towards a Health</w:t>
            </w:r>
            <w:r w:rsidR="000736BB">
              <w:rPr>
                <w:sz w:val="18"/>
                <w:szCs w:val="18"/>
                <w:lang w:val="en-AU"/>
              </w:rPr>
              <w:t>y</w:t>
            </w:r>
            <w:r>
              <w:rPr>
                <w:sz w:val="18"/>
                <w:szCs w:val="18"/>
                <w:lang w:val="en-AU"/>
              </w:rPr>
              <w:t xml:space="preserve">, Regenerative and Equitable Food System in Victoria, which provides a call to action for state and local governments on the urgent need for food systems transition. </w:t>
            </w:r>
          </w:p>
          <w:p w14:paraId="7B4172A2" w14:textId="00D2ED92" w:rsidR="00FD55A5" w:rsidRDefault="00FD55A5" w:rsidP="00FD55A5">
            <w:pPr>
              <w:pStyle w:val="ListParagraph"/>
              <w:numPr>
                <w:ilvl w:val="0"/>
                <w:numId w:val="9"/>
              </w:numPr>
              <w:rPr>
                <w:sz w:val="18"/>
                <w:szCs w:val="18"/>
                <w:lang w:val="en-AU"/>
              </w:rPr>
            </w:pPr>
            <w:r w:rsidRPr="00F06EA8">
              <w:rPr>
                <w:sz w:val="18"/>
                <w:szCs w:val="18"/>
                <w:lang w:val="en-AU"/>
              </w:rPr>
              <w:t xml:space="preserve">Many of the players in the </w:t>
            </w:r>
            <w:r w:rsidR="000736BB">
              <w:rPr>
                <w:sz w:val="18"/>
                <w:szCs w:val="18"/>
                <w:lang w:val="en-AU"/>
              </w:rPr>
              <w:t xml:space="preserve">regenerative </w:t>
            </w:r>
            <w:r w:rsidRPr="00F06EA8">
              <w:rPr>
                <w:sz w:val="18"/>
                <w:szCs w:val="18"/>
                <w:lang w:val="en-AU"/>
              </w:rPr>
              <w:t>food systems movement are trying to establish new enterprises and business models which meet and build upon the growing demand for more sustainable food</w:t>
            </w:r>
            <w:r>
              <w:rPr>
                <w:sz w:val="18"/>
                <w:szCs w:val="18"/>
                <w:lang w:val="en-AU"/>
              </w:rPr>
              <w:t>, including farm to plate local produce delivery, and considerable growth in farmers markets</w:t>
            </w:r>
            <w:r w:rsidR="000736BB">
              <w:rPr>
                <w:sz w:val="18"/>
                <w:szCs w:val="18"/>
                <w:lang w:val="en-AU"/>
              </w:rPr>
              <w:t>.</w:t>
            </w:r>
          </w:p>
          <w:p w14:paraId="18D79AE1" w14:textId="77777777" w:rsidR="00FD55A5" w:rsidRDefault="00FD55A5" w:rsidP="00FD55A5">
            <w:pPr>
              <w:pStyle w:val="ListParagraph"/>
              <w:numPr>
                <w:ilvl w:val="0"/>
                <w:numId w:val="9"/>
              </w:numPr>
              <w:rPr>
                <w:sz w:val="18"/>
                <w:szCs w:val="18"/>
                <w:lang w:val="en-AU"/>
              </w:rPr>
            </w:pPr>
            <w:r>
              <w:rPr>
                <w:sz w:val="18"/>
                <w:szCs w:val="18"/>
                <w:lang w:val="en-AU"/>
              </w:rPr>
              <w:t xml:space="preserve">Many emerging technologies have the potential to disrupt the food system and create new products and value, including plant-based meat alternatives, circularity in food systems, vertical agriculture, livestock/seafood substitutes, seaweed for food/feed, microbial proteins, big data and IoT, enteric fermentation. </w:t>
            </w:r>
          </w:p>
          <w:p w14:paraId="72F05719" w14:textId="1B54B706" w:rsidR="00FD55A5" w:rsidRPr="0012546D" w:rsidRDefault="00FD55A5" w:rsidP="00FD55A5">
            <w:pPr>
              <w:pStyle w:val="ListParagraph"/>
              <w:numPr>
                <w:ilvl w:val="0"/>
                <w:numId w:val="9"/>
              </w:numPr>
              <w:rPr>
                <w:sz w:val="18"/>
                <w:szCs w:val="18"/>
                <w:lang w:val="en-AU"/>
              </w:rPr>
            </w:pPr>
            <w:r w:rsidRPr="0012546D">
              <w:rPr>
                <w:sz w:val="18"/>
                <w:szCs w:val="18"/>
                <w:lang w:val="en-AU"/>
              </w:rPr>
              <w:t xml:space="preserve">Globally, </w:t>
            </w:r>
            <w:r w:rsidR="007165E5" w:rsidRPr="0012546D">
              <w:rPr>
                <w:sz w:val="18"/>
                <w:szCs w:val="18"/>
                <w:lang w:val="en-AU"/>
              </w:rPr>
              <w:t>the</w:t>
            </w:r>
            <w:r w:rsidRPr="0012546D">
              <w:rPr>
                <w:sz w:val="18"/>
                <w:szCs w:val="18"/>
                <w:lang w:val="en-AU"/>
              </w:rPr>
              <w:t xml:space="preserve"> Food and Land Use Coalition is working to develop integrated pathways for sustainable food and land use, aligned with the </w:t>
            </w:r>
            <w:r w:rsidR="006B5CFE">
              <w:rPr>
                <w:sz w:val="18"/>
                <w:szCs w:val="18"/>
                <w:lang w:val="en-AU"/>
              </w:rPr>
              <w:t>SDGs</w:t>
            </w:r>
            <w:r w:rsidRPr="0012546D">
              <w:rPr>
                <w:sz w:val="18"/>
                <w:szCs w:val="18"/>
                <w:lang w:val="en-AU"/>
              </w:rPr>
              <w:t xml:space="preserve">, and have identified 10 critical transitions required to bring climate change under control, safeguard biological diversity and improve diets and food security. This work is being used to inform the development of Australian pathways for sustainable food and land use through the next phase of the Land Use Futures program, led by </w:t>
            </w:r>
            <w:proofErr w:type="spellStart"/>
            <w:r w:rsidRPr="0012546D">
              <w:rPr>
                <w:sz w:val="18"/>
                <w:szCs w:val="18"/>
                <w:lang w:val="en-AU"/>
              </w:rPr>
              <w:t>ClimateWorks</w:t>
            </w:r>
            <w:proofErr w:type="spellEnd"/>
            <w:r w:rsidRPr="0012546D">
              <w:rPr>
                <w:sz w:val="18"/>
                <w:szCs w:val="18"/>
                <w:lang w:val="en-AU"/>
              </w:rPr>
              <w:t xml:space="preserve"> Australia (working within the Monash Sustainable Development Institute), Deakin University and CSIRO. </w:t>
            </w:r>
          </w:p>
          <w:p w14:paraId="094A4EC0" w14:textId="77777777" w:rsidR="00FD55A5" w:rsidRPr="0012546D" w:rsidRDefault="00FD55A5" w:rsidP="007F346F">
            <w:pPr>
              <w:rPr>
                <w:sz w:val="18"/>
                <w:szCs w:val="18"/>
              </w:rPr>
            </w:pPr>
          </w:p>
          <w:p w14:paraId="78FB81E5" w14:textId="09196107" w:rsidR="00FD55A5" w:rsidRPr="001751FC" w:rsidRDefault="00FD55A5" w:rsidP="007F346F">
            <w:pPr>
              <w:rPr>
                <w:b/>
                <w:bCs/>
                <w:sz w:val="18"/>
                <w:szCs w:val="18"/>
              </w:rPr>
            </w:pPr>
            <w:r>
              <w:rPr>
                <w:b/>
                <w:bCs/>
                <w:sz w:val="18"/>
                <w:szCs w:val="18"/>
              </w:rPr>
              <w:t xml:space="preserve">TP3 Storyline, Enabling </w:t>
            </w:r>
            <w:proofErr w:type="gramStart"/>
            <w:r>
              <w:rPr>
                <w:b/>
                <w:bCs/>
                <w:sz w:val="18"/>
                <w:szCs w:val="18"/>
              </w:rPr>
              <w:t>Conditions</w:t>
            </w:r>
            <w:proofErr w:type="gramEnd"/>
            <w:r>
              <w:rPr>
                <w:b/>
                <w:bCs/>
                <w:sz w:val="18"/>
                <w:szCs w:val="18"/>
              </w:rPr>
              <w:t xml:space="preserve"> and Interventions to Build Back Better</w:t>
            </w:r>
            <w:r w:rsidR="000D2A29">
              <w:rPr>
                <w:b/>
                <w:bCs/>
                <w:sz w:val="18"/>
                <w:szCs w:val="18"/>
              </w:rPr>
              <w:t xml:space="preserve"> through a Sustainable Wellbeing Transformation</w:t>
            </w:r>
          </w:p>
          <w:p w14:paraId="63B331B1" w14:textId="1065A6B0" w:rsidR="00FD55A5" w:rsidRDefault="00FD55A5" w:rsidP="007F346F">
            <w:pPr>
              <w:rPr>
                <w:sz w:val="18"/>
                <w:szCs w:val="18"/>
              </w:rPr>
            </w:pPr>
            <w:r w:rsidRPr="008560EC">
              <w:rPr>
                <w:sz w:val="18"/>
                <w:szCs w:val="18"/>
              </w:rPr>
              <w:t>The bushfire devastation, unprecedented floods</w:t>
            </w:r>
            <w:r>
              <w:rPr>
                <w:sz w:val="18"/>
                <w:szCs w:val="18"/>
              </w:rPr>
              <w:t xml:space="preserve"> and</w:t>
            </w:r>
            <w:r w:rsidRPr="008560EC">
              <w:rPr>
                <w:sz w:val="18"/>
                <w:szCs w:val="18"/>
              </w:rPr>
              <w:t xml:space="preserve"> COVID-19 shine a bright light on the extreme shortcomings in our food system. Not least, the extensive disruption and economic impact of COVID-19, including multiple lockdowns, business closures and cutbacks of social welfare (after </w:t>
            </w:r>
            <w:proofErr w:type="spellStart"/>
            <w:r w:rsidRPr="008560EC">
              <w:rPr>
                <w:sz w:val="18"/>
                <w:szCs w:val="18"/>
              </w:rPr>
              <w:t>JobSeeker</w:t>
            </w:r>
            <w:proofErr w:type="spellEnd"/>
            <w:r w:rsidRPr="008560EC">
              <w:rPr>
                <w:sz w:val="18"/>
                <w:szCs w:val="18"/>
              </w:rPr>
              <w:t xml:space="preserve"> supplements ended) meant that food insecurity </w:t>
            </w:r>
            <w:r>
              <w:rPr>
                <w:sz w:val="18"/>
                <w:szCs w:val="18"/>
              </w:rPr>
              <w:t>became a</w:t>
            </w:r>
            <w:r w:rsidRPr="008560EC">
              <w:rPr>
                <w:sz w:val="18"/>
                <w:szCs w:val="18"/>
              </w:rPr>
              <w:t xml:space="preserve"> more prevalent and growing issue</w:t>
            </w:r>
            <w:r>
              <w:rPr>
                <w:sz w:val="18"/>
                <w:szCs w:val="18"/>
              </w:rPr>
              <w:t xml:space="preserve">. The 2021 State of Environment Report confirms again that the state and trend of Australia’s environment are poor and deteriorating </w:t>
            </w:r>
            <w:proofErr w:type="gramStart"/>
            <w:r>
              <w:rPr>
                <w:sz w:val="18"/>
                <w:szCs w:val="18"/>
              </w:rPr>
              <w:t>as a result of</w:t>
            </w:r>
            <w:proofErr w:type="gramEnd"/>
            <w:r>
              <w:rPr>
                <w:sz w:val="18"/>
                <w:szCs w:val="18"/>
              </w:rPr>
              <w:t xml:space="preserve"> increasing pressures including from agriculture and land use. Instead of jumping into ‘solutions mode’, governments and stakeholder</w:t>
            </w:r>
            <w:r w:rsidR="00ED2F4C">
              <w:rPr>
                <w:sz w:val="18"/>
                <w:szCs w:val="18"/>
              </w:rPr>
              <w:t>s</w:t>
            </w:r>
            <w:r>
              <w:rPr>
                <w:sz w:val="18"/>
                <w:szCs w:val="18"/>
              </w:rPr>
              <w:t xml:space="preserve"> take time to ask questions and reach shared agreement on the desired characteristics of Australia’s future food system, guided by the SDGs. A collaborative </w:t>
            </w:r>
            <w:r w:rsidR="00ED2F4C">
              <w:rPr>
                <w:sz w:val="18"/>
                <w:szCs w:val="18"/>
              </w:rPr>
              <w:t>problem-solving</w:t>
            </w:r>
            <w:r>
              <w:rPr>
                <w:sz w:val="18"/>
                <w:szCs w:val="18"/>
              </w:rPr>
              <w:t xml:space="preserve"> approach is taken to identify enabling conditions </w:t>
            </w:r>
            <w:r w:rsidRPr="00630D89">
              <w:rPr>
                <w:sz w:val="18"/>
                <w:szCs w:val="18"/>
              </w:rPr>
              <w:t xml:space="preserve">that would unlock a transition towards that </w:t>
            </w:r>
            <w:r w:rsidRPr="00300C17">
              <w:rPr>
                <w:sz w:val="18"/>
                <w:szCs w:val="18"/>
              </w:rPr>
              <w:t xml:space="preserve">healthy, </w:t>
            </w:r>
            <w:proofErr w:type="gramStart"/>
            <w:r w:rsidRPr="00300C17">
              <w:rPr>
                <w:sz w:val="18"/>
                <w:szCs w:val="18"/>
              </w:rPr>
              <w:t>regenerative</w:t>
            </w:r>
            <w:proofErr w:type="gramEnd"/>
            <w:r w:rsidRPr="00300C17">
              <w:rPr>
                <w:sz w:val="18"/>
                <w:szCs w:val="18"/>
              </w:rPr>
              <w:t xml:space="preserve"> and equitable future.</w:t>
            </w:r>
            <w:r>
              <w:rPr>
                <w:sz w:val="18"/>
                <w:szCs w:val="18"/>
              </w:rPr>
              <w:t xml:space="preserve"> Change comes through a process of ‘massification’ – a </w:t>
            </w:r>
            <w:r w:rsidRPr="00EB6FF7">
              <w:rPr>
                <w:sz w:val="18"/>
                <w:szCs w:val="18"/>
              </w:rPr>
              <w:t xml:space="preserve">process that leads ever-greater numbers of </w:t>
            </w:r>
            <w:r>
              <w:rPr>
                <w:sz w:val="18"/>
                <w:szCs w:val="18"/>
              </w:rPr>
              <w:t xml:space="preserve">farmers </w:t>
            </w:r>
            <w:r w:rsidRPr="00EB6FF7">
              <w:rPr>
                <w:sz w:val="18"/>
                <w:szCs w:val="18"/>
              </w:rPr>
              <w:t>to practice agroecology over ever-larger territories and which engages more people in the processing, distribution, and consumption of agroecologically produced foo</w:t>
            </w:r>
            <w:r>
              <w:rPr>
                <w:sz w:val="18"/>
                <w:szCs w:val="18"/>
              </w:rPr>
              <w:t>d. Key drivers of change include</w:t>
            </w:r>
            <w:r w:rsidR="00ED2F4C">
              <w:rPr>
                <w:sz w:val="18"/>
                <w:szCs w:val="18"/>
              </w:rPr>
              <w:t xml:space="preserve"> the</w:t>
            </w:r>
            <w:r>
              <w:rPr>
                <w:sz w:val="18"/>
                <w:szCs w:val="18"/>
              </w:rPr>
              <w:t xml:space="preserve"> </w:t>
            </w:r>
            <w:r w:rsidRPr="00C97A6B">
              <w:rPr>
                <w:sz w:val="18"/>
                <w:szCs w:val="18"/>
              </w:rPr>
              <w:t>crises, coalescing social organization, effective agroecological practices</w:t>
            </w:r>
            <w:r w:rsidR="00ED2F4C">
              <w:rPr>
                <w:sz w:val="18"/>
                <w:szCs w:val="18"/>
              </w:rPr>
              <w:t xml:space="preserve"> and solutions</w:t>
            </w:r>
            <w:r w:rsidRPr="00C97A6B">
              <w:rPr>
                <w:sz w:val="18"/>
                <w:szCs w:val="18"/>
              </w:rPr>
              <w:t xml:space="preserve">, external allies, and </w:t>
            </w:r>
            <w:r w:rsidR="00ED2F4C" w:rsidRPr="00C97A6B">
              <w:rPr>
                <w:sz w:val="18"/>
                <w:szCs w:val="18"/>
              </w:rPr>
              <w:t>favourable</w:t>
            </w:r>
            <w:r w:rsidRPr="00C97A6B">
              <w:rPr>
                <w:sz w:val="18"/>
                <w:szCs w:val="18"/>
              </w:rPr>
              <w:t xml:space="preserve"> policies.</w:t>
            </w:r>
          </w:p>
          <w:p w14:paraId="6C863BAC" w14:textId="77777777" w:rsidR="00FD55A5" w:rsidRDefault="00FD55A5" w:rsidP="007F346F">
            <w:pPr>
              <w:rPr>
                <w:sz w:val="18"/>
                <w:szCs w:val="18"/>
              </w:rPr>
            </w:pPr>
          </w:p>
          <w:p w14:paraId="74AC36A8" w14:textId="4E537814" w:rsidR="00FD55A5" w:rsidRPr="00D06934" w:rsidRDefault="00FD55A5" w:rsidP="007F346F">
            <w:pPr>
              <w:rPr>
                <w:sz w:val="18"/>
                <w:szCs w:val="18"/>
              </w:rPr>
            </w:pPr>
            <w:r w:rsidRPr="00D06934">
              <w:rPr>
                <w:sz w:val="18"/>
                <w:szCs w:val="18"/>
              </w:rPr>
              <w:t xml:space="preserve">A regenerative agriculture movement </w:t>
            </w:r>
            <w:r>
              <w:rPr>
                <w:sz w:val="18"/>
                <w:szCs w:val="18"/>
              </w:rPr>
              <w:t>gains momentum</w:t>
            </w:r>
            <w:r w:rsidRPr="00D06934">
              <w:rPr>
                <w:sz w:val="18"/>
                <w:szCs w:val="18"/>
              </w:rPr>
              <w:t xml:space="preserve"> with impetus from popular books and films (‘</w:t>
            </w:r>
            <w:r w:rsidRPr="00D06934">
              <w:rPr>
                <w:i/>
                <w:iCs/>
                <w:sz w:val="18"/>
                <w:szCs w:val="18"/>
              </w:rPr>
              <w:t>Regenerating Australia’</w:t>
            </w:r>
            <w:r w:rsidRPr="00D06934">
              <w:rPr>
                <w:sz w:val="18"/>
                <w:szCs w:val="18"/>
              </w:rPr>
              <w:t xml:space="preserve">). Emerging business models such as farm to table distributors, the proliferation of local farmers markets and changing preferences for healthy diets and organic produce </w:t>
            </w:r>
            <w:r>
              <w:rPr>
                <w:sz w:val="18"/>
                <w:szCs w:val="18"/>
              </w:rPr>
              <w:t>support</w:t>
            </w:r>
            <w:r w:rsidRPr="00D06934">
              <w:rPr>
                <w:sz w:val="18"/>
                <w:szCs w:val="18"/>
              </w:rPr>
              <w:t xml:space="preserve"> momentum for change. Many emerging technologies </w:t>
            </w:r>
            <w:r>
              <w:rPr>
                <w:sz w:val="18"/>
                <w:szCs w:val="18"/>
              </w:rPr>
              <w:t>begin to</w:t>
            </w:r>
            <w:r w:rsidRPr="00D06934">
              <w:rPr>
                <w:sz w:val="18"/>
                <w:szCs w:val="18"/>
              </w:rPr>
              <w:t xml:space="preserve"> disrupt the food system including plant-based and laboratory proteins, feed substitutes, big data and IoT</w:t>
            </w:r>
            <w:r w:rsidR="00ED2F4C">
              <w:rPr>
                <w:sz w:val="18"/>
                <w:szCs w:val="18"/>
              </w:rPr>
              <w:t xml:space="preserve">. </w:t>
            </w:r>
            <w:r w:rsidRPr="00D06934">
              <w:rPr>
                <w:sz w:val="18"/>
                <w:szCs w:val="18"/>
              </w:rPr>
              <w:t xml:space="preserve"> These solutions provide viable alternatives that </w:t>
            </w:r>
            <w:r w:rsidR="00ED2F4C">
              <w:rPr>
                <w:sz w:val="18"/>
                <w:szCs w:val="18"/>
              </w:rPr>
              <w:t>are</w:t>
            </w:r>
            <w:r w:rsidRPr="00D06934">
              <w:rPr>
                <w:sz w:val="18"/>
                <w:szCs w:val="18"/>
              </w:rPr>
              <w:t xml:space="preserve"> pushed by governments, business and civil society stakeholders who are calling for an urgent food systems transitio</w:t>
            </w:r>
            <w:r w:rsidR="00ED2F4C">
              <w:rPr>
                <w:sz w:val="18"/>
                <w:szCs w:val="18"/>
              </w:rPr>
              <w:t>n.</w:t>
            </w:r>
            <w:r w:rsidRPr="00D06934">
              <w:rPr>
                <w:sz w:val="18"/>
                <w:szCs w:val="18"/>
              </w:rPr>
              <w:t xml:space="preserve"> </w:t>
            </w:r>
          </w:p>
          <w:p w14:paraId="0DB9D0EE" w14:textId="77777777" w:rsidR="00FD55A5" w:rsidRDefault="00FD55A5" w:rsidP="007F346F">
            <w:pPr>
              <w:rPr>
                <w:sz w:val="18"/>
                <w:szCs w:val="18"/>
              </w:rPr>
            </w:pPr>
          </w:p>
          <w:p w14:paraId="2C9104B7" w14:textId="77777777" w:rsidR="00FD55A5" w:rsidRDefault="00FD55A5" w:rsidP="007F346F">
            <w:pPr>
              <w:rPr>
                <w:sz w:val="18"/>
                <w:szCs w:val="18"/>
              </w:rPr>
            </w:pPr>
            <w:r>
              <w:rPr>
                <w:sz w:val="18"/>
                <w:szCs w:val="18"/>
              </w:rPr>
              <w:t>Building on emerging initiatives supporting regenerative and agroecological farming across all states, a sustainable food systems movement l</w:t>
            </w:r>
            <w:r w:rsidRPr="00867E66">
              <w:rPr>
                <w:sz w:val="18"/>
                <w:szCs w:val="18"/>
              </w:rPr>
              <w:t xml:space="preserve">argely driven by non-government players such as grassroots communities and not-for-profits, universities, </w:t>
            </w:r>
            <w:proofErr w:type="gramStart"/>
            <w:r w:rsidRPr="00867E66">
              <w:rPr>
                <w:sz w:val="18"/>
                <w:szCs w:val="18"/>
              </w:rPr>
              <w:t>philanthropy</w:t>
            </w:r>
            <w:proofErr w:type="gramEnd"/>
            <w:r w:rsidRPr="00867E66">
              <w:rPr>
                <w:sz w:val="18"/>
                <w:szCs w:val="18"/>
              </w:rPr>
              <w:t xml:space="preserve"> and some parts of industry</w:t>
            </w:r>
            <w:r>
              <w:rPr>
                <w:sz w:val="18"/>
                <w:szCs w:val="18"/>
              </w:rPr>
              <w:t xml:space="preserve"> builds momentum for decisive action and investment. Shifting narratives and values around healthy diets and lifestyles begins to erode support for current incumbent firms, with people seeking out local farmers markets and delivery alternatives.   The government takes a leadership role building on its commitment to a sustainable and just economy, devising an integrated and well-resourced pathway forward. </w:t>
            </w:r>
            <w:r w:rsidRPr="00F472B9">
              <w:rPr>
                <w:sz w:val="18"/>
                <w:szCs w:val="18"/>
              </w:rPr>
              <w:t xml:space="preserve">After initially developing a plan to safeguard acute food security, </w:t>
            </w:r>
            <w:r>
              <w:rPr>
                <w:sz w:val="18"/>
                <w:szCs w:val="18"/>
              </w:rPr>
              <w:t>a</w:t>
            </w:r>
            <w:r w:rsidRPr="00F472B9">
              <w:rPr>
                <w:sz w:val="18"/>
                <w:szCs w:val="18"/>
              </w:rPr>
              <w:t xml:space="preserve"> </w:t>
            </w:r>
            <w:r>
              <w:rPr>
                <w:sz w:val="18"/>
                <w:szCs w:val="18"/>
              </w:rPr>
              <w:t xml:space="preserve">national </w:t>
            </w:r>
            <w:r w:rsidRPr="00F472B9">
              <w:rPr>
                <w:sz w:val="18"/>
                <w:szCs w:val="18"/>
              </w:rPr>
              <w:t>Working Group</w:t>
            </w:r>
            <w:r>
              <w:rPr>
                <w:sz w:val="18"/>
                <w:szCs w:val="18"/>
              </w:rPr>
              <w:t xml:space="preserve"> </w:t>
            </w:r>
            <w:r w:rsidRPr="00F472B9">
              <w:rPr>
                <w:sz w:val="18"/>
                <w:szCs w:val="18"/>
              </w:rPr>
              <w:t>shift</w:t>
            </w:r>
            <w:r>
              <w:rPr>
                <w:sz w:val="18"/>
                <w:szCs w:val="18"/>
              </w:rPr>
              <w:t>s</w:t>
            </w:r>
            <w:r w:rsidRPr="00F472B9">
              <w:rPr>
                <w:sz w:val="18"/>
                <w:szCs w:val="18"/>
              </w:rPr>
              <w:t xml:space="preserve"> attention to prioritising action towards ensuring long-term food security –</w:t>
            </w:r>
            <w:r>
              <w:rPr>
                <w:sz w:val="18"/>
                <w:szCs w:val="18"/>
              </w:rPr>
              <w:t xml:space="preserve">articulating a shared vision and principles and actions that governments, communities and individuals can take to mobilise a transition </w:t>
            </w:r>
            <w:r w:rsidRPr="00F472B9">
              <w:rPr>
                <w:sz w:val="18"/>
                <w:szCs w:val="18"/>
              </w:rPr>
              <w:t xml:space="preserve">towards a healthy, </w:t>
            </w:r>
            <w:proofErr w:type="gramStart"/>
            <w:r w:rsidRPr="00F472B9">
              <w:rPr>
                <w:sz w:val="18"/>
                <w:szCs w:val="18"/>
              </w:rPr>
              <w:t>regenerative</w:t>
            </w:r>
            <w:proofErr w:type="gramEnd"/>
            <w:r w:rsidRPr="00F472B9">
              <w:rPr>
                <w:sz w:val="18"/>
                <w:szCs w:val="18"/>
              </w:rPr>
              <w:t xml:space="preserve"> and equitable food system in Australia.</w:t>
            </w:r>
            <w:r>
              <w:rPr>
                <w:sz w:val="18"/>
                <w:szCs w:val="18"/>
              </w:rPr>
              <w:t xml:space="preserve"> This reorients the food system around new goals and targets and an </w:t>
            </w:r>
            <w:r w:rsidRPr="004A1E89">
              <w:rPr>
                <w:sz w:val="18"/>
                <w:szCs w:val="18"/>
              </w:rPr>
              <w:t xml:space="preserve">agroecological model </w:t>
            </w:r>
            <w:r>
              <w:rPr>
                <w:sz w:val="18"/>
                <w:szCs w:val="18"/>
              </w:rPr>
              <w:t xml:space="preserve">which </w:t>
            </w:r>
            <w:r w:rsidRPr="004A1E89">
              <w:rPr>
                <w:sz w:val="18"/>
                <w:szCs w:val="18"/>
              </w:rPr>
              <w:t>orientates around producing diverse, nutritious foods, regenerating ecosystem processes (rather than running them down) and enhancing farmer livelihoods.</w:t>
            </w:r>
            <w:r>
              <w:rPr>
                <w:sz w:val="18"/>
                <w:szCs w:val="18"/>
              </w:rPr>
              <w:t xml:space="preserve">  This is not a new model – it is built upon a foundation of traditional, place-</w:t>
            </w:r>
            <w:proofErr w:type="gramStart"/>
            <w:r>
              <w:rPr>
                <w:sz w:val="18"/>
                <w:szCs w:val="18"/>
              </w:rPr>
              <w:t>based</w:t>
            </w:r>
            <w:proofErr w:type="gramEnd"/>
            <w:r>
              <w:rPr>
                <w:sz w:val="18"/>
                <w:szCs w:val="18"/>
              </w:rPr>
              <w:t xml:space="preserve"> and indigenous knowledge.  </w:t>
            </w:r>
            <w:r w:rsidRPr="00FD009D">
              <w:rPr>
                <w:sz w:val="18"/>
                <w:szCs w:val="18"/>
              </w:rPr>
              <w:t xml:space="preserve">As a result of </w:t>
            </w:r>
            <w:r>
              <w:rPr>
                <w:sz w:val="18"/>
                <w:szCs w:val="18"/>
              </w:rPr>
              <w:t>this</w:t>
            </w:r>
            <w:r w:rsidRPr="00FD009D">
              <w:rPr>
                <w:sz w:val="18"/>
                <w:szCs w:val="18"/>
              </w:rPr>
              <w:t xml:space="preserve"> systems approach, multiple benefits are simultaneously realised. These include more diverse and resilient agroecosystems that conserve water, build soil health, restore habitats, promote </w:t>
            </w:r>
            <w:proofErr w:type="gramStart"/>
            <w:r w:rsidRPr="00FD009D">
              <w:rPr>
                <w:sz w:val="18"/>
                <w:szCs w:val="18"/>
              </w:rPr>
              <w:t>biodiversity</w:t>
            </w:r>
            <w:proofErr w:type="gramEnd"/>
            <w:r w:rsidRPr="00FD009D">
              <w:rPr>
                <w:sz w:val="18"/>
                <w:szCs w:val="18"/>
              </w:rPr>
              <w:t xml:space="preserve"> and reinvigorate food economies across rural, peri-urban, and urban communities through job creation. </w:t>
            </w:r>
          </w:p>
          <w:p w14:paraId="526EBA8B" w14:textId="77777777" w:rsidR="00FD55A5" w:rsidRDefault="00FD55A5" w:rsidP="007F346F">
            <w:pPr>
              <w:rPr>
                <w:sz w:val="18"/>
                <w:szCs w:val="18"/>
              </w:rPr>
            </w:pPr>
          </w:p>
          <w:p w14:paraId="7CF74D12" w14:textId="77777777" w:rsidR="00FD55A5" w:rsidRDefault="00FD55A5" w:rsidP="007F346F">
            <w:pPr>
              <w:rPr>
                <w:color w:val="FF0000"/>
                <w:sz w:val="18"/>
                <w:szCs w:val="18"/>
              </w:rPr>
            </w:pPr>
            <w:r w:rsidRPr="00A84296">
              <w:rPr>
                <w:sz w:val="18"/>
                <w:szCs w:val="18"/>
              </w:rPr>
              <w:t xml:space="preserve">Framed by the SDGs, government, business, farmers, </w:t>
            </w:r>
            <w:proofErr w:type="gramStart"/>
            <w:r w:rsidRPr="00A84296">
              <w:rPr>
                <w:sz w:val="18"/>
                <w:szCs w:val="18"/>
              </w:rPr>
              <w:t>academia</w:t>
            </w:r>
            <w:proofErr w:type="gramEnd"/>
            <w:r w:rsidRPr="00A84296">
              <w:rPr>
                <w:sz w:val="18"/>
                <w:szCs w:val="18"/>
              </w:rPr>
              <w:t xml:space="preserve"> and communities collaborate to build a more sustainable and inclusive food system</w:t>
            </w:r>
            <w:r>
              <w:rPr>
                <w:sz w:val="18"/>
                <w:szCs w:val="18"/>
              </w:rPr>
              <w:t xml:space="preserve">, rapidly accelerating the widespread uptake of agroecological and regenerative farming practices and drawing in as many farmers as possible. Governments lead the way by offering incentives and innovative investment options to pay farmers and land managers for regeneration and to support education, extension services, and peer-to-peer learning networks. Adverse incentives and regulatory barriers to regenerative farming are also identified and removed. </w:t>
            </w:r>
            <w:r w:rsidRPr="000E179E">
              <w:rPr>
                <w:sz w:val="18"/>
                <w:szCs w:val="18"/>
              </w:rPr>
              <w:t xml:space="preserve">Regenerative farming approaches </w:t>
            </w:r>
            <w:r>
              <w:rPr>
                <w:sz w:val="18"/>
                <w:szCs w:val="18"/>
              </w:rPr>
              <w:t xml:space="preserve">are </w:t>
            </w:r>
            <w:r>
              <w:rPr>
                <w:sz w:val="18"/>
                <w:szCs w:val="18"/>
              </w:rPr>
              <w:lastRenderedPageBreak/>
              <w:t>also</w:t>
            </w:r>
            <w:r w:rsidRPr="000E179E">
              <w:rPr>
                <w:sz w:val="18"/>
                <w:szCs w:val="18"/>
              </w:rPr>
              <w:t xml:space="preserve"> accelerated by</w:t>
            </w:r>
            <w:r>
              <w:rPr>
                <w:sz w:val="18"/>
                <w:szCs w:val="18"/>
              </w:rPr>
              <w:t xml:space="preserve"> scaling up existing initiatives that connect</w:t>
            </w:r>
            <w:r w:rsidRPr="000E179E">
              <w:rPr>
                <w:sz w:val="18"/>
                <w:szCs w:val="18"/>
              </w:rPr>
              <w:t xml:space="preserve"> food </w:t>
            </w:r>
            <w:r>
              <w:rPr>
                <w:sz w:val="18"/>
                <w:szCs w:val="18"/>
              </w:rPr>
              <w:t>providers with consumers</w:t>
            </w:r>
            <w:r w:rsidRPr="000E179E">
              <w:rPr>
                <w:sz w:val="18"/>
                <w:szCs w:val="18"/>
              </w:rPr>
              <w:t xml:space="preserve"> through transparent supply chain models, made up of many and diverse food enterprises such as food hubs, coops, community-supported agriculture and farmers markets</w:t>
            </w:r>
            <w:r>
              <w:rPr>
                <w:sz w:val="18"/>
                <w:szCs w:val="18"/>
              </w:rPr>
              <w:t>. Rebuilding a robust social welfare system (T</w:t>
            </w:r>
            <w:r w:rsidRPr="00E846D2">
              <w:rPr>
                <w:b/>
                <w:bCs/>
                <w:sz w:val="18"/>
                <w:szCs w:val="18"/>
              </w:rPr>
              <w:t>P2</w:t>
            </w:r>
            <w:r>
              <w:rPr>
                <w:sz w:val="18"/>
                <w:szCs w:val="18"/>
              </w:rPr>
              <w:t xml:space="preserve">) also helps farmers to maintain their livelihoods </w:t>
            </w:r>
            <w:r w:rsidRPr="004052D9">
              <w:rPr>
                <w:sz w:val="18"/>
                <w:szCs w:val="18"/>
              </w:rPr>
              <w:t>while transitioning to agroecological practices</w:t>
            </w:r>
            <w:r>
              <w:rPr>
                <w:sz w:val="18"/>
                <w:szCs w:val="18"/>
              </w:rPr>
              <w:t xml:space="preserve">. </w:t>
            </w:r>
          </w:p>
          <w:p w14:paraId="36549EEE" w14:textId="77777777" w:rsidR="00FD55A5" w:rsidRDefault="00FD55A5" w:rsidP="007F346F">
            <w:pPr>
              <w:rPr>
                <w:color w:val="FF0000"/>
                <w:sz w:val="18"/>
                <w:szCs w:val="18"/>
              </w:rPr>
            </w:pPr>
          </w:p>
          <w:p w14:paraId="6761DFCF" w14:textId="13E810B9" w:rsidR="00FD55A5" w:rsidRPr="00362596" w:rsidRDefault="00FD55A5" w:rsidP="007F346F">
            <w:pPr>
              <w:rPr>
                <w:sz w:val="18"/>
                <w:szCs w:val="18"/>
              </w:rPr>
            </w:pPr>
            <w:r w:rsidRPr="00362596">
              <w:rPr>
                <w:sz w:val="18"/>
                <w:szCs w:val="18"/>
              </w:rPr>
              <w:t>Sustainable</w:t>
            </w:r>
            <w:r>
              <w:rPr>
                <w:sz w:val="18"/>
                <w:szCs w:val="18"/>
              </w:rPr>
              <w:t xml:space="preserve"> agricultural practices begin to reduce GHG emissions from agriculture which are predominantly from livestock.  The growth in consumer preferences for plant-based and lab-based proteins places downward pressure on domestic and global demand for meat products. Vaccinations, feed supplements and other improvements are made to drastically reduce emissions from enteric fermentation over the longer term, reducing methane emissions. Similarly, improved systems for the management and storage of fertilizers, composting and pelletising manure, and precision agriculture reduce GHG emissions associated with cropping. These reductions are in line with </w:t>
            </w:r>
            <w:proofErr w:type="spellStart"/>
            <w:r>
              <w:rPr>
                <w:sz w:val="18"/>
                <w:szCs w:val="18"/>
              </w:rPr>
              <w:t>ClimateWorks</w:t>
            </w:r>
            <w:proofErr w:type="spellEnd"/>
            <w:r>
              <w:rPr>
                <w:sz w:val="18"/>
                <w:szCs w:val="18"/>
              </w:rPr>
              <w:t xml:space="preserve"> deep decarbonisation 1.5C pathway.  Intensive </w:t>
            </w:r>
            <w:proofErr w:type="spellStart"/>
            <w:r>
              <w:rPr>
                <w:sz w:val="18"/>
                <w:szCs w:val="18"/>
              </w:rPr>
              <w:t>silvopasture</w:t>
            </w:r>
            <w:proofErr w:type="spellEnd"/>
            <w:r>
              <w:rPr>
                <w:sz w:val="18"/>
                <w:szCs w:val="18"/>
              </w:rPr>
              <w:t xml:space="preserve"> with a combination of trees and pasture further sequesters CO</w:t>
            </w:r>
            <w:r w:rsidRPr="009D026F">
              <w:rPr>
                <w:sz w:val="18"/>
                <w:szCs w:val="18"/>
                <w:vertAlign w:val="subscript"/>
              </w:rPr>
              <w:t>2</w:t>
            </w:r>
            <w:r>
              <w:rPr>
                <w:sz w:val="18"/>
                <w:szCs w:val="18"/>
              </w:rPr>
              <w:t xml:space="preserve"> emissions.</w:t>
            </w:r>
          </w:p>
          <w:p w14:paraId="30D3EFC0" w14:textId="77777777" w:rsidR="00FD55A5" w:rsidRPr="00A84296" w:rsidRDefault="00FD55A5" w:rsidP="007F346F">
            <w:pPr>
              <w:rPr>
                <w:sz w:val="18"/>
                <w:szCs w:val="18"/>
              </w:rPr>
            </w:pPr>
          </w:p>
          <w:p w14:paraId="4DA173A3" w14:textId="250726CC" w:rsidR="00FD55A5" w:rsidRDefault="00FD55A5" w:rsidP="007F346F">
            <w:pPr>
              <w:rPr>
                <w:sz w:val="18"/>
                <w:szCs w:val="18"/>
              </w:rPr>
            </w:pPr>
            <w:r>
              <w:rPr>
                <w:sz w:val="18"/>
                <w:szCs w:val="18"/>
              </w:rPr>
              <w:t>In line with this narrative, specific quantitative interventions (</w:t>
            </w:r>
            <w:r w:rsidRPr="006D6836">
              <w:rPr>
                <w:b/>
                <w:bCs/>
                <w:sz w:val="18"/>
                <w:szCs w:val="18"/>
              </w:rPr>
              <w:t xml:space="preserve">Supplementary Table </w:t>
            </w:r>
            <w:r w:rsidR="00AF6556">
              <w:rPr>
                <w:b/>
                <w:bCs/>
                <w:sz w:val="18"/>
                <w:szCs w:val="18"/>
              </w:rPr>
              <w:t>2</w:t>
            </w:r>
            <w:r>
              <w:rPr>
                <w:sz w:val="18"/>
                <w:szCs w:val="18"/>
              </w:rPr>
              <w:t xml:space="preserve">) to support this transformation include additional government investment in sustainable agriculture training, extension services and water management, and reduction in emissions associated with livestock and crops. </w:t>
            </w:r>
          </w:p>
          <w:p w14:paraId="45DE1AB7" w14:textId="77777777" w:rsidR="00FD55A5" w:rsidRPr="008B7C1D" w:rsidRDefault="00FD55A5" w:rsidP="007F346F">
            <w:pPr>
              <w:rPr>
                <w:sz w:val="18"/>
                <w:szCs w:val="18"/>
              </w:rPr>
            </w:pPr>
          </w:p>
        </w:tc>
        <w:tc>
          <w:tcPr>
            <w:tcW w:w="1762" w:type="dxa"/>
          </w:tcPr>
          <w:p w14:paraId="74B3CAE6" w14:textId="25DD4126" w:rsidR="00FD55A5" w:rsidRDefault="00FD55A5" w:rsidP="007F346F">
            <w:pPr>
              <w:rPr>
                <w:sz w:val="18"/>
                <w:szCs w:val="18"/>
              </w:rPr>
            </w:pPr>
            <w:r w:rsidRPr="00A9217E">
              <w:rPr>
                <w:sz w:val="18"/>
                <w:szCs w:val="18"/>
              </w:rPr>
              <w:lastRenderedPageBreak/>
              <w:fldChar w:fldCharType="begin">
                <w:fldData xml:space="preserve">PEVuZE5vdGU+PENpdGU+PEF1dGhvcj5BRUdOPC9BdXRob3I+PFllYXI+MjAxOTwvWWVhcj48UmVj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</w:fldData>
              </w:fldChar>
            </w:r>
            <w:r w:rsidR="00D42E3A">
              <w:rPr>
                <w:sz w:val="18"/>
                <w:szCs w:val="18"/>
              </w:rPr>
              <w:instrText xml:space="preserve"> ADDIN EN.CITE </w:instrText>
            </w:r>
            <w:r w:rsidR="00D42E3A">
              <w:rPr>
                <w:sz w:val="18"/>
                <w:szCs w:val="18"/>
              </w:rPr>
              <w:fldChar w:fldCharType="begin">
                <w:fldData xml:space="preserve">PEVuZE5vdGU+PENpdGU+PEF1dGhvcj5BRUdOPC9BdXRob3I+PFllYXI+MjAxOTwvWWVhcj48UmVj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</w:fldData>
              </w:fldChar>
            </w:r>
            <w:r w:rsidR="00D42E3A">
              <w:rPr>
                <w:sz w:val="18"/>
                <w:szCs w:val="18"/>
              </w:rPr>
              <w:instrText xml:space="preserve"> ADDIN EN.CITE.DATA </w:instrText>
            </w:r>
            <w:r w:rsidR="00D42E3A">
              <w:rPr>
                <w:sz w:val="18"/>
                <w:szCs w:val="18"/>
              </w:rPr>
            </w:r>
            <w:r w:rsidR="00D42E3A">
              <w:rPr>
                <w:sz w:val="18"/>
                <w:szCs w:val="18"/>
              </w:rPr>
              <w:fldChar w:fldCharType="end"/>
            </w:r>
            <w:r w:rsidRPr="00A9217E">
              <w:rPr>
                <w:sz w:val="18"/>
                <w:szCs w:val="18"/>
              </w:rPr>
            </w:r>
            <w:r w:rsidRPr="00A9217E">
              <w:rPr>
                <w:sz w:val="18"/>
                <w:szCs w:val="18"/>
              </w:rPr>
              <w:fldChar w:fldCharType="separate"/>
            </w:r>
            <w:r w:rsidR="00D42E3A">
              <w:rPr>
                <w:noProof/>
                <w:sz w:val="18"/>
                <w:szCs w:val="18"/>
              </w:rPr>
              <w:t>(AEGN, 2019, Food Security and Food Systems Working Group, 2022, FOLU, 2021, Frison, 2016, Iles, 2021, Lawrence et al., 2013, Burch et al., 2013, ClimateWorks Australia, 2020, Herrero et al., 2021, Herrero et al., 2020, ClimateWorks Centre, 2022, Anderson et al., 2019, Hadjikakou and Wiedmann, 2017)</w:t>
            </w:r>
            <w:r w:rsidRPr="00A9217E">
              <w:rPr>
                <w:sz w:val="18"/>
                <w:szCs w:val="18"/>
              </w:rPr>
              <w:fldChar w:fldCharType="end"/>
            </w:r>
          </w:p>
          <w:p w14:paraId="307BD364" w14:textId="77777777" w:rsidR="00FD55A5" w:rsidRPr="00A9217E" w:rsidRDefault="00FD55A5" w:rsidP="007F346F">
            <w:pPr>
              <w:rPr>
                <w:sz w:val="18"/>
                <w:szCs w:val="18"/>
              </w:rPr>
            </w:pPr>
          </w:p>
        </w:tc>
      </w:tr>
      <w:tr w:rsidR="00FD55A5" w:rsidRPr="0084089A" w14:paraId="19E17414" w14:textId="77777777" w:rsidTr="007F346F">
        <w:tc>
          <w:tcPr>
            <w:tcW w:w="2263" w:type="dxa"/>
          </w:tcPr>
          <w:p w14:paraId="7B39573A" w14:textId="77777777" w:rsidR="00FD55A5" w:rsidRPr="0084089A" w:rsidRDefault="00FD55A5" w:rsidP="007F346F">
            <w:pPr>
              <w:rPr>
                <w:sz w:val="18"/>
                <w:szCs w:val="18"/>
              </w:rPr>
            </w:pPr>
            <w:r w:rsidRPr="0084089A">
              <w:rPr>
                <w:b/>
                <w:bCs/>
                <w:sz w:val="18"/>
                <w:szCs w:val="18"/>
              </w:rPr>
              <w:lastRenderedPageBreak/>
              <w:t>4. Energy decarbonization with universal access</w:t>
            </w:r>
          </w:p>
        </w:tc>
        <w:tc>
          <w:tcPr>
            <w:tcW w:w="9923" w:type="dxa"/>
          </w:tcPr>
          <w:p w14:paraId="61D43EEF" w14:textId="77777777" w:rsidR="00FD55A5" w:rsidRDefault="00FD55A5" w:rsidP="007F346F">
            <w:pPr>
              <w:rPr>
                <w:sz w:val="18"/>
                <w:szCs w:val="18"/>
              </w:rPr>
            </w:pPr>
            <w:r>
              <w:rPr>
                <w:b/>
                <w:bCs/>
                <w:sz w:val="18"/>
                <w:szCs w:val="18"/>
              </w:rPr>
              <w:t>Progress and Challenges</w:t>
            </w:r>
          </w:p>
          <w:p w14:paraId="267F4233" w14:textId="4FF3926E" w:rsidR="00FD55A5" w:rsidRPr="00FE7239" w:rsidRDefault="00FD55A5" w:rsidP="007F346F">
            <w:pPr>
              <w:rPr>
                <w:sz w:val="18"/>
                <w:szCs w:val="18"/>
              </w:rPr>
            </w:pPr>
            <w:r w:rsidRPr="00FE7239">
              <w:rPr>
                <w:sz w:val="18"/>
                <w:szCs w:val="18"/>
              </w:rPr>
              <w:t xml:space="preserve">While access to electricity is near universal in Australia, the retail price of electricity has more than doubled in the past decade. This means Australians now pay higher electricity prices than most other OECD countries. Energy affordability has become a major problem facing many Australians, particularly those on lower incomes.  Australian energy exports have increased over </w:t>
            </w:r>
            <w:r w:rsidR="007700B7" w:rsidRPr="00FE7239">
              <w:rPr>
                <w:sz w:val="18"/>
                <w:szCs w:val="18"/>
              </w:rPr>
              <w:t>20-fold</w:t>
            </w:r>
            <w:r w:rsidRPr="00FE7239">
              <w:rPr>
                <w:sz w:val="18"/>
                <w:szCs w:val="18"/>
              </w:rPr>
              <w:t xml:space="preserve"> in the past four decades, and now amount to about three times Australia’s domestic primary energy consumption. Australia’s energy exports are dominated by </w:t>
            </w:r>
            <w:r w:rsidR="007700B7">
              <w:rPr>
                <w:sz w:val="18"/>
                <w:szCs w:val="18"/>
              </w:rPr>
              <w:t>c</w:t>
            </w:r>
            <w:r w:rsidRPr="00FE7239">
              <w:rPr>
                <w:sz w:val="18"/>
                <w:szCs w:val="18"/>
              </w:rPr>
              <w:t>oal</w:t>
            </w:r>
            <w:r w:rsidR="00AA48C4">
              <w:rPr>
                <w:sz w:val="18"/>
                <w:szCs w:val="18"/>
              </w:rPr>
              <w:t xml:space="preserve">, </w:t>
            </w:r>
            <w:proofErr w:type="gramStart"/>
            <w:r w:rsidR="00AA48C4">
              <w:rPr>
                <w:sz w:val="18"/>
                <w:szCs w:val="18"/>
              </w:rPr>
              <w:t>gas</w:t>
            </w:r>
            <w:proofErr w:type="gramEnd"/>
            <w:r w:rsidR="00AA48C4">
              <w:rPr>
                <w:sz w:val="18"/>
                <w:szCs w:val="18"/>
              </w:rPr>
              <w:t xml:space="preserve"> and uranium. </w:t>
            </w:r>
            <w:r w:rsidRPr="00FE7239">
              <w:rPr>
                <w:sz w:val="18"/>
                <w:szCs w:val="18"/>
              </w:rPr>
              <w:t>While Australia currently exports no renewable energy, opportunities exist to develop this activity in the future.</w:t>
            </w:r>
          </w:p>
          <w:p w14:paraId="7B1B5D2A" w14:textId="77777777" w:rsidR="00FD55A5" w:rsidRDefault="00FD55A5" w:rsidP="007F346F">
            <w:pPr>
              <w:rPr>
                <w:sz w:val="18"/>
                <w:szCs w:val="18"/>
              </w:rPr>
            </w:pPr>
          </w:p>
          <w:p w14:paraId="63D20EC4" w14:textId="17F4B37B" w:rsidR="00FD55A5" w:rsidRPr="00FD06D1" w:rsidRDefault="00FD55A5" w:rsidP="007F346F">
            <w:pPr>
              <w:rPr>
                <w:sz w:val="18"/>
                <w:szCs w:val="18"/>
              </w:rPr>
            </w:pPr>
            <w:r w:rsidRPr="00FD06D1">
              <w:rPr>
                <w:sz w:val="18"/>
                <w:szCs w:val="18"/>
              </w:rPr>
              <w:t xml:space="preserve">Australia remains highly dependent on fossil fuels and the share of renewables in final energy consumption increased marginally since 2000. The share of renewables in electricity remained stable up until 2010. Since then, it has more than doubled </w:t>
            </w:r>
            <w:proofErr w:type="gramStart"/>
            <w:r w:rsidRPr="00FD06D1">
              <w:rPr>
                <w:sz w:val="18"/>
                <w:szCs w:val="18"/>
              </w:rPr>
              <w:t>as a result of</w:t>
            </w:r>
            <w:proofErr w:type="gramEnd"/>
            <w:r w:rsidRPr="00FD06D1">
              <w:rPr>
                <w:sz w:val="18"/>
                <w:szCs w:val="18"/>
              </w:rPr>
              <w:t xml:space="preserve"> the Australian Government’s Renewable Energy Target and state–based actions which are now driving substantial investment in renewable electricity generation which account</w:t>
            </w:r>
            <w:r w:rsidR="00187E30">
              <w:rPr>
                <w:sz w:val="18"/>
                <w:szCs w:val="18"/>
              </w:rPr>
              <w:t>s</w:t>
            </w:r>
            <w:r w:rsidRPr="00FD06D1">
              <w:rPr>
                <w:sz w:val="18"/>
                <w:szCs w:val="18"/>
              </w:rPr>
              <w:t xml:space="preserve"> for 23% of electricity generated by 2020. In parallel to investments in large scale renewable electricity assets, there have been strong increases in small scale systems, driven by solar PV installation. The number of </w:t>
            </w:r>
            <w:r w:rsidR="00187E30" w:rsidRPr="00FD06D1">
              <w:rPr>
                <w:sz w:val="18"/>
                <w:szCs w:val="18"/>
              </w:rPr>
              <w:t>small-scale</w:t>
            </w:r>
            <w:r w:rsidRPr="00FD06D1">
              <w:rPr>
                <w:sz w:val="18"/>
                <w:szCs w:val="18"/>
              </w:rPr>
              <w:t xml:space="preserve"> solar PV installations are now equivalent to nearly 20% of households in Australia, making it one of the highest </w:t>
            </w:r>
            <w:r w:rsidR="00187E30" w:rsidRPr="00FD06D1">
              <w:rPr>
                <w:sz w:val="18"/>
                <w:szCs w:val="18"/>
              </w:rPr>
              <w:t>penetrations</w:t>
            </w:r>
            <w:r w:rsidRPr="00FD06D1">
              <w:rPr>
                <w:sz w:val="18"/>
                <w:szCs w:val="18"/>
              </w:rPr>
              <w:t xml:space="preserve"> in the world.  This has been driven by government subsidies and feed-in tariffs and rebates which have incentivized household investment.  Rapidly falling costs in renewable generation technologies in recent years have also been a key driver of more rapid uptake</w:t>
            </w:r>
            <w:r w:rsidR="003D2DB6">
              <w:rPr>
                <w:sz w:val="18"/>
                <w:szCs w:val="18"/>
              </w:rPr>
              <w:t>, as have public concerns about the impact of climate change and an aging coal generation fleet.</w:t>
            </w:r>
            <w:r w:rsidRPr="00FD06D1">
              <w:rPr>
                <w:sz w:val="18"/>
                <w:szCs w:val="18"/>
              </w:rPr>
              <w:t xml:space="preserve"> </w:t>
            </w:r>
            <w:r w:rsidRPr="00950789">
              <w:rPr>
                <w:sz w:val="18"/>
                <w:szCs w:val="18"/>
              </w:rPr>
              <w:t>Government projections suggest Australia will generate 48% of electricity from renewables by 2030.</w:t>
            </w:r>
            <w:r>
              <w:rPr>
                <w:sz w:val="18"/>
                <w:szCs w:val="18"/>
              </w:rPr>
              <w:t xml:space="preserve"> </w:t>
            </w:r>
          </w:p>
          <w:p w14:paraId="0C8D4E72" w14:textId="77777777" w:rsidR="00FD55A5" w:rsidRDefault="00FD55A5" w:rsidP="007F346F">
            <w:pPr>
              <w:rPr>
                <w:sz w:val="18"/>
                <w:szCs w:val="18"/>
              </w:rPr>
            </w:pPr>
          </w:p>
          <w:p w14:paraId="24072BB4" w14:textId="77777777" w:rsidR="00FD55A5" w:rsidRDefault="00FD55A5" w:rsidP="007F346F">
            <w:pPr>
              <w:rPr>
                <w:sz w:val="18"/>
                <w:szCs w:val="18"/>
              </w:rPr>
            </w:pPr>
            <w:r w:rsidRPr="005B3379">
              <w:rPr>
                <w:sz w:val="18"/>
                <w:szCs w:val="18"/>
              </w:rPr>
              <w:t>Under the Paris Climate Agreement, Australia originally committed to reduce total greenhouse gas emissions to 26–28% below 2005 levels by 2030 (from 597 Mt CO2 to 441 Mt CO2). This was subsequently raised to 40% in 2022 with a change in government. Australia still has the highest per capita emissions of any OECD country.</w:t>
            </w:r>
            <w:r>
              <w:rPr>
                <w:sz w:val="18"/>
                <w:szCs w:val="18"/>
              </w:rPr>
              <w:t xml:space="preserve"> </w:t>
            </w:r>
            <w:r w:rsidRPr="00D8667E">
              <w:rPr>
                <w:sz w:val="18"/>
                <w:szCs w:val="18"/>
              </w:rPr>
              <w:t xml:space="preserve">Although the makeup of emissions is different—with large </w:t>
            </w:r>
            <w:r w:rsidRPr="00D8667E">
              <w:rPr>
                <w:sz w:val="18"/>
                <w:szCs w:val="18"/>
              </w:rPr>
              <w:lastRenderedPageBreak/>
              <w:t xml:space="preserve">increases in emissions from industry and transport, and lower emissions from land clearing—Australia’s emissions are </w:t>
            </w:r>
            <w:r>
              <w:rPr>
                <w:sz w:val="18"/>
                <w:szCs w:val="18"/>
              </w:rPr>
              <w:t xml:space="preserve">similar </w:t>
            </w:r>
            <w:r w:rsidRPr="00D8667E">
              <w:rPr>
                <w:sz w:val="18"/>
                <w:szCs w:val="18"/>
              </w:rPr>
              <w:t xml:space="preserve">now </w:t>
            </w:r>
            <w:r>
              <w:rPr>
                <w:sz w:val="18"/>
                <w:szCs w:val="18"/>
              </w:rPr>
              <w:t>to what</w:t>
            </w:r>
            <w:r w:rsidRPr="00D8667E">
              <w:rPr>
                <w:sz w:val="18"/>
                <w:szCs w:val="18"/>
              </w:rPr>
              <w:t xml:space="preserve"> they were in 2000.</w:t>
            </w:r>
          </w:p>
          <w:p w14:paraId="42246C63" w14:textId="77777777" w:rsidR="00FD55A5" w:rsidRDefault="00FD55A5" w:rsidP="007F346F">
            <w:pPr>
              <w:rPr>
                <w:sz w:val="18"/>
                <w:szCs w:val="18"/>
              </w:rPr>
            </w:pPr>
          </w:p>
          <w:p w14:paraId="0A5EDD32" w14:textId="77777777" w:rsidR="00FD55A5" w:rsidRDefault="00FD55A5" w:rsidP="007F346F">
            <w:pPr>
              <w:rPr>
                <w:sz w:val="18"/>
                <w:szCs w:val="18"/>
              </w:rPr>
            </w:pPr>
            <w:r w:rsidRPr="00C30787">
              <w:rPr>
                <w:sz w:val="18"/>
                <w:szCs w:val="18"/>
              </w:rPr>
              <w:t>A key impediment to the acceleration of the energy transition has been policy uncertainty. The failure to extend the Renewable Energy Target beyond 2020 and the introduction and then repeal of a legislated carbon price have contributed to this uncertainty.  Australia also currently provides higher subsidies for fossil fuel use than other OECD countries, currently running at over three times the OECD average. These subsidies create artificial discounts across a range of products and tend to distract focus from the importance of investment in rail infrastructure and alternative sources of energy.</w:t>
            </w:r>
          </w:p>
          <w:p w14:paraId="745888B9" w14:textId="77777777" w:rsidR="00FD55A5" w:rsidRDefault="00FD55A5" w:rsidP="007F346F">
            <w:pPr>
              <w:rPr>
                <w:sz w:val="18"/>
                <w:szCs w:val="18"/>
              </w:rPr>
            </w:pPr>
          </w:p>
          <w:p w14:paraId="6CF466AA" w14:textId="10F93A68" w:rsidR="00FD55A5" w:rsidRPr="008122AF" w:rsidRDefault="00FD55A5" w:rsidP="007F346F">
            <w:pPr>
              <w:rPr>
                <w:sz w:val="18"/>
                <w:szCs w:val="18"/>
              </w:rPr>
            </w:pPr>
            <w:r>
              <w:rPr>
                <w:sz w:val="18"/>
                <w:szCs w:val="18"/>
              </w:rPr>
              <w:t xml:space="preserve">Australia has virtually unlimited supplies of sun and wind for renewable energy generation and is particularly vulnerable to climate impacts, </w:t>
            </w:r>
            <w:proofErr w:type="gramStart"/>
            <w:r>
              <w:rPr>
                <w:sz w:val="18"/>
                <w:szCs w:val="18"/>
              </w:rPr>
              <w:t>however</w:t>
            </w:r>
            <w:proofErr w:type="gramEnd"/>
            <w:r>
              <w:rPr>
                <w:sz w:val="18"/>
                <w:szCs w:val="18"/>
              </w:rPr>
              <w:t xml:space="preserve"> is still heavily reliant on coal and natural gas </w:t>
            </w:r>
            <w:r w:rsidRPr="003B0A5F">
              <w:rPr>
                <w:sz w:val="18"/>
                <w:szCs w:val="18"/>
              </w:rPr>
              <w:t xml:space="preserve">for electricity generation which gives enormous potential power to the </w:t>
            </w:r>
            <w:r>
              <w:rPr>
                <w:sz w:val="18"/>
                <w:szCs w:val="18"/>
              </w:rPr>
              <w:t xml:space="preserve">incumbent energy sector. Australia has abundant quantities of coal and natural gas and is the world’s largest coal exporter and has built enormous LNG export infrastructure over the past decade. This creates considerable inertia in the energy system. </w:t>
            </w:r>
            <w:r w:rsidRPr="004B2570">
              <w:rPr>
                <w:sz w:val="18"/>
                <w:szCs w:val="18"/>
              </w:rPr>
              <w:t>Australian</w:t>
            </w:r>
            <w:r>
              <w:rPr>
                <w:sz w:val="18"/>
                <w:szCs w:val="18"/>
              </w:rPr>
              <w:t xml:space="preserve"> energy</w:t>
            </w:r>
            <w:r w:rsidRPr="004B2570">
              <w:rPr>
                <w:sz w:val="18"/>
                <w:szCs w:val="18"/>
              </w:rPr>
              <w:t xml:space="preserve"> incumbents have an almost thirty-year history of success in blocking, weakening, </w:t>
            </w:r>
            <w:proofErr w:type="gramStart"/>
            <w:r w:rsidRPr="004B2570">
              <w:rPr>
                <w:sz w:val="18"/>
                <w:szCs w:val="18"/>
              </w:rPr>
              <w:t>delaying</w:t>
            </w:r>
            <w:proofErr w:type="gramEnd"/>
            <w:r w:rsidRPr="004B2570">
              <w:rPr>
                <w:sz w:val="18"/>
                <w:szCs w:val="18"/>
              </w:rPr>
              <w:t xml:space="preserve"> or shaping policy responses to climate change. They have ensured that policies contained significant caveats and loopholes to allow ‘business as usual’. Climate change</w:t>
            </w:r>
            <w:r w:rsidR="00B84286">
              <w:rPr>
                <w:sz w:val="18"/>
                <w:szCs w:val="18"/>
              </w:rPr>
              <w:t xml:space="preserve"> and the so-called ‘climate wars’ have</w:t>
            </w:r>
            <w:r w:rsidRPr="004B2570">
              <w:rPr>
                <w:sz w:val="18"/>
                <w:szCs w:val="18"/>
              </w:rPr>
              <w:t xml:space="preserve"> been intimately involved in the downfall of at least three governments. </w:t>
            </w:r>
            <w:r w:rsidRPr="006B2436">
              <w:rPr>
                <w:sz w:val="18"/>
                <w:szCs w:val="18"/>
              </w:rPr>
              <w:t>Incumbents have worked to ensure that National Electricity Market (NEM) rules favour large, centralised fossil fuel generators, making market entry harder for decentralised and renewable sources. To achieve this, they have used lobbying, supplemented with economic modelling, ‘hearts and minds’ publicity campaigns which either burnish their industries or attack proposals for change</w:t>
            </w:r>
            <w:r w:rsidR="00C91A40">
              <w:rPr>
                <w:sz w:val="18"/>
                <w:szCs w:val="18"/>
              </w:rPr>
              <w:t>,</w:t>
            </w:r>
            <w:r w:rsidRPr="006B2436">
              <w:rPr>
                <w:sz w:val="18"/>
                <w:szCs w:val="18"/>
              </w:rPr>
              <w:t xml:space="preserve"> and the creation of organisations that will</w:t>
            </w:r>
            <w:r w:rsidR="00C91A40">
              <w:rPr>
                <w:sz w:val="18"/>
                <w:szCs w:val="18"/>
              </w:rPr>
              <w:t xml:space="preserve"> make their </w:t>
            </w:r>
            <w:r w:rsidRPr="006B2436">
              <w:rPr>
                <w:sz w:val="18"/>
                <w:szCs w:val="18"/>
              </w:rPr>
              <w:t>case to policy networks or beyond.</w:t>
            </w:r>
            <w:r>
              <w:rPr>
                <w:sz w:val="18"/>
                <w:szCs w:val="18"/>
              </w:rPr>
              <w:t xml:space="preserve"> </w:t>
            </w:r>
            <w:r w:rsidRPr="00CF3A67">
              <w:rPr>
                <w:sz w:val="18"/>
                <w:szCs w:val="18"/>
              </w:rPr>
              <w:t>In addition, they have striven to slow the growth of alternative sources of electricity generation, while supporting the expansion of fossil fuel infrastructure and shaping the NEM to suit the needs of centralised fossil-fuel generators.</w:t>
            </w:r>
            <w:r>
              <w:rPr>
                <w:sz w:val="18"/>
                <w:szCs w:val="18"/>
              </w:rPr>
              <w:t xml:space="preserve"> Incumbents also </w:t>
            </w:r>
            <w:r w:rsidRPr="00D7085F">
              <w:rPr>
                <w:sz w:val="18"/>
                <w:szCs w:val="18"/>
              </w:rPr>
              <w:t>stand accused of having deliberately and consistently over-estimated future electricity demand to build state-funded infrastructure, so-called ‘gold-plating’ of the electricity grid</w:t>
            </w:r>
            <w:r>
              <w:rPr>
                <w:sz w:val="18"/>
                <w:szCs w:val="18"/>
              </w:rPr>
              <w:t xml:space="preserve">. </w:t>
            </w:r>
          </w:p>
          <w:p w14:paraId="771367BD" w14:textId="77777777" w:rsidR="00FD55A5" w:rsidRDefault="00FD55A5" w:rsidP="007F346F">
            <w:pPr>
              <w:rPr>
                <w:sz w:val="18"/>
                <w:szCs w:val="18"/>
              </w:rPr>
            </w:pPr>
          </w:p>
          <w:p w14:paraId="3E7FB1B9" w14:textId="77777777" w:rsidR="00FD55A5" w:rsidRDefault="00FD55A5" w:rsidP="007F346F">
            <w:pPr>
              <w:rPr>
                <w:sz w:val="18"/>
                <w:szCs w:val="18"/>
              </w:rPr>
            </w:pPr>
            <w:r>
              <w:rPr>
                <w:b/>
                <w:bCs/>
                <w:sz w:val="18"/>
                <w:szCs w:val="18"/>
              </w:rPr>
              <w:t>Transformation Bottlenecks</w:t>
            </w:r>
          </w:p>
          <w:p w14:paraId="43D1EDFC" w14:textId="4B8B641C" w:rsidR="00FD55A5" w:rsidRPr="00DC7D2C" w:rsidRDefault="00FD55A5" w:rsidP="00FD55A5">
            <w:pPr>
              <w:numPr>
                <w:ilvl w:val="0"/>
                <w:numId w:val="1"/>
              </w:numPr>
              <w:rPr>
                <w:sz w:val="18"/>
                <w:szCs w:val="18"/>
              </w:rPr>
            </w:pPr>
            <w:r w:rsidRPr="00DC7D2C">
              <w:rPr>
                <w:b/>
                <w:bCs/>
                <w:sz w:val="18"/>
                <w:szCs w:val="18"/>
              </w:rPr>
              <w:t>Techno-economic</w:t>
            </w:r>
            <w:r w:rsidRPr="00DC7D2C">
              <w:rPr>
                <w:sz w:val="18"/>
                <w:szCs w:val="18"/>
              </w:rPr>
              <w:t xml:space="preserve">: large sunk investments in centralised electricity generation </w:t>
            </w:r>
            <w:r w:rsidR="00E44A94">
              <w:rPr>
                <w:sz w:val="18"/>
                <w:szCs w:val="18"/>
              </w:rPr>
              <w:t xml:space="preserve">and the energy resources sector </w:t>
            </w:r>
            <w:r w:rsidRPr="00DC7D2C">
              <w:rPr>
                <w:sz w:val="18"/>
                <w:szCs w:val="18"/>
              </w:rPr>
              <w:t xml:space="preserve">create powerful vested interests; low-cost, high-performance characteristics and economies of scale associated with fossil-fuel energy create barriers to investment in renewable alternatives; existing grid infrastructure has been designed for centralised rather than decentralised energy, with large investments in transmission and storage needed; those who own the infrastructure – for extraction, distribution and retail – are keen to continue profitable business and have acted extremely effectively in their defence. </w:t>
            </w:r>
          </w:p>
          <w:p w14:paraId="67A3A5F9" w14:textId="77777777" w:rsidR="00FD55A5" w:rsidRPr="00DC7D2C" w:rsidRDefault="00FD55A5" w:rsidP="00FD55A5">
            <w:pPr>
              <w:numPr>
                <w:ilvl w:val="0"/>
                <w:numId w:val="1"/>
              </w:numPr>
              <w:rPr>
                <w:sz w:val="18"/>
                <w:szCs w:val="18"/>
              </w:rPr>
            </w:pPr>
            <w:r w:rsidRPr="00DC7D2C">
              <w:rPr>
                <w:b/>
                <w:bCs/>
                <w:sz w:val="18"/>
                <w:szCs w:val="18"/>
              </w:rPr>
              <w:t>Socio-behavioural</w:t>
            </w:r>
            <w:r w:rsidRPr="00DC7D2C">
              <w:rPr>
                <w:sz w:val="18"/>
                <w:szCs w:val="18"/>
              </w:rPr>
              <w:t xml:space="preserve">: lifestyles have become structured around high-consumption of readily available, </w:t>
            </w:r>
            <w:proofErr w:type="gramStart"/>
            <w:r w:rsidRPr="00DC7D2C">
              <w:rPr>
                <w:sz w:val="18"/>
                <w:szCs w:val="18"/>
              </w:rPr>
              <w:t>high-performance</w:t>
            </w:r>
            <w:proofErr w:type="gramEnd"/>
            <w:r w:rsidRPr="00DC7D2C">
              <w:rPr>
                <w:sz w:val="18"/>
                <w:szCs w:val="18"/>
              </w:rPr>
              <w:t xml:space="preserve"> and reliable energy; a concerted campaign of misinformation and issue minimisation which has created confusion around causes and solutions and diffused public support and momentum for change.</w:t>
            </w:r>
          </w:p>
          <w:p w14:paraId="0C2341F6" w14:textId="77777777" w:rsidR="00FD55A5" w:rsidRPr="00DC7D2C" w:rsidRDefault="00FD55A5" w:rsidP="00FD55A5">
            <w:pPr>
              <w:numPr>
                <w:ilvl w:val="0"/>
                <w:numId w:val="1"/>
              </w:numPr>
              <w:rPr>
                <w:sz w:val="18"/>
                <w:szCs w:val="18"/>
              </w:rPr>
            </w:pPr>
            <w:r w:rsidRPr="00DC7D2C">
              <w:rPr>
                <w:b/>
                <w:bCs/>
                <w:sz w:val="18"/>
                <w:szCs w:val="18"/>
              </w:rPr>
              <w:t>Political-institutional</w:t>
            </w:r>
            <w:r w:rsidRPr="00DC7D2C">
              <w:rPr>
                <w:sz w:val="18"/>
                <w:szCs w:val="18"/>
              </w:rPr>
              <w:t xml:space="preserve">: existing subsidies and policies continue to support fossil fuel consumption while also encouraging renewables; </w:t>
            </w:r>
            <w:r>
              <w:rPr>
                <w:sz w:val="18"/>
                <w:szCs w:val="18"/>
              </w:rPr>
              <w:t xml:space="preserve">NEM rules favour large, centralised fossil fuel generators; </w:t>
            </w:r>
            <w:r w:rsidRPr="00DC7D2C">
              <w:rPr>
                <w:sz w:val="18"/>
                <w:szCs w:val="18"/>
              </w:rPr>
              <w:t>power</w:t>
            </w:r>
            <w:r>
              <w:rPr>
                <w:sz w:val="18"/>
                <w:szCs w:val="18"/>
              </w:rPr>
              <w:t>ful</w:t>
            </w:r>
            <w:r w:rsidRPr="00DC7D2C">
              <w:rPr>
                <w:sz w:val="18"/>
                <w:szCs w:val="18"/>
              </w:rPr>
              <w:t xml:space="preserve"> vested interests in the energy and resources sector have sought and succeeded in preventing policy shifts and stifling innovation; firms, employees, and regional communities in sectors such as coal mining have resisted the transition due to potential job losses; powerful lobbies have successfully captured and infiltrated government to prosecute their commercial interests</w:t>
            </w:r>
            <w:r>
              <w:rPr>
                <w:sz w:val="18"/>
                <w:szCs w:val="18"/>
              </w:rPr>
              <w:t xml:space="preserve">; a key strategy by </w:t>
            </w:r>
            <w:r w:rsidRPr="00DB3559">
              <w:rPr>
                <w:sz w:val="18"/>
                <w:szCs w:val="18"/>
              </w:rPr>
              <w:t xml:space="preserve">business </w:t>
            </w:r>
            <w:r w:rsidRPr="00DB3559">
              <w:rPr>
                <w:sz w:val="18"/>
                <w:szCs w:val="18"/>
              </w:rPr>
              <w:lastRenderedPageBreak/>
              <w:t>incumbents has been concerted and coordinated lobbying of selected ministers and senior bureaucrats, almost always backed up by economic modelling</w:t>
            </w:r>
            <w:r>
              <w:rPr>
                <w:sz w:val="18"/>
                <w:szCs w:val="18"/>
              </w:rPr>
              <w:t xml:space="preserve">. </w:t>
            </w:r>
          </w:p>
          <w:p w14:paraId="3FA6418D" w14:textId="77777777" w:rsidR="00FD55A5" w:rsidRDefault="00FD55A5" w:rsidP="007F346F">
            <w:pPr>
              <w:rPr>
                <w:sz w:val="18"/>
                <w:szCs w:val="18"/>
              </w:rPr>
            </w:pPr>
          </w:p>
          <w:p w14:paraId="682D8720" w14:textId="77777777" w:rsidR="00FD55A5" w:rsidRDefault="00FD55A5" w:rsidP="007F346F">
            <w:pPr>
              <w:rPr>
                <w:sz w:val="18"/>
                <w:szCs w:val="18"/>
              </w:rPr>
            </w:pPr>
            <w:r>
              <w:rPr>
                <w:b/>
                <w:bCs/>
                <w:sz w:val="18"/>
                <w:szCs w:val="18"/>
              </w:rPr>
              <w:t>Positive Signs and Seeds of Change</w:t>
            </w:r>
          </w:p>
          <w:p w14:paraId="35A5CCB7" w14:textId="15ACE6BF" w:rsidR="00FD55A5" w:rsidRPr="00B7149C" w:rsidRDefault="00FD55A5" w:rsidP="00FD55A5">
            <w:pPr>
              <w:numPr>
                <w:ilvl w:val="0"/>
                <w:numId w:val="4"/>
              </w:numPr>
              <w:rPr>
                <w:sz w:val="18"/>
                <w:szCs w:val="18"/>
              </w:rPr>
            </w:pPr>
            <w:r w:rsidRPr="00B7149C">
              <w:rPr>
                <w:sz w:val="18"/>
                <w:szCs w:val="18"/>
              </w:rPr>
              <w:t>Despite almost 30 years of resistance, the energy transition in Australia has begun to accelerate with record large-scale wind and solar energy installations, new storage</w:t>
            </w:r>
            <w:r w:rsidR="005B2A46">
              <w:rPr>
                <w:sz w:val="18"/>
                <w:szCs w:val="18"/>
              </w:rPr>
              <w:t>,</w:t>
            </w:r>
            <w:r w:rsidRPr="00B7149C">
              <w:rPr>
                <w:sz w:val="18"/>
                <w:szCs w:val="18"/>
              </w:rPr>
              <w:t xml:space="preserve"> and network infrastructure gaining speed.  The technologies needed for the transition are readily available and increasingly </w:t>
            </w:r>
            <w:r w:rsidR="005B2A46" w:rsidRPr="00B7149C">
              <w:rPr>
                <w:sz w:val="18"/>
                <w:szCs w:val="18"/>
              </w:rPr>
              <w:t>economic</w:t>
            </w:r>
            <w:r w:rsidR="005B2A46">
              <w:rPr>
                <w:sz w:val="18"/>
                <w:szCs w:val="18"/>
              </w:rPr>
              <w:t>ally</w:t>
            </w:r>
            <w:r w:rsidRPr="00B7149C">
              <w:rPr>
                <w:sz w:val="18"/>
                <w:szCs w:val="18"/>
              </w:rPr>
              <w:t xml:space="preserve"> competitive</w:t>
            </w:r>
            <w:r>
              <w:rPr>
                <w:sz w:val="18"/>
                <w:szCs w:val="18"/>
              </w:rPr>
              <w:t xml:space="preserve">. </w:t>
            </w:r>
          </w:p>
          <w:p w14:paraId="34AB4626" w14:textId="06F68313" w:rsidR="00FD55A5" w:rsidRDefault="00FD55A5" w:rsidP="00FD55A5">
            <w:pPr>
              <w:numPr>
                <w:ilvl w:val="0"/>
                <w:numId w:val="4"/>
              </w:numPr>
              <w:rPr>
                <w:sz w:val="18"/>
                <w:szCs w:val="18"/>
              </w:rPr>
            </w:pPr>
            <w:r w:rsidRPr="00B7149C">
              <w:rPr>
                <w:sz w:val="18"/>
                <w:szCs w:val="18"/>
              </w:rPr>
              <w:t xml:space="preserve">Progress in the last five years has closed the technical gap with key technologies crossing tipping points which mean that achieving zero emissions is possible in many sectors. Mature technologies capable of achieving zero emissions already exist in many sectors and technical obstacles have been overcome. </w:t>
            </w:r>
            <w:r>
              <w:rPr>
                <w:sz w:val="18"/>
                <w:szCs w:val="18"/>
              </w:rPr>
              <w:t xml:space="preserve"> Investment in renewables is rapidly scaling, with emerging projects such as </w:t>
            </w:r>
            <w:r w:rsidR="005B2A46">
              <w:rPr>
                <w:sz w:val="18"/>
                <w:szCs w:val="18"/>
              </w:rPr>
              <w:t>Sun Cable</w:t>
            </w:r>
            <w:r>
              <w:rPr>
                <w:sz w:val="18"/>
                <w:szCs w:val="18"/>
              </w:rPr>
              <w:t xml:space="preserve"> and green hydrogen providing promising largescale investment opportunities. </w:t>
            </w:r>
          </w:p>
          <w:p w14:paraId="29AEE617" w14:textId="77777777" w:rsidR="00FD55A5" w:rsidRDefault="00FD55A5" w:rsidP="00FD55A5">
            <w:pPr>
              <w:numPr>
                <w:ilvl w:val="0"/>
                <w:numId w:val="4"/>
              </w:numPr>
              <w:rPr>
                <w:sz w:val="18"/>
                <w:szCs w:val="18"/>
              </w:rPr>
            </w:pPr>
            <w:r w:rsidRPr="00E816D4">
              <w:rPr>
                <w:sz w:val="18"/>
                <w:szCs w:val="18"/>
              </w:rPr>
              <w:t>Community concerns about the impact of fossil fuel generation on carbon emissions, along with technology changes and an ageing coal fired generation fleet, are among factors that have driven and continue to drive Australia’s energy market transition.</w:t>
            </w:r>
            <w:r>
              <w:rPr>
                <w:sz w:val="18"/>
                <w:szCs w:val="18"/>
              </w:rPr>
              <w:t xml:space="preserve"> </w:t>
            </w:r>
          </w:p>
          <w:p w14:paraId="35BDC25E" w14:textId="3A0F136B" w:rsidR="00FD55A5" w:rsidRDefault="00FD55A5" w:rsidP="00FD55A5">
            <w:pPr>
              <w:numPr>
                <w:ilvl w:val="0"/>
                <w:numId w:val="4"/>
              </w:numPr>
              <w:rPr>
                <w:sz w:val="18"/>
                <w:szCs w:val="18"/>
              </w:rPr>
            </w:pPr>
            <w:r>
              <w:rPr>
                <w:sz w:val="18"/>
                <w:szCs w:val="18"/>
              </w:rPr>
              <w:t xml:space="preserve">National emissions reduction targets have recently been upgraded to 40% reduction by 2030, and with a firm commitment to net zero by 2050.  Detailed technical studies and roadmaps developed by </w:t>
            </w:r>
            <w:proofErr w:type="spellStart"/>
            <w:r>
              <w:rPr>
                <w:sz w:val="18"/>
                <w:szCs w:val="18"/>
              </w:rPr>
              <w:t>ClimateWorks</w:t>
            </w:r>
            <w:proofErr w:type="spellEnd"/>
            <w:r>
              <w:rPr>
                <w:sz w:val="18"/>
                <w:szCs w:val="18"/>
              </w:rPr>
              <w:t xml:space="preserve">, CSIRO, Beyond Zero Emissions and their partners provide pathways to decarbonise Australia’s energy sector. </w:t>
            </w:r>
          </w:p>
          <w:p w14:paraId="4BD66AF6" w14:textId="0E8E22BF" w:rsidR="00FD55A5" w:rsidRPr="008F543A" w:rsidRDefault="00FD55A5" w:rsidP="00FD55A5">
            <w:pPr>
              <w:pStyle w:val="ListParagraph"/>
              <w:numPr>
                <w:ilvl w:val="0"/>
                <w:numId w:val="4"/>
              </w:numPr>
              <w:rPr>
                <w:sz w:val="18"/>
                <w:szCs w:val="18"/>
                <w:lang w:val="en-AU"/>
              </w:rPr>
            </w:pPr>
            <w:r w:rsidRPr="008F543A">
              <w:rPr>
                <w:sz w:val="18"/>
                <w:szCs w:val="18"/>
                <w:lang w:val="en-AU"/>
              </w:rPr>
              <w:t xml:space="preserve">In electricity, zero-emissions technologies are readily available although not yet deployed at sufficient scale. </w:t>
            </w:r>
            <w:proofErr w:type="gramStart"/>
            <w:r w:rsidRPr="008F543A">
              <w:rPr>
                <w:sz w:val="18"/>
                <w:szCs w:val="18"/>
                <w:lang w:val="en-AU"/>
              </w:rPr>
              <w:t xml:space="preserve">In particular, </w:t>
            </w:r>
            <w:r w:rsidR="005B2A46" w:rsidRPr="008F543A">
              <w:rPr>
                <w:sz w:val="18"/>
                <w:szCs w:val="18"/>
                <w:lang w:val="en-AU"/>
              </w:rPr>
              <w:t>large</w:t>
            </w:r>
            <w:proofErr w:type="gramEnd"/>
            <w:r w:rsidR="005B2A46" w:rsidRPr="008F543A">
              <w:rPr>
                <w:sz w:val="18"/>
                <w:szCs w:val="18"/>
                <w:lang w:val="en-AU"/>
              </w:rPr>
              <w:t>- and small-scale</w:t>
            </w:r>
            <w:r w:rsidRPr="008F543A">
              <w:rPr>
                <w:sz w:val="18"/>
                <w:szCs w:val="18"/>
                <w:lang w:val="en-AU"/>
              </w:rPr>
              <w:t xml:space="preserve"> renewable electricity generation (supported by new storage capabilities and demand management measures) can fully decarbonise Australia’s power supply. The increased uptake of new technologies worldwide has led to significant cost reductions, with new large-scale renewable electricity generation now less expensive than new fossil fuel generation, and battery costs per kilowatt hour 80% cheaper than in 2010.</w:t>
            </w:r>
          </w:p>
          <w:p w14:paraId="7BD23EE6" w14:textId="77777777" w:rsidR="00FD55A5" w:rsidRPr="00C06DD0" w:rsidRDefault="00FD55A5" w:rsidP="00FD55A5">
            <w:pPr>
              <w:pStyle w:val="ListParagraph"/>
              <w:numPr>
                <w:ilvl w:val="0"/>
                <w:numId w:val="4"/>
              </w:numPr>
              <w:rPr>
                <w:sz w:val="18"/>
                <w:szCs w:val="18"/>
                <w:lang w:val="en-AU"/>
              </w:rPr>
            </w:pPr>
            <w:r w:rsidRPr="00C06DD0">
              <w:rPr>
                <w:sz w:val="18"/>
                <w:szCs w:val="18"/>
                <w:lang w:val="en-AU"/>
              </w:rPr>
              <w:t xml:space="preserve">Globally and in Australia, major corporations, </w:t>
            </w:r>
            <w:proofErr w:type="gramStart"/>
            <w:r w:rsidRPr="00C06DD0">
              <w:rPr>
                <w:sz w:val="18"/>
                <w:szCs w:val="18"/>
                <w:lang w:val="en-AU"/>
              </w:rPr>
              <w:t>investors</w:t>
            </w:r>
            <w:proofErr w:type="gramEnd"/>
            <w:r w:rsidRPr="00C06DD0">
              <w:rPr>
                <w:sz w:val="18"/>
                <w:szCs w:val="18"/>
                <w:lang w:val="en-AU"/>
              </w:rPr>
              <w:t xml:space="preserve"> and governments are already moving to align their strategies with the goal of net zero emissions.</w:t>
            </w:r>
          </w:p>
          <w:p w14:paraId="4BC3EE19" w14:textId="77777777" w:rsidR="00FD55A5" w:rsidRDefault="00FD55A5" w:rsidP="00FD55A5">
            <w:pPr>
              <w:pStyle w:val="ListParagraph"/>
              <w:numPr>
                <w:ilvl w:val="0"/>
                <w:numId w:val="4"/>
              </w:numPr>
              <w:rPr>
                <w:sz w:val="18"/>
                <w:szCs w:val="18"/>
                <w:lang w:val="en-AU"/>
              </w:rPr>
            </w:pPr>
            <w:r w:rsidRPr="00D80C2F">
              <w:rPr>
                <w:sz w:val="18"/>
                <w:szCs w:val="18"/>
                <w:lang w:val="en-AU"/>
              </w:rPr>
              <w:t>All Australian states and territories are now aiming to achieve net zero by or before 2050. In addition, Australian capital cities and local governments are increasingly setting net zero emissions targets for their communities. State government interventions in energy systems are accelerating the transition (</w:t>
            </w:r>
            <w:proofErr w:type="gramStart"/>
            <w:r w:rsidRPr="00D80C2F">
              <w:rPr>
                <w:sz w:val="18"/>
                <w:szCs w:val="18"/>
                <w:lang w:val="en-AU"/>
              </w:rPr>
              <w:t>e.g.</w:t>
            </w:r>
            <w:proofErr w:type="gramEnd"/>
            <w:r w:rsidRPr="00D80C2F">
              <w:rPr>
                <w:sz w:val="18"/>
                <w:szCs w:val="18"/>
                <w:lang w:val="en-AU"/>
              </w:rPr>
              <w:t xml:space="preserve"> the South Australian government’s investment in large-scale battery storage).</w:t>
            </w:r>
          </w:p>
          <w:p w14:paraId="36920854" w14:textId="77777777" w:rsidR="00FD55A5" w:rsidRPr="00834372" w:rsidRDefault="00FD55A5" w:rsidP="00FD55A5">
            <w:pPr>
              <w:pStyle w:val="ListParagraph"/>
              <w:numPr>
                <w:ilvl w:val="0"/>
                <w:numId w:val="4"/>
              </w:numPr>
              <w:rPr>
                <w:sz w:val="18"/>
                <w:szCs w:val="18"/>
                <w:lang w:val="en-AU"/>
              </w:rPr>
            </w:pPr>
            <w:r w:rsidRPr="00834372">
              <w:rPr>
                <w:sz w:val="18"/>
                <w:szCs w:val="18"/>
                <w:lang w:val="en-AU"/>
              </w:rPr>
              <w:t>Rising public and political support for a re-nationalised electricity grid and supply and open discussions of similar initiatives in public transport</w:t>
            </w:r>
          </w:p>
          <w:p w14:paraId="1B5650CA" w14:textId="77777777" w:rsidR="00FD55A5" w:rsidRDefault="00FD55A5" w:rsidP="007F346F">
            <w:pPr>
              <w:rPr>
                <w:sz w:val="18"/>
                <w:szCs w:val="18"/>
              </w:rPr>
            </w:pPr>
          </w:p>
          <w:p w14:paraId="596619CB" w14:textId="3B97A929" w:rsidR="00FD55A5" w:rsidRPr="001751FC" w:rsidRDefault="00FD55A5" w:rsidP="007F346F">
            <w:pPr>
              <w:rPr>
                <w:b/>
                <w:bCs/>
                <w:sz w:val="18"/>
                <w:szCs w:val="18"/>
              </w:rPr>
            </w:pPr>
            <w:r>
              <w:rPr>
                <w:b/>
                <w:bCs/>
                <w:sz w:val="18"/>
                <w:szCs w:val="18"/>
              </w:rPr>
              <w:t xml:space="preserve">TP4 Storyline, Enabling </w:t>
            </w:r>
            <w:proofErr w:type="gramStart"/>
            <w:r>
              <w:rPr>
                <w:b/>
                <w:bCs/>
                <w:sz w:val="18"/>
                <w:szCs w:val="18"/>
              </w:rPr>
              <w:t>Conditions</w:t>
            </w:r>
            <w:proofErr w:type="gramEnd"/>
            <w:r>
              <w:rPr>
                <w:b/>
                <w:bCs/>
                <w:sz w:val="18"/>
                <w:szCs w:val="18"/>
              </w:rPr>
              <w:t xml:space="preserve"> and Interventions to Build Back Better</w:t>
            </w:r>
            <w:r w:rsidR="000D2A29">
              <w:rPr>
                <w:b/>
                <w:bCs/>
                <w:sz w:val="18"/>
                <w:szCs w:val="18"/>
              </w:rPr>
              <w:t xml:space="preserve"> through a Sustainable Wellbeing Transformation</w:t>
            </w:r>
          </w:p>
          <w:p w14:paraId="3CF8545E" w14:textId="3F471EB6" w:rsidR="00FD55A5" w:rsidRDefault="00FD55A5" w:rsidP="007F346F">
            <w:pPr>
              <w:rPr>
                <w:sz w:val="18"/>
                <w:szCs w:val="18"/>
              </w:rPr>
            </w:pPr>
            <w:r w:rsidRPr="00967766">
              <w:rPr>
                <w:sz w:val="18"/>
                <w:szCs w:val="18"/>
              </w:rPr>
              <w:t>Following the Black Summer fires and unprecedented floods, public support for action on climate change reaches new levels</w:t>
            </w:r>
            <w:r>
              <w:rPr>
                <w:sz w:val="18"/>
                <w:szCs w:val="18"/>
              </w:rPr>
              <w:t xml:space="preserve"> and powerful actors call for a green recovery from COVID-19. </w:t>
            </w:r>
            <w:r w:rsidRPr="00967766">
              <w:rPr>
                <w:sz w:val="18"/>
                <w:szCs w:val="18"/>
              </w:rPr>
              <w:t>Bottom-up political movements and collective action see a shift in politics away from the status quo in support of decisive policy on climate change</w:t>
            </w:r>
            <w:r>
              <w:rPr>
                <w:sz w:val="18"/>
                <w:szCs w:val="18"/>
              </w:rPr>
              <w:t>, disrupting incumbents and providing a window of opportunity to end the climate wars. A powerful coalition of political, business, community and union</w:t>
            </w:r>
            <w:r w:rsidR="0026458D">
              <w:rPr>
                <w:sz w:val="18"/>
                <w:szCs w:val="18"/>
              </w:rPr>
              <w:t xml:space="preserve"> actors</w:t>
            </w:r>
            <w:r>
              <w:rPr>
                <w:sz w:val="18"/>
                <w:szCs w:val="18"/>
              </w:rPr>
              <w:t xml:space="preserve"> </w:t>
            </w:r>
            <w:proofErr w:type="gramStart"/>
            <w:r>
              <w:rPr>
                <w:sz w:val="18"/>
                <w:szCs w:val="18"/>
              </w:rPr>
              <w:t>agrees</w:t>
            </w:r>
            <w:proofErr w:type="gramEnd"/>
            <w:r>
              <w:rPr>
                <w:sz w:val="18"/>
                <w:szCs w:val="18"/>
              </w:rPr>
              <w:t xml:space="preserve"> on shared ambitious mitigation targets for Australia, supported by a clear plan for policy and investments</w:t>
            </w:r>
            <w:r w:rsidRPr="00967766">
              <w:rPr>
                <w:sz w:val="18"/>
                <w:szCs w:val="18"/>
              </w:rPr>
              <w:t xml:space="preserve"> needed over the next 10 years to accelerate the transition towards 100% renewables</w:t>
            </w:r>
            <w:r>
              <w:rPr>
                <w:sz w:val="18"/>
                <w:szCs w:val="18"/>
              </w:rPr>
              <w:t xml:space="preserve">. Longer-term plans are developed to </w:t>
            </w:r>
            <w:r w:rsidRPr="00967766">
              <w:rPr>
                <w:sz w:val="18"/>
                <w:szCs w:val="18"/>
              </w:rPr>
              <w:t xml:space="preserve">reduce demand and tackle emissions in hard-to-abate sectors. </w:t>
            </w:r>
            <w:r w:rsidRPr="003B37CC">
              <w:rPr>
                <w:sz w:val="18"/>
                <w:szCs w:val="18"/>
              </w:rPr>
              <w:t xml:space="preserve">By setting ambitious targets immediately, decision makers focus attention on new solutions and prevent </w:t>
            </w:r>
            <w:r>
              <w:rPr>
                <w:sz w:val="18"/>
                <w:szCs w:val="18"/>
              </w:rPr>
              <w:t xml:space="preserve">further </w:t>
            </w:r>
            <w:r w:rsidRPr="003B37CC">
              <w:rPr>
                <w:sz w:val="18"/>
                <w:szCs w:val="18"/>
              </w:rPr>
              <w:t>missed opportunities in technological investment</w:t>
            </w:r>
            <w:r>
              <w:rPr>
                <w:sz w:val="18"/>
                <w:szCs w:val="18"/>
              </w:rPr>
              <w:t xml:space="preserve">. </w:t>
            </w:r>
            <w:r w:rsidRPr="00967766">
              <w:rPr>
                <w:sz w:val="18"/>
                <w:szCs w:val="18"/>
              </w:rPr>
              <w:t xml:space="preserve">Stakeholder activism and divestment and hostile-takeover of fossil fuel </w:t>
            </w:r>
            <w:r w:rsidRPr="00967766">
              <w:rPr>
                <w:sz w:val="18"/>
                <w:szCs w:val="18"/>
              </w:rPr>
              <w:lastRenderedPageBreak/>
              <w:t>assets by powerful commercial actors in Australia (</w:t>
            </w:r>
            <w:proofErr w:type="gramStart"/>
            <w:r w:rsidRPr="00967766">
              <w:rPr>
                <w:sz w:val="18"/>
                <w:szCs w:val="18"/>
              </w:rPr>
              <w:t>e.g.</w:t>
            </w:r>
            <w:proofErr w:type="gramEnd"/>
            <w:r w:rsidRPr="00967766">
              <w:rPr>
                <w:sz w:val="18"/>
                <w:szCs w:val="18"/>
              </w:rPr>
              <w:t xml:space="preserve"> Mike Cannon-Brookes and Brookfield) result in an accelerated phase out of fossil fuel generation. </w:t>
            </w:r>
            <w:r>
              <w:rPr>
                <w:sz w:val="18"/>
                <w:szCs w:val="18"/>
              </w:rPr>
              <w:t xml:space="preserve">Coalitions continue to build momentum, including between government and leading </w:t>
            </w:r>
            <w:r w:rsidRPr="00274446">
              <w:rPr>
                <w:sz w:val="18"/>
                <w:szCs w:val="18"/>
              </w:rPr>
              <w:t xml:space="preserve">business lobbies </w:t>
            </w:r>
            <w:r>
              <w:rPr>
                <w:sz w:val="18"/>
                <w:szCs w:val="18"/>
              </w:rPr>
              <w:t xml:space="preserve">such as </w:t>
            </w:r>
            <w:r w:rsidRPr="00274446">
              <w:rPr>
                <w:sz w:val="18"/>
                <w:szCs w:val="18"/>
              </w:rPr>
              <w:t>the Business Council of Australia, bringing together allies in the broader business sector where an increasing number of businesses have committed to achieve net zero emissions by 2050, including software company Atlassian, property companies Dexus and Mirvac, resources company Rio Tinto and Qantas airlines.</w:t>
            </w:r>
          </w:p>
          <w:p w14:paraId="1DC968E7" w14:textId="77777777" w:rsidR="00FD55A5" w:rsidRDefault="00FD55A5" w:rsidP="007F346F">
            <w:pPr>
              <w:rPr>
                <w:sz w:val="18"/>
                <w:szCs w:val="18"/>
              </w:rPr>
            </w:pPr>
          </w:p>
          <w:p w14:paraId="52CA15B9" w14:textId="0469952E" w:rsidR="00FD55A5" w:rsidRDefault="00FD55A5" w:rsidP="007F346F">
            <w:pPr>
              <w:rPr>
                <w:sz w:val="18"/>
                <w:szCs w:val="18"/>
              </w:rPr>
            </w:pPr>
            <w:r w:rsidRPr="00B704A0">
              <w:rPr>
                <w:sz w:val="18"/>
                <w:szCs w:val="18"/>
              </w:rPr>
              <w:t xml:space="preserve">Existing roadmaps for deep decarbonisation developed by </w:t>
            </w:r>
            <w:proofErr w:type="spellStart"/>
            <w:r w:rsidRPr="00B704A0">
              <w:rPr>
                <w:sz w:val="18"/>
                <w:szCs w:val="18"/>
              </w:rPr>
              <w:t>ClimateWorks</w:t>
            </w:r>
            <w:proofErr w:type="spellEnd"/>
            <w:r w:rsidRPr="00B704A0">
              <w:rPr>
                <w:sz w:val="18"/>
                <w:szCs w:val="18"/>
              </w:rPr>
              <w:t xml:space="preserve"> and CSIRO with support from a wide range of government and commercial partners shape government policy and </w:t>
            </w:r>
            <w:r>
              <w:rPr>
                <w:sz w:val="18"/>
                <w:szCs w:val="18"/>
              </w:rPr>
              <w:t xml:space="preserve">private </w:t>
            </w:r>
            <w:r w:rsidRPr="00B704A0">
              <w:rPr>
                <w:sz w:val="18"/>
                <w:szCs w:val="18"/>
              </w:rPr>
              <w:t>investment across the energy, built environment (</w:t>
            </w:r>
            <w:r w:rsidRPr="00B704A0">
              <w:rPr>
                <w:b/>
                <w:bCs/>
                <w:sz w:val="18"/>
                <w:szCs w:val="18"/>
              </w:rPr>
              <w:t>TP5</w:t>
            </w:r>
            <w:r w:rsidRPr="00B704A0">
              <w:rPr>
                <w:sz w:val="18"/>
                <w:szCs w:val="18"/>
              </w:rPr>
              <w:t>), transport (</w:t>
            </w:r>
            <w:r w:rsidRPr="00B704A0">
              <w:rPr>
                <w:b/>
                <w:bCs/>
                <w:sz w:val="18"/>
                <w:szCs w:val="18"/>
              </w:rPr>
              <w:t>TP5</w:t>
            </w:r>
            <w:r w:rsidRPr="00B704A0">
              <w:rPr>
                <w:sz w:val="18"/>
                <w:szCs w:val="18"/>
              </w:rPr>
              <w:t>)</w:t>
            </w:r>
            <w:r>
              <w:rPr>
                <w:sz w:val="18"/>
                <w:szCs w:val="18"/>
              </w:rPr>
              <w:t xml:space="preserve">, green manufacturing </w:t>
            </w:r>
            <w:r w:rsidRPr="00E362C9">
              <w:rPr>
                <w:b/>
                <w:bCs/>
                <w:sz w:val="18"/>
                <w:szCs w:val="18"/>
              </w:rPr>
              <w:t>(TP2</w:t>
            </w:r>
            <w:r>
              <w:rPr>
                <w:sz w:val="18"/>
                <w:szCs w:val="18"/>
              </w:rPr>
              <w:t xml:space="preserve">) </w:t>
            </w:r>
            <w:r w:rsidRPr="00B704A0">
              <w:rPr>
                <w:sz w:val="18"/>
                <w:szCs w:val="18"/>
              </w:rPr>
              <w:t>and agriculture and land sectors (</w:t>
            </w:r>
            <w:r w:rsidRPr="00B704A0">
              <w:rPr>
                <w:b/>
                <w:bCs/>
                <w:sz w:val="18"/>
                <w:szCs w:val="18"/>
              </w:rPr>
              <w:t>TP</w:t>
            </w:r>
            <w:r>
              <w:rPr>
                <w:b/>
                <w:bCs/>
                <w:sz w:val="18"/>
                <w:szCs w:val="18"/>
              </w:rPr>
              <w:t>3</w:t>
            </w:r>
            <w:r w:rsidRPr="00B704A0">
              <w:rPr>
                <w:b/>
                <w:bCs/>
                <w:sz w:val="18"/>
                <w:szCs w:val="18"/>
              </w:rPr>
              <w:t xml:space="preserve"> and TP6</w:t>
            </w:r>
            <w:r w:rsidRPr="00B704A0">
              <w:rPr>
                <w:sz w:val="18"/>
                <w:szCs w:val="18"/>
              </w:rPr>
              <w:t>).  This results in accelerated deployment of mature and demonstrated zero-emissions technologies, and the rapid development and commercialisation of emerging zero-emissions technologies in harder to abate sectors.</w:t>
            </w:r>
            <w:r>
              <w:rPr>
                <w:sz w:val="18"/>
                <w:szCs w:val="18"/>
              </w:rPr>
              <w:t xml:space="preserve">  The strategy is built around four key pillars: energy demand and waste reduction; 100% renewable electricity; electrification and fuel switching from fossil fuels to zero or low emission alternatives; non-energy emissions reductions and offsetting of residual emissions. With governments, business and individuals mobilising to achieve faster change, progress towards net zero is turbocharged. Governments drive emissions reductions through legislation, </w:t>
            </w:r>
            <w:proofErr w:type="gramStart"/>
            <w:r>
              <w:rPr>
                <w:sz w:val="18"/>
                <w:szCs w:val="18"/>
              </w:rPr>
              <w:t>regulation</w:t>
            </w:r>
            <w:proofErr w:type="gramEnd"/>
            <w:r>
              <w:rPr>
                <w:sz w:val="18"/>
                <w:szCs w:val="18"/>
              </w:rPr>
              <w:t xml:space="preserve"> and incentives; businesses and individuals reduce emissions through their consumption, investment and advocacy; and technologies and innovation continue to provide the solutions and new ways of working.  </w:t>
            </w:r>
            <w:r w:rsidRPr="00B31076">
              <w:rPr>
                <w:sz w:val="18"/>
                <w:szCs w:val="18"/>
              </w:rPr>
              <w:t xml:space="preserve">From 2030 to 2050, the implementation challenge shifts to zero-emissions solutions for long-haul transport, </w:t>
            </w:r>
            <w:r w:rsidR="00F76BF8" w:rsidRPr="00B31076">
              <w:rPr>
                <w:sz w:val="18"/>
                <w:szCs w:val="18"/>
              </w:rPr>
              <w:t>agriculture,</w:t>
            </w:r>
            <w:r w:rsidRPr="00B31076">
              <w:rPr>
                <w:sz w:val="18"/>
                <w:szCs w:val="18"/>
              </w:rPr>
              <w:t xml:space="preserve"> and industry, which need to be the focus of accelerated RD&amp;D investment </w:t>
            </w:r>
            <w:r>
              <w:rPr>
                <w:sz w:val="18"/>
                <w:szCs w:val="18"/>
              </w:rPr>
              <w:t xml:space="preserve">over the period to 2030. </w:t>
            </w:r>
          </w:p>
          <w:p w14:paraId="2DB02FB4" w14:textId="77777777" w:rsidR="00FD55A5" w:rsidRDefault="00FD55A5" w:rsidP="007F346F">
            <w:pPr>
              <w:rPr>
                <w:sz w:val="18"/>
                <w:szCs w:val="18"/>
              </w:rPr>
            </w:pPr>
          </w:p>
          <w:p w14:paraId="5B22C988" w14:textId="1F6CF1FC" w:rsidR="00FD55A5" w:rsidRPr="0084089A" w:rsidRDefault="00FD55A5" w:rsidP="007F346F">
            <w:pPr>
              <w:rPr>
                <w:sz w:val="18"/>
                <w:szCs w:val="18"/>
              </w:rPr>
            </w:pPr>
            <w:r>
              <w:rPr>
                <w:sz w:val="18"/>
                <w:szCs w:val="18"/>
              </w:rPr>
              <w:t>In line with this narrative, specific quantitative interventions (</w:t>
            </w:r>
            <w:r w:rsidRPr="006D6836">
              <w:rPr>
                <w:b/>
                <w:bCs/>
                <w:sz w:val="18"/>
                <w:szCs w:val="18"/>
              </w:rPr>
              <w:t xml:space="preserve">Supplementary Table </w:t>
            </w:r>
            <w:r w:rsidR="00AF6556">
              <w:rPr>
                <w:b/>
                <w:bCs/>
                <w:sz w:val="18"/>
                <w:szCs w:val="18"/>
              </w:rPr>
              <w:t>2</w:t>
            </w:r>
            <w:r>
              <w:rPr>
                <w:sz w:val="18"/>
                <w:szCs w:val="18"/>
              </w:rPr>
              <w:t xml:space="preserve">) to support this transformation include additional investment in small- and large-scale renewable energy including solar, wind and hydro and supporting infrastructure, additional investment in industry energy efficiency, fuel switching from fossil fuels in industry, more rapid phase out of coal and gas electricity generation, and reductions in emissions from waste and industrial processes. </w:t>
            </w:r>
          </w:p>
        </w:tc>
        <w:tc>
          <w:tcPr>
            <w:tcW w:w="1762" w:type="dxa"/>
          </w:tcPr>
          <w:p w14:paraId="609A48A3" w14:textId="60BA50C8" w:rsidR="00FD55A5" w:rsidRPr="008B57C2" w:rsidRDefault="00FD55A5" w:rsidP="007F346F">
            <w:pPr>
              <w:rPr>
                <w:sz w:val="18"/>
                <w:szCs w:val="18"/>
              </w:rPr>
            </w:pPr>
            <w:r w:rsidRPr="008B57C2">
              <w:rPr>
                <w:sz w:val="18"/>
                <w:szCs w:val="18"/>
              </w:rPr>
              <w:lastRenderedPageBreak/>
              <w:fldChar w:fldCharType="begin">
                <w:fldData xml:space="preserve">PEVuZE5vdGU+PENpdGU+PEF1dGhvcj5DbGltYXRlV29ya3MgQXVzdHJhbGlhPC9BdXRob3I+PFll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</w:fldData>
              </w:fldChar>
            </w:r>
            <w:r w:rsidR="006E27EC">
              <w:rPr>
                <w:sz w:val="18"/>
                <w:szCs w:val="18"/>
              </w:rPr>
              <w:instrText xml:space="preserve"> ADDIN EN.CITE </w:instrText>
            </w:r>
            <w:r w:rsidR="006E27EC">
              <w:rPr>
                <w:sz w:val="18"/>
                <w:szCs w:val="18"/>
              </w:rPr>
              <w:fldChar w:fldCharType="begin">
                <w:fldData xml:space="preserve">PEVuZE5vdGU+PENpdGU+PEF1dGhvcj5DbGltYXRlV29ya3MgQXVzdHJhbGlhPC9BdXRob3I+PFll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</w:fldData>
              </w:fldChar>
            </w:r>
            <w:r w:rsidR="006E27EC">
              <w:rPr>
                <w:sz w:val="18"/>
                <w:szCs w:val="18"/>
              </w:rPr>
              <w:instrText xml:space="preserve"> ADDIN EN.CITE.DATA </w:instrText>
            </w:r>
            <w:r w:rsidR="006E27EC">
              <w:rPr>
                <w:sz w:val="18"/>
                <w:szCs w:val="18"/>
              </w:rPr>
            </w:r>
            <w:r w:rsidR="006E27EC">
              <w:rPr>
                <w:sz w:val="18"/>
                <w:szCs w:val="18"/>
              </w:rPr>
              <w:fldChar w:fldCharType="end"/>
            </w:r>
            <w:r w:rsidRPr="008B57C2">
              <w:rPr>
                <w:sz w:val="18"/>
                <w:szCs w:val="18"/>
              </w:rPr>
            </w:r>
            <w:r w:rsidRPr="008B57C2">
              <w:rPr>
                <w:sz w:val="18"/>
                <w:szCs w:val="18"/>
              </w:rPr>
              <w:fldChar w:fldCharType="separate"/>
            </w:r>
            <w:r w:rsidR="006E27EC">
              <w:rPr>
                <w:noProof/>
                <w:sz w:val="18"/>
                <w:szCs w:val="18"/>
              </w:rPr>
              <w:t>(ClimateWorks Australia, 2020, BZE, 2020, Hudson, 2020, Allen et al., 2020, Allen et al., 2019, AER, 2021)</w:t>
            </w:r>
            <w:r w:rsidRPr="008B57C2">
              <w:rPr>
                <w:sz w:val="18"/>
                <w:szCs w:val="18"/>
              </w:rPr>
              <w:fldChar w:fldCharType="end"/>
            </w:r>
          </w:p>
        </w:tc>
      </w:tr>
      <w:tr w:rsidR="00FD55A5" w:rsidRPr="0084089A" w14:paraId="19FF4578" w14:textId="77777777" w:rsidTr="007F346F">
        <w:tc>
          <w:tcPr>
            <w:tcW w:w="2263" w:type="dxa"/>
          </w:tcPr>
          <w:p w14:paraId="792ED517" w14:textId="77777777" w:rsidR="00FD55A5" w:rsidRPr="0084089A" w:rsidRDefault="00FD55A5" w:rsidP="007F346F">
            <w:pPr>
              <w:rPr>
                <w:sz w:val="18"/>
                <w:szCs w:val="18"/>
              </w:rPr>
            </w:pPr>
            <w:r w:rsidRPr="0084089A">
              <w:rPr>
                <w:b/>
                <w:bCs/>
                <w:sz w:val="18"/>
                <w:szCs w:val="18"/>
              </w:rPr>
              <w:lastRenderedPageBreak/>
              <w:t>5. Urban and per-urban development</w:t>
            </w:r>
          </w:p>
        </w:tc>
        <w:tc>
          <w:tcPr>
            <w:tcW w:w="9923" w:type="dxa"/>
          </w:tcPr>
          <w:p w14:paraId="14B1CB8B" w14:textId="77777777" w:rsidR="00FD55A5" w:rsidRDefault="00FD55A5" w:rsidP="007F346F">
            <w:pPr>
              <w:rPr>
                <w:sz w:val="18"/>
                <w:szCs w:val="18"/>
              </w:rPr>
            </w:pPr>
            <w:r>
              <w:rPr>
                <w:b/>
                <w:bCs/>
                <w:sz w:val="18"/>
                <w:szCs w:val="18"/>
              </w:rPr>
              <w:t>Progress and Challenges</w:t>
            </w:r>
          </w:p>
          <w:p w14:paraId="03DA5477" w14:textId="77777777" w:rsidR="00FD55A5" w:rsidRDefault="00FD55A5" w:rsidP="007F346F">
            <w:pPr>
              <w:rPr>
                <w:sz w:val="18"/>
                <w:szCs w:val="18"/>
              </w:rPr>
            </w:pPr>
            <w:r w:rsidRPr="00951CDF">
              <w:rPr>
                <w:sz w:val="18"/>
                <w:szCs w:val="18"/>
              </w:rPr>
              <w:t>Australian cities are well-serviced in terms of access to drinking water</w:t>
            </w:r>
            <w:r>
              <w:rPr>
                <w:sz w:val="18"/>
                <w:szCs w:val="18"/>
              </w:rPr>
              <w:t>, s</w:t>
            </w:r>
            <w:r w:rsidRPr="00951CDF">
              <w:rPr>
                <w:sz w:val="18"/>
                <w:szCs w:val="18"/>
              </w:rPr>
              <w:t>anitation</w:t>
            </w:r>
            <w:r>
              <w:rPr>
                <w:sz w:val="18"/>
                <w:szCs w:val="18"/>
              </w:rPr>
              <w:t xml:space="preserve">, </w:t>
            </w:r>
            <w:proofErr w:type="gramStart"/>
            <w:r>
              <w:rPr>
                <w:sz w:val="18"/>
                <w:szCs w:val="18"/>
              </w:rPr>
              <w:t>waste</w:t>
            </w:r>
            <w:proofErr w:type="gramEnd"/>
            <w:r>
              <w:rPr>
                <w:sz w:val="18"/>
                <w:szCs w:val="18"/>
              </w:rPr>
              <w:t xml:space="preserve"> and transport</w:t>
            </w:r>
            <w:r w:rsidRPr="00951CDF">
              <w:rPr>
                <w:sz w:val="18"/>
                <w:szCs w:val="18"/>
              </w:rPr>
              <w:t xml:space="preserve"> however average household bills are increasing steadily. </w:t>
            </w:r>
            <w:r>
              <w:rPr>
                <w:sz w:val="18"/>
                <w:szCs w:val="18"/>
              </w:rPr>
              <w:t xml:space="preserve">Prolonged droughts and water stress have resulted in investments in water efficiency and demand reduction, with per capita water extraction declining substantially since 2001. </w:t>
            </w:r>
            <w:r w:rsidRPr="00951CDF">
              <w:rPr>
                <w:sz w:val="18"/>
                <w:szCs w:val="18"/>
              </w:rPr>
              <w:t>Areas of green space in cities have been increasing, with large green spaces in major capital cities</w:t>
            </w:r>
            <w:r>
              <w:rPr>
                <w:sz w:val="18"/>
                <w:szCs w:val="18"/>
              </w:rPr>
              <w:t xml:space="preserve">, and air pollution levels are comparatively low. </w:t>
            </w:r>
          </w:p>
          <w:p w14:paraId="69E6F8D9" w14:textId="77777777" w:rsidR="00FD55A5" w:rsidRDefault="00FD55A5" w:rsidP="007F346F">
            <w:pPr>
              <w:rPr>
                <w:sz w:val="18"/>
                <w:szCs w:val="18"/>
              </w:rPr>
            </w:pPr>
          </w:p>
          <w:p w14:paraId="5CE58FB2" w14:textId="504E68D2" w:rsidR="00FD55A5" w:rsidRPr="00951CDF" w:rsidRDefault="00FD55A5" w:rsidP="007F346F">
            <w:pPr>
              <w:rPr>
                <w:sz w:val="18"/>
                <w:szCs w:val="18"/>
              </w:rPr>
            </w:pPr>
            <w:r>
              <w:rPr>
                <w:sz w:val="18"/>
                <w:szCs w:val="18"/>
              </w:rPr>
              <w:t>However, t</w:t>
            </w:r>
            <w:r w:rsidRPr="00951CDF">
              <w:rPr>
                <w:sz w:val="18"/>
                <w:szCs w:val="18"/>
              </w:rPr>
              <w:t xml:space="preserve">he pressures of population growth on </w:t>
            </w:r>
            <w:r w:rsidR="006E5AEA">
              <w:rPr>
                <w:sz w:val="18"/>
                <w:szCs w:val="18"/>
              </w:rPr>
              <w:t>Australia’s</w:t>
            </w:r>
            <w:r w:rsidRPr="00951CDF">
              <w:rPr>
                <w:sz w:val="18"/>
                <w:szCs w:val="18"/>
              </w:rPr>
              <w:t xml:space="preserve"> ever-sprawling cities are increasingly evident. </w:t>
            </w:r>
            <w:r w:rsidRPr="00736EC6">
              <w:rPr>
                <w:sz w:val="18"/>
                <w:szCs w:val="18"/>
              </w:rPr>
              <w:t>Australian cities are responsible for a large proportion of the country’s demand for resources. The growing urban footprint in Australian cities is often accompanied by high rates of car dependence; this results in flow-on effects such as increased emissions and air pollution, adverse health effects, and frustration over lost time.</w:t>
            </w:r>
            <w:r>
              <w:rPr>
                <w:sz w:val="18"/>
                <w:szCs w:val="18"/>
              </w:rPr>
              <w:t xml:space="preserve"> </w:t>
            </w:r>
            <w:r w:rsidRPr="00951CDF">
              <w:rPr>
                <w:sz w:val="18"/>
                <w:szCs w:val="18"/>
              </w:rPr>
              <w:t xml:space="preserve">Congestion keeps rising while access to jobs and services (for many) is diminishing, resulting in environmental </w:t>
            </w:r>
            <w:proofErr w:type="gramStart"/>
            <w:r w:rsidRPr="00951CDF">
              <w:rPr>
                <w:sz w:val="18"/>
                <w:szCs w:val="18"/>
              </w:rPr>
              <w:t>degradation</w:t>
            </w:r>
            <w:proofErr w:type="gramEnd"/>
            <w:r w:rsidRPr="00951CDF">
              <w:rPr>
                <w:sz w:val="18"/>
                <w:szCs w:val="18"/>
              </w:rPr>
              <w:t xml:space="preserve"> and growing social exclusion and inequality. Governments are finding it difficult to fund the infrastructure and services required to keep up with population growth, while development, production and consumption patterns are socially and ecologically unsustainable.  Housing affordability is a serious concern in Australia, with the share of income spent on rent or mortgage repayments steadily increasing and COVID expected to have a negative impact. The passenger car remains the dominant mode of transport in Australia, accounting for 64% of passenger travel. The share of electric vehicles remains low. </w:t>
            </w:r>
          </w:p>
          <w:p w14:paraId="6DC68AF5" w14:textId="77777777" w:rsidR="00FD55A5" w:rsidRDefault="00FD55A5" w:rsidP="007F346F">
            <w:pPr>
              <w:rPr>
                <w:sz w:val="18"/>
                <w:szCs w:val="18"/>
              </w:rPr>
            </w:pPr>
          </w:p>
          <w:p w14:paraId="18B390C3" w14:textId="415F5704" w:rsidR="00FD55A5" w:rsidRPr="00B71478" w:rsidRDefault="00FD55A5" w:rsidP="007F346F">
            <w:pPr>
              <w:rPr>
                <w:sz w:val="18"/>
                <w:szCs w:val="18"/>
              </w:rPr>
            </w:pPr>
            <w:r w:rsidRPr="00B71478">
              <w:rPr>
                <w:sz w:val="18"/>
                <w:szCs w:val="18"/>
              </w:rPr>
              <w:lastRenderedPageBreak/>
              <w:t xml:space="preserve">In Australia, </w:t>
            </w:r>
            <w:r>
              <w:rPr>
                <w:sz w:val="18"/>
                <w:szCs w:val="18"/>
              </w:rPr>
              <w:t>u</w:t>
            </w:r>
            <w:r w:rsidRPr="00B71478">
              <w:rPr>
                <w:sz w:val="18"/>
                <w:szCs w:val="18"/>
              </w:rPr>
              <w:t>rban development and practices are not guided by a clear long-term agenda – cities pursue their goals in isolation without a clear national vision that connects their efforts, shares knowledge, builds capacity and creates innovatio</w:t>
            </w:r>
            <w:r w:rsidR="006E5AEA">
              <w:rPr>
                <w:sz w:val="18"/>
                <w:szCs w:val="18"/>
              </w:rPr>
              <w:t>n</w:t>
            </w:r>
            <w:r w:rsidRPr="00B71478">
              <w:rPr>
                <w:sz w:val="18"/>
                <w:szCs w:val="18"/>
              </w:rPr>
              <w:t xml:space="preserve">. </w:t>
            </w:r>
            <w:proofErr w:type="gramStart"/>
            <w:r w:rsidRPr="00B71478">
              <w:rPr>
                <w:sz w:val="18"/>
                <w:szCs w:val="18"/>
              </w:rPr>
              <w:t>Lack of leadership,</w:t>
            </w:r>
            <w:proofErr w:type="gramEnd"/>
            <w:r w:rsidRPr="00B71478">
              <w:rPr>
                <w:sz w:val="18"/>
                <w:szCs w:val="18"/>
              </w:rPr>
              <w:t xml:space="preserve"> agreed goals and targets leads to short-termism in decision making</w:t>
            </w:r>
            <w:r w:rsidR="006E5AEA">
              <w:rPr>
                <w:sz w:val="18"/>
                <w:szCs w:val="18"/>
              </w:rPr>
              <w:t xml:space="preserve">. </w:t>
            </w:r>
            <w:r w:rsidRPr="00B71478">
              <w:rPr>
                <w:sz w:val="18"/>
                <w:szCs w:val="18"/>
              </w:rPr>
              <w:t xml:space="preserve">Transformation in cities is countered by processes of inertia or path dependence (the self-reinforcing processes that guide the development of a system) and lock-in (the historically evolved system state and its physical embodiment that cannot be changed easily). For example, the co-evolution of large interdependent technological networks, social institutions, cultural </w:t>
            </w:r>
            <w:proofErr w:type="gramStart"/>
            <w:r w:rsidRPr="00B71478">
              <w:rPr>
                <w:sz w:val="18"/>
                <w:szCs w:val="18"/>
              </w:rPr>
              <w:t>practices</w:t>
            </w:r>
            <w:proofErr w:type="gramEnd"/>
            <w:r w:rsidRPr="00B71478">
              <w:rPr>
                <w:sz w:val="18"/>
                <w:szCs w:val="18"/>
              </w:rPr>
              <w:t xml:space="preserve"> and incumbent businesses that support and benefit from system growth. </w:t>
            </w:r>
          </w:p>
          <w:p w14:paraId="3BC5424F" w14:textId="77777777" w:rsidR="00FD55A5" w:rsidRDefault="00FD55A5" w:rsidP="007F346F">
            <w:pPr>
              <w:rPr>
                <w:sz w:val="18"/>
                <w:szCs w:val="18"/>
              </w:rPr>
            </w:pPr>
          </w:p>
          <w:p w14:paraId="198DB6C1" w14:textId="77777777" w:rsidR="00FD55A5" w:rsidRDefault="00FD55A5" w:rsidP="007F346F">
            <w:pPr>
              <w:rPr>
                <w:sz w:val="18"/>
                <w:szCs w:val="18"/>
              </w:rPr>
            </w:pPr>
            <w:r>
              <w:rPr>
                <w:b/>
                <w:bCs/>
                <w:sz w:val="18"/>
                <w:szCs w:val="18"/>
              </w:rPr>
              <w:t>Transformation Bottlenecks</w:t>
            </w:r>
          </w:p>
          <w:p w14:paraId="6CA8CCB9" w14:textId="16A88172" w:rsidR="00FD55A5" w:rsidRPr="00BF7939" w:rsidRDefault="00FD55A5" w:rsidP="00180E0D">
            <w:pPr>
              <w:numPr>
                <w:ilvl w:val="0"/>
                <w:numId w:val="5"/>
              </w:numPr>
              <w:rPr>
                <w:sz w:val="18"/>
                <w:szCs w:val="18"/>
              </w:rPr>
            </w:pPr>
            <w:r w:rsidRPr="00BF7939">
              <w:rPr>
                <w:b/>
                <w:bCs/>
                <w:sz w:val="18"/>
                <w:szCs w:val="18"/>
              </w:rPr>
              <w:t>Techno-economic</w:t>
            </w:r>
            <w:r w:rsidRPr="00BF7939">
              <w:rPr>
                <w:sz w:val="18"/>
                <w:szCs w:val="18"/>
              </w:rPr>
              <w:t xml:space="preserve">: </w:t>
            </w:r>
            <w:r>
              <w:rPr>
                <w:sz w:val="18"/>
                <w:szCs w:val="18"/>
              </w:rPr>
              <w:t>e</w:t>
            </w:r>
            <w:r w:rsidRPr="00BF7939">
              <w:rPr>
                <w:sz w:val="18"/>
                <w:szCs w:val="18"/>
              </w:rPr>
              <w:t>xisting physical infrastructure in cities creates inertia when it comes to urban change</w:t>
            </w:r>
            <w:r w:rsidR="001E4805">
              <w:rPr>
                <w:sz w:val="18"/>
                <w:szCs w:val="18"/>
              </w:rPr>
              <w:t>; high up-front</w:t>
            </w:r>
            <w:r w:rsidRPr="00BF7939">
              <w:rPr>
                <w:sz w:val="18"/>
                <w:szCs w:val="18"/>
              </w:rPr>
              <w:t xml:space="preserve"> costs associated with retrofitting existing infrastructure and assets</w:t>
            </w:r>
            <w:r>
              <w:rPr>
                <w:sz w:val="18"/>
                <w:szCs w:val="18"/>
              </w:rPr>
              <w:t xml:space="preserve"> and</w:t>
            </w:r>
            <w:r w:rsidRPr="00BF7939">
              <w:rPr>
                <w:sz w:val="18"/>
                <w:szCs w:val="18"/>
              </w:rPr>
              <w:t xml:space="preserve"> </w:t>
            </w:r>
            <w:r>
              <w:rPr>
                <w:sz w:val="18"/>
                <w:szCs w:val="18"/>
              </w:rPr>
              <w:t>purchasing higher-cost</w:t>
            </w:r>
            <w:r w:rsidRPr="00BF7939">
              <w:rPr>
                <w:sz w:val="18"/>
                <w:szCs w:val="18"/>
              </w:rPr>
              <w:t xml:space="preserve"> sustainable alternatives. </w:t>
            </w:r>
          </w:p>
          <w:p w14:paraId="22C2C168" w14:textId="0DFC8EA4" w:rsidR="00FD55A5" w:rsidRPr="00BF7939" w:rsidRDefault="00FD55A5" w:rsidP="00180E0D">
            <w:pPr>
              <w:numPr>
                <w:ilvl w:val="0"/>
                <w:numId w:val="5"/>
              </w:numPr>
              <w:rPr>
                <w:sz w:val="18"/>
                <w:szCs w:val="18"/>
              </w:rPr>
            </w:pPr>
            <w:r w:rsidRPr="00BF7939">
              <w:rPr>
                <w:b/>
                <w:bCs/>
                <w:sz w:val="18"/>
                <w:szCs w:val="18"/>
              </w:rPr>
              <w:t>Socio-behavioural</w:t>
            </w:r>
            <w:r w:rsidRPr="00BF7939">
              <w:rPr>
                <w:sz w:val="18"/>
                <w:szCs w:val="18"/>
              </w:rPr>
              <w:t>: Citizens’ consumption behaviours diverge from desired values (</w:t>
            </w:r>
            <w:proofErr w:type="gramStart"/>
            <w:r w:rsidRPr="00BF7939">
              <w:rPr>
                <w:sz w:val="18"/>
                <w:szCs w:val="18"/>
              </w:rPr>
              <w:t>e.g.</w:t>
            </w:r>
            <w:proofErr w:type="gramEnd"/>
            <w:r w:rsidRPr="00BF7939">
              <w:rPr>
                <w:sz w:val="18"/>
                <w:szCs w:val="18"/>
              </w:rPr>
              <w:t xml:space="preserve"> on sharing and waste) and growing urban social issues and disadvantage are often hidden from view (e.g. inequality, poverty, unemployment); social preferences to live in large houses and for personal car ownership promote urban sprawl</w:t>
            </w:r>
            <w:r w:rsidR="003E1AEE">
              <w:rPr>
                <w:sz w:val="18"/>
                <w:szCs w:val="18"/>
              </w:rPr>
              <w:t xml:space="preserve"> and are reinforced by existing urban design</w:t>
            </w:r>
            <w:r w:rsidR="00406346">
              <w:rPr>
                <w:sz w:val="18"/>
                <w:szCs w:val="18"/>
              </w:rPr>
              <w:t>.</w:t>
            </w:r>
            <w:r w:rsidR="003E1AEE">
              <w:rPr>
                <w:sz w:val="18"/>
                <w:szCs w:val="18"/>
              </w:rPr>
              <w:t xml:space="preserve"> </w:t>
            </w:r>
          </w:p>
          <w:p w14:paraId="24827159" w14:textId="54B034B6" w:rsidR="00FD55A5" w:rsidRPr="00834372" w:rsidRDefault="00FD55A5" w:rsidP="00180E0D">
            <w:pPr>
              <w:numPr>
                <w:ilvl w:val="0"/>
                <w:numId w:val="5"/>
              </w:numPr>
              <w:rPr>
                <w:sz w:val="18"/>
                <w:szCs w:val="18"/>
              </w:rPr>
            </w:pPr>
            <w:r w:rsidRPr="00BF7939">
              <w:rPr>
                <w:b/>
                <w:bCs/>
                <w:sz w:val="18"/>
                <w:szCs w:val="18"/>
              </w:rPr>
              <w:t>Political-institutional</w:t>
            </w:r>
            <w:r w:rsidRPr="00BF7939">
              <w:rPr>
                <w:sz w:val="18"/>
                <w:szCs w:val="18"/>
              </w:rPr>
              <w:t>:  Lack of consistent national government direction and conflicting policies and governance across levels and sectors;</w:t>
            </w:r>
            <w:r w:rsidR="00406346">
              <w:rPr>
                <w:sz w:val="18"/>
                <w:szCs w:val="18"/>
              </w:rPr>
              <w:t xml:space="preserve"> conventional</w:t>
            </w:r>
            <w:r w:rsidRPr="00BF7939">
              <w:rPr>
                <w:sz w:val="18"/>
                <w:szCs w:val="18"/>
              </w:rPr>
              <w:t xml:space="preserve"> planning focused on form and function rather than place making</w:t>
            </w:r>
            <w:r w:rsidR="00406346">
              <w:rPr>
                <w:sz w:val="18"/>
                <w:szCs w:val="18"/>
              </w:rPr>
              <w:t>;</w:t>
            </w:r>
            <w:r w:rsidRPr="00BF7939">
              <w:rPr>
                <w:sz w:val="18"/>
                <w:szCs w:val="18"/>
              </w:rPr>
              <w:t xml:space="preserve"> </w:t>
            </w:r>
            <w:r w:rsidR="00406346">
              <w:rPr>
                <w:sz w:val="18"/>
                <w:szCs w:val="18"/>
              </w:rPr>
              <w:t>there is no</w:t>
            </w:r>
            <w:r w:rsidRPr="00BF7939">
              <w:rPr>
                <w:sz w:val="18"/>
                <w:szCs w:val="18"/>
              </w:rPr>
              <w:t xml:space="preserve"> single authority responsible for planning or infrastructure in Australia’s cities, </w:t>
            </w:r>
            <w:r w:rsidR="00406346">
              <w:rPr>
                <w:sz w:val="18"/>
                <w:szCs w:val="18"/>
              </w:rPr>
              <w:t>and local authorities have</w:t>
            </w:r>
            <w:r w:rsidRPr="00BF7939">
              <w:rPr>
                <w:sz w:val="18"/>
                <w:szCs w:val="18"/>
              </w:rPr>
              <w:t xml:space="preserve"> little agency to significantly change </w:t>
            </w:r>
            <w:r w:rsidR="00DF2765">
              <w:rPr>
                <w:sz w:val="18"/>
                <w:szCs w:val="18"/>
              </w:rPr>
              <w:t>these aspects</w:t>
            </w:r>
            <w:r w:rsidRPr="00BF7939">
              <w:rPr>
                <w:sz w:val="18"/>
                <w:szCs w:val="18"/>
              </w:rPr>
              <w:t xml:space="preserve">; government policies and investments </w:t>
            </w:r>
            <w:r w:rsidR="003E67A4">
              <w:rPr>
                <w:sz w:val="18"/>
                <w:szCs w:val="18"/>
              </w:rPr>
              <w:t>preference</w:t>
            </w:r>
            <w:r w:rsidRPr="00BF7939">
              <w:rPr>
                <w:sz w:val="18"/>
                <w:szCs w:val="18"/>
              </w:rPr>
              <w:t xml:space="preserve"> road infrastructure </w:t>
            </w:r>
            <w:r w:rsidR="003E67A4">
              <w:rPr>
                <w:sz w:val="18"/>
                <w:szCs w:val="18"/>
              </w:rPr>
              <w:t xml:space="preserve">and </w:t>
            </w:r>
            <w:r w:rsidRPr="00BF7939">
              <w:rPr>
                <w:sz w:val="18"/>
                <w:szCs w:val="18"/>
              </w:rPr>
              <w:t xml:space="preserve">promote urban sprawl; developers </w:t>
            </w:r>
            <w:r w:rsidR="00BF385F">
              <w:rPr>
                <w:sz w:val="18"/>
                <w:szCs w:val="18"/>
              </w:rPr>
              <w:t xml:space="preserve">and other vested interests (e.g. </w:t>
            </w:r>
            <w:r w:rsidRPr="00BF7939">
              <w:rPr>
                <w:sz w:val="18"/>
                <w:szCs w:val="18"/>
              </w:rPr>
              <w:t xml:space="preserve">benefitting </w:t>
            </w:r>
            <w:r w:rsidR="00BF385F">
              <w:rPr>
                <w:sz w:val="18"/>
                <w:szCs w:val="18"/>
              </w:rPr>
              <w:t>from</w:t>
            </w:r>
            <w:r w:rsidRPr="00BF7939">
              <w:rPr>
                <w:sz w:val="18"/>
                <w:szCs w:val="18"/>
              </w:rPr>
              <w:t xml:space="preserve"> peri-urban</w:t>
            </w:r>
            <w:r w:rsidR="002F56AA">
              <w:rPr>
                <w:sz w:val="18"/>
                <w:szCs w:val="18"/>
              </w:rPr>
              <w:t xml:space="preserve"> green field</w:t>
            </w:r>
            <w:r w:rsidRPr="00BF7939">
              <w:rPr>
                <w:sz w:val="18"/>
                <w:szCs w:val="18"/>
              </w:rPr>
              <w:t xml:space="preserve"> development</w:t>
            </w:r>
            <w:r w:rsidR="002F56AA">
              <w:rPr>
                <w:sz w:val="18"/>
                <w:szCs w:val="18"/>
              </w:rPr>
              <w:t>s</w:t>
            </w:r>
            <w:r w:rsidR="00BF385F">
              <w:rPr>
                <w:sz w:val="18"/>
                <w:szCs w:val="18"/>
              </w:rPr>
              <w:t>)</w:t>
            </w:r>
            <w:r w:rsidRPr="00BF7939">
              <w:rPr>
                <w:sz w:val="18"/>
                <w:szCs w:val="18"/>
              </w:rPr>
              <w:t xml:space="preserve"> may resist change.</w:t>
            </w:r>
          </w:p>
          <w:p w14:paraId="3B433082" w14:textId="77777777" w:rsidR="00FD55A5" w:rsidRDefault="00FD55A5" w:rsidP="007F346F">
            <w:pPr>
              <w:rPr>
                <w:sz w:val="18"/>
                <w:szCs w:val="18"/>
              </w:rPr>
            </w:pPr>
          </w:p>
          <w:p w14:paraId="1BA8C884" w14:textId="77777777" w:rsidR="00FD55A5" w:rsidRDefault="00FD55A5" w:rsidP="007F346F">
            <w:pPr>
              <w:rPr>
                <w:sz w:val="18"/>
                <w:szCs w:val="18"/>
              </w:rPr>
            </w:pPr>
            <w:r>
              <w:rPr>
                <w:b/>
                <w:bCs/>
                <w:sz w:val="18"/>
                <w:szCs w:val="18"/>
              </w:rPr>
              <w:t>Positive Signs and Seeds of Change</w:t>
            </w:r>
          </w:p>
          <w:p w14:paraId="352128E6" w14:textId="02D1B8EB" w:rsidR="00FD55A5" w:rsidRDefault="00FD55A5" w:rsidP="00180E0D">
            <w:pPr>
              <w:numPr>
                <w:ilvl w:val="0"/>
                <w:numId w:val="5"/>
              </w:numPr>
              <w:rPr>
                <w:sz w:val="18"/>
                <w:szCs w:val="18"/>
              </w:rPr>
            </w:pPr>
            <w:r w:rsidRPr="006C1A77">
              <w:rPr>
                <w:sz w:val="18"/>
                <w:szCs w:val="18"/>
              </w:rPr>
              <w:t>Participation of Australian cities in various organisations and initiatives such as the Global Parliament of Mayors, C40, ICLEI and Compact of Mayors, who are all becoming increasingly prominent in global climate change governance</w:t>
            </w:r>
            <w:r>
              <w:rPr>
                <w:sz w:val="18"/>
                <w:szCs w:val="18"/>
              </w:rPr>
              <w:t xml:space="preserve">. </w:t>
            </w:r>
            <w:r w:rsidRPr="003C0B12">
              <w:rPr>
                <w:sz w:val="18"/>
                <w:szCs w:val="18"/>
              </w:rPr>
              <w:t>The recently established Cities Power Partnership program of the Climate Council accelerates emission reductions in Australian cities and councils.</w:t>
            </w:r>
          </w:p>
          <w:p w14:paraId="3FDC7DE6" w14:textId="77777777" w:rsidR="00180E0D" w:rsidRPr="001B60D8" w:rsidRDefault="00180E0D" w:rsidP="00180E0D">
            <w:pPr>
              <w:pStyle w:val="ListParagraph"/>
              <w:numPr>
                <w:ilvl w:val="0"/>
                <w:numId w:val="5"/>
              </w:numPr>
              <w:rPr>
                <w:sz w:val="18"/>
                <w:szCs w:val="18"/>
                <w:lang w:val="en-AU"/>
              </w:rPr>
            </w:pPr>
            <w:r w:rsidRPr="001B60D8">
              <w:rPr>
                <w:sz w:val="18"/>
                <w:szCs w:val="18"/>
                <w:lang w:val="en-AU"/>
              </w:rPr>
              <w:t>Urban planners and governments are recognising the need for change and a more collaborative, whole-of-system approach, with place-based outcomes that can build greater resilience and regenerate our urban areas.</w:t>
            </w:r>
          </w:p>
          <w:p w14:paraId="542ADB31" w14:textId="148F47B5" w:rsidR="00FD55A5" w:rsidRPr="00BA34E2" w:rsidRDefault="00FD55A5" w:rsidP="00180E0D">
            <w:pPr>
              <w:numPr>
                <w:ilvl w:val="0"/>
                <w:numId w:val="5"/>
              </w:numPr>
              <w:rPr>
                <w:sz w:val="18"/>
                <w:szCs w:val="18"/>
              </w:rPr>
            </w:pPr>
            <w:r w:rsidRPr="00BA34E2">
              <w:rPr>
                <w:sz w:val="18"/>
                <w:szCs w:val="18"/>
              </w:rPr>
              <w:t>Research initiative</w:t>
            </w:r>
            <w:r w:rsidR="002F56AA">
              <w:rPr>
                <w:sz w:val="18"/>
                <w:szCs w:val="18"/>
              </w:rPr>
              <w:t>s</w:t>
            </w:r>
            <w:r w:rsidRPr="00BA34E2">
              <w:rPr>
                <w:sz w:val="18"/>
                <w:szCs w:val="18"/>
              </w:rPr>
              <w:t xml:space="preserve"> such as </w:t>
            </w:r>
            <w:proofErr w:type="spellStart"/>
            <w:r w:rsidRPr="00BA34E2">
              <w:rPr>
                <w:sz w:val="18"/>
                <w:szCs w:val="18"/>
              </w:rPr>
              <w:t>FutureEarth</w:t>
            </w:r>
            <w:proofErr w:type="spellEnd"/>
            <w:r w:rsidRPr="00BA34E2">
              <w:rPr>
                <w:sz w:val="18"/>
                <w:szCs w:val="18"/>
              </w:rPr>
              <w:t xml:space="preserve"> and the CRCs for Water Sensitive Design and Low Carbon Living are providing solutions and pathways to sustainable cities. For example, Decarbonising the Built Environment: Charting the Transition is a key outcome for the CRC for Low Carbon Living involving partners from government, business, civil society, </w:t>
            </w:r>
            <w:r w:rsidR="002F56AA" w:rsidRPr="00BA34E2">
              <w:rPr>
                <w:sz w:val="18"/>
                <w:szCs w:val="18"/>
              </w:rPr>
              <w:t>academia,</w:t>
            </w:r>
            <w:r w:rsidRPr="00BA34E2">
              <w:rPr>
                <w:sz w:val="18"/>
                <w:szCs w:val="18"/>
              </w:rPr>
              <w:t xml:space="preserve"> and international organisations. </w:t>
            </w:r>
            <w:r>
              <w:rPr>
                <w:sz w:val="18"/>
                <w:szCs w:val="18"/>
              </w:rPr>
              <w:t xml:space="preserve">This includes </w:t>
            </w:r>
            <w:r w:rsidRPr="00BA34E2">
              <w:rPr>
                <w:sz w:val="18"/>
                <w:szCs w:val="18"/>
              </w:rPr>
              <w:t xml:space="preserve">the Visions and Pathways 2040 project </w:t>
            </w:r>
            <w:r>
              <w:rPr>
                <w:sz w:val="18"/>
                <w:szCs w:val="18"/>
              </w:rPr>
              <w:t xml:space="preserve">which </w:t>
            </w:r>
            <w:r w:rsidRPr="00BA34E2">
              <w:rPr>
                <w:sz w:val="18"/>
                <w:szCs w:val="18"/>
              </w:rPr>
              <w:t xml:space="preserve">developed visions, </w:t>
            </w:r>
            <w:proofErr w:type="gramStart"/>
            <w:r w:rsidRPr="00BA34E2">
              <w:rPr>
                <w:sz w:val="18"/>
                <w:szCs w:val="18"/>
              </w:rPr>
              <w:t>scenarios</w:t>
            </w:r>
            <w:proofErr w:type="gramEnd"/>
            <w:r w:rsidRPr="00BA34E2">
              <w:rPr>
                <w:sz w:val="18"/>
                <w:szCs w:val="18"/>
              </w:rPr>
              <w:t xml:space="preserve"> and pathways for transforming Australian cities to achieve rapid decarbonisation as well as increased resilience in the face of climate change. </w:t>
            </w:r>
          </w:p>
          <w:p w14:paraId="0B27C643" w14:textId="77777777" w:rsidR="00FD55A5" w:rsidRDefault="00FD55A5" w:rsidP="00180E0D">
            <w:pPr>
              <w:numPr>
                <w:ilvl w:val="0"/>
                <w:numId w:val="5"/>
              </w:numPr>
              <w:rPr>
                <w:sz w:val="18"/>
                <w:szCs w:val="18"/>
              </w:rPr>
            </w:pPr>
            <w:r w:rsidRPr="00BD1783">
              <w:rPr>
                <w:sz w:val="18"/>
                <w:szCs w:val="18"/>
              </w:rPr>
              <w:t>There have been some institutional advances for improving coordination across cities and regions in land use, infrastructure, and transport planning on the part of state governments. The Greater Sydney Commission (GSC), for example.</w:t>
            </w:r>
          </w:p>
          <w:p w14:paraId="0FEDBB8E" w14:textId="4B14C433" w:rsidR="00FD55A5" w:rsidRDefault="00FD55A5" w:rsidP="00180E0D">
            <w:pPr>
              <w:numPr>
                <w:ilvl w:val="0"/>
                <w:numId w:val="5"/>
              </w:numPr>
              <w:rPr>
                <w:sz w:val="18"/>
                <w:szCs w:val="18"/>
              </w:rPr>
            </w:pPr>
            <w:r w:rsidRPr="00DF4948">
              <w:rPr>
                <w:sz w:val="18"/>
                <w:szCs w:val="18"/>
              </w:rPr>
              <w:t>Cities contribute to fostering new innovations and industries</w:t>
            </w:r>
            <w:r>
              <w:rPr>
                <w:sz w:val="18"/>
                <w:szCs w:val="18"/>
              </w:rPr>
              <w:t>, f</w:t>
            </w:r>
            <w:r w:rsidRPr="00DF4948">
              <w:rPr>
                <w:sz w:val="18"/>
                <w:szCs w:val="18"/>
              </w:rPr>
              <w:t xml:space="preserve">or example large, comparatively wealthy, urban populations provide a context that can support new market development, aiding commercialisation and adoption of technologies </w:t>
            </w:r>
            <w:r>
              <w:rPr>
                <w:sz w:val="18"/>
                <w:szCs w:val="18"/>
              </w:rPr>
              <w:t xml:space="preserve">and practices. </w:t>
            </w:r>
          </w:p>
          <w:p w14:paraId="2E40E771" w14:textId="5EAA5D79" w:rsidR="00FD55A5" w:rsidRDefault="00FD55A5" w:rsidP="00180E0D">
            <w:pPr>
              <w:numPr>
                <w:ilvl w:val="0"/>
                <w:numId w:val="5"/>
              </w:numPr>
              <w:rPr>
                <w:sz w:val="18"/>
                <w:szCs w:val="18"/>
              </w:rPr>
            </w:pPr>
            <w:r w:rsidRPr="009454F1">
              <w:rPr>
                <w:sz w:val="18"/>
                <w:szCs w:val="18"/>
              </w:rPr>
              <w:t>A greater proportion of people living in Australia’s major capital cities report concern about climate change</w:t>
            </w:r>
            <w:r>
              <w:rPr>
                <w:sz w:val="18"/>
                <w:szCs w:val="18"/>
              </w:rPr>
              <w:t>. Growing political support for alternative parties and</w:t>
            </w:r>
            <w:r w:rsidR="003A3682">
              <w:rPr>
                <w:sz w:val="18"/>
                <w:szCs w:val="18"/>
              </w:rPr>
              <w:t xml:space="preserve"> independent</w:t>
            </w:r>
            <w:r>
              <w:rPr>
                <w:sz w:val="18"/>
                <w:szCs w:val="18"/>
              </w:rPr>
              <w:t xml:space="preserve"> candidates is indicative of changing norms and values and voting trends.</w:t>
            </w:r>
          </w:p>
          <w:p w14:paraId="0AFB9E04" w14:textId="418DF786" w:rsidR="00FD55A5" w:rsidRDefault="00FD55A5" w:rsidP="00180E0D">
            <w:pPr>
              <w:numPr>
                <w:ilvl w:val="0"/>
                <w:numId w:val="5"/>
              </w:numPr>
              <w:rPr>
                <w:sz w:val="18"/>
                <w:szCs w:val="18"/>
              </w:rPr>
            </w:pPr>
            <w:r>
              <w:rPr>
                <w:sz w:val="18"/>
                <w:szCs w:val="18"/>
              </w:rPr>
              <w:lastRenderedPageBreak/>
              <w:t>M</w:t>
            </w:r>
            <w:r w:rsidRPr="00CF1F40">
              <w:rPr>
                <w:sz w:val="18"/>
                <w:szCs w:val="18"/>
              </w:rPr>
              <w:t xml:space="preserve">any councils who are keen to </w:t>
            </w:r>
            <w:proofErr w:type="gramStart"/>
            <w:r w:rsidRPr="00CF1F40">
              <w:rPr>
                <w:sz w:val="18"/>
                <w:szCs w:val="18"/>
              </w:rPr>
              <w:t>take action</w:t>
            </w:r>
            <w:proofErr w:type="gramEnd"/>
            <w:r>
              <w:rPr>
                <w:sz w:val="18"/>
                <w:szCs w:val="18"/>
              </w:rPr>
              <w:t xml:space="preserve"> on sustainability are</w:t>
            </w:r>
            <w:r w:rsidRPr="00CF1F40">
              <w:rPr>
                <w:sz w:val="18"/>
                <w:szCs w:val="18"/>
              </w:rPr>
              <w:t xml:space="preserve"> frustrated by the lack of clarity or consistency in the state and national policy</w:t>
            </w:r>
            <w:r>
              <w:rPr>
                <w:sz w:val="18"/>
                <w:szCs w:val="18"/>
              </w:rPr>
              <w:t xml:space="preserve">, and </w:t>
            </w:r>
            <w:r w:rsidRPr="0024417C">
              <w:rPr>
                <w:sz w:val="18"/>
                <w:szCs w:val="18"/>
              </w:rPr>
              <w:t>local councils who are willing to push ahead of their states on targets and actions have formed their own alliances</w:t>
            </w:r>
            <w:r w:rsidR="00086FEE">
              <w:rPr>
                <w:sz w:val="18"/>
                <w:szCs w:val="18"/>
              </w:rPr>
              <w:t>.</w:t>
            </w:r>
          </w:p>
          <w:p w14:paraId="71E9A943" w14:textId="26867994" w:rsidR="00FD55A5" w:rsidRDefault="00FD55A5" w:rsidP="00180E0D">
            <w:pPr>
              <w:numPr>
                <w:ilvl w:val="0"/>
                <w:numId w:val="5"/>
              </w:numPr>
              <w:rPr>
                <w:sz w:val="18"/>
                <w:szCs w:val="18"/>
              </w:rPr>
            </w:pPr>
            <w:r>
              <w:rPr>
                <w:sz w:val="18"/>
                <w:szCs w:val="18"/>
              </w:rPr>
              <w:t xml:space="preserve">Most of the technology solutions </w:t>
            </w:r>
            <w:r w:rsidRPr="00E9758D">
              <w:rPr>
                <w:sz w:val="18"/>
                <w:szCs w:val="18"/>
              </w:rPr>
              <w:t xml:space="preserve">required to achieve zero </w:t>
            </w:r>
            <w:r w:rsidR="00086FEE" w:rsidRPr="00E9758D">
              <w:rPr>
                <w:sz w:val="18"/>
                <w:szCs w:val="18"/>
              </w:rPr>
              <w:t>emissions</w:t>
            </w:r>
            <w:r w:rsidR="00086FEE">
              <w:rPr>
                <w:sz w:val="18"/>
                <w:szCs w:val="18"/>
              </w:rPr>
              <w:t xml:space="preserve"> in the built</w:t>
            </w:r>
            <w:r>
              <w:rPr>
                <w:sz w:val="18"/>
                <w:szCs w:val="18"/>
              </w:rPr>
              <w:t xml:space="preserve"> environment</w:t>
            </w:r>
            <w:r w:rsidRPr="00E9758D">
              <w:rPr>
                <w:sz w:val="18"/>
                <w:szCs w:val="18"/>
              </w:rPr>
              <w:t xml:space="preserve"> (for instance, deep energy efficiency and the electrification – with renewable energy – of power, </w:t>
            </w:r>
            <w:proofErr w:type="gramStart"/>
            <w:r w:rsidRPr="00E9758D">
              <w:rPr>
                <w:sz w:val="18"/>
                <w:szCs w:val="18"/>
              </w:rPr>
              <w:t>heating</w:t>
            </w:r>
            <w:proofErr w:type="gramEnd"/>
            <w:r w:rsidRPr="00E9758D">
              <w:rPr>
                <w:sz w:val="18"/>
                <w:szCs w:val="18"/>
              </w:rPr>
              <w:t xml:space="preserve"> and water services) are mature and commercially competitive or have been demonstrated at scale. Energy-efficient technologies continue to become cheaper and more effective</w:t>
            </w:r>
            <w:r>
              <w:rPr>
                <w:sz w:val="18"/>
                <w:szCs w:val="18"/>
              </w:rPr>
              <w:t xml:space="preserve"> (however, c</w:t>
            </w:r>
            <w:r w:rsidRPr="00E9758D">
              <w:rPr>
                <w:sz w:val="18"/>
                <w:szCs w:val="18"/>
              </w:rPr>
              <w:t>onsumer uptake has not kept pace with technology improvements</w:t>
            </w:r>
            <w:r>
              <w:rPr>
                <w:sz w:val="18"/>
                <w:szCs w:val="18"/>
              </w:rPr>
              <w:t>).</w:t>
            </w:r>
          </w:p>
          <w:p w14:paraId="2C0F56D1" w14:textId="77777777" w:rsidR="00FD55A5" w:rsidRDefault="00FD55A5" w:rsidP="00180E0D">
            <w:pPr>
              <w:pStyle w:val="ListParagraph"/>
              <w:numPr>
                <w:ilvl w:val="0"/>
                <w:numId w:val="5"/>
              </w:numPr>
              <w:rPr>
                <w:sz w:val="18"/>
                <w:szCs w:val="18"/>
                <w:lang w:val="en-AU"/>
              </w:rPr>
            </w:pPr>
            <w:r w:rsidRPr="00F05212">
              <w:rPr>
                <w:sz w:val="18"/>
                <w:szCs w:val="18"/>
                <w:lang w:val="en-AU"/>
              </w:rPr>
              <w:t xml:space="preserve">In transport, the extraordinary fall in battery costs (together with supportive government policies) means some 3 million electric vehicles are already being driven throughout the </w:t>
            </w:r>
            <w:proofErr w:type="gramStart"/>
            <w:r w:rsidRPr="00F05212">
              <w:rPr>
                <w:sz w:val="18"/>
                <w:szCs w:val="18"/>
                <w:lang w:val="en-AU"/>
              </w:rPr>
              <w:t>world</w:t>
            </w:r>
            <w:r>
              <w:rPr>
                <w:sz w:val="18"/>
                <w:szCs w:val="18"/>
                <w:lang w:val="en-AU"/>
              </w:rPr>
              <w:t>, and</w:t>
            </w:r>
            <w:proofErr w:type="gramEnd"/>
            <w:r>
              <w:rPr>
                <w:sz w:val="18"/>
                <w:szCs w:val="18"/>
                <w:lang w:val="en-AU"/>
              </w:rPr>
              <w:t xml:space="preserve"> may be reaching a global tipping point</w:t>
            </w:r>
            <w:r w:rsidRPr="00F05212">
              <w:rPr>
                <w:sz w:val="18"/>
                <w:szCs w:val="18"/>
                <w:lang w:val="en-AU"/>
              </w:rPr>
              <w:t>. The electrification of passenger and freight transport (together with the optimisation of travel needs, mode-shift, and the transition to renewable electricity) demonstrates how the transport sector can be cost-effectively decarbonised.</w:t>
            </w:r>
          </w:p>
          <w:p w14:paraId="638263EB" w14:textId="77777777" w:rsidR="00FD55A5" w:rsidRPr="00860F4F" w:rsidRDefault="00FD55A5" w:rsidP="00180E0D">
            <w:pPr>
              <w:pStyle w:val="ListParagraph"/>
              <w:numPr>
                <w:ilvl w:val="0"/>
                <w:numId w:val="5"/>
              </w:numPr>
              <w:rPr>
                <w:sz w:val="18"/>
                <w:szCs w:val="18"/>
                <w:lang w:val="en-AU"/>
              </w:rPr>
            </w:pPr>
            <w:r w:rsidRPr="008A607D">
              <w:rPr>
                <w:sz w:val="18"/>
                <w:szCs w:val="18"/>
                <w:lang w:val="en-AU"/>
              </w:rPr>
              <w:t>National Cities Performance Framework</w:t>
            </w:r>
            <w:r>
              <w:rPr>
                <w:sz w:val="18"/>
                <w:szCs w:val="18"/>
                <w:lang w:val="en-AU"/>
              </w:rPr>
              <w:t xml:space="preserve"> provides access to data and benchmarking to compare the performance of cities across a range of metrics, many of which are aligned to the SDGs. </w:t>
            </w:r>
          </w:p>
          <w:p w14:paraId="1C401FF7" w14:textId="77777777" w:rsidR="00FD55A5" w:rsidRDefault="00FD55A5" w:rsidP="007F346F">
            <w:pPr>
              <w:rPr>
                <w:sz w:val="18"/>
                <w:szCs w:val="18"/>
              </w:rPr>
            </w:pPr>
          </w:p>
          <w:p w14:paraId="6317084A" w14:textId="19460FDF" w:rsidR="00FD55A5" w:rsidRPr="001751FC" w:rsidRDefault="00FD55A5" w:rsidP="007F346F">
            <w:pPr>
              <w:rPr>
                <w:b/>
                <w:bCs/>
                <w:sz w:val="18"/>
                <w:szCs w:val="18"/>
              </w:rPr>
            </w:pPr>
            <w:r>
              <w:rPr>
                <w:b/>
                <w:bCs/>
                <w:sz w:val="18"/>
                <w:szCs w:val="18"/>
              </w:rPr>
              <w:t xml:space="preserve">TP5 Storyline, Enabling </w:t>
            </w:r>
            <w:proofErr w:type="gramStart"/>
            <w:r>
              <w:rPr>
                <w:b/>
                <w:bCs/>
                <w:sz w:val="18"/>
                <w:szCs w:val="18"/>
              </w:rPr>
              <w:t>Conditions</w:t>
            </w:r>
            <w:proofErr w:type="gramEnd"/>
            <w:r>
              <w:rPr>
                <w:b/>
                <w:bCs/>
                <w:sz w:val="18"/>
                <w:szCs w:val="18"/>
              </w:rPr>
              <w:t xml:space="preserve"> and Interventions to Build Back Better</w:t>
            </w:r>
            <w:r w:rsidR="000D2A29">
              <w:rPr>
                <w:b/>
                <w:bCs/>
                <w:sz w:val="18"/>
                <w:szCs w:val="18"/>
              </w:rPr>
              <w:t xml:space="preserve"> through a Sustainable Wellbeing Transformation</w:t>
            </w:r>
          </w:p>
          <w:p w14:paraId="05A5FC9E" w14:textId="77777777" w:rsidR="00FD55A5" w:rsidRDefault="00FD55A5" w:rsidP="007F346F">
            <w:pPr>
              <w:rPr>
                <w:sz w:val="18"/>
                <w:szCs w:val="18"/>
              </w:rPr>
            </w:pPr>
            <w:r w:rsidRPr="00284D52">
              <w:rPr>
                <w:sz w:val="18"/>
                <w:szCs w:val="18"/>
              </w:rPr>
              <w:t>Australian politics to 2021 was partly a contestation between the different tiers of government and between generations. Paralysed, dysfunctional federal politics saw attention shift to the states and cities – particularly for leadership on renewable energy, energy efficiency, and green industries and jobs.</w:t>
            </w:r>
            <w:r>
              <w:rPr>
                <w:sz w:val="18"/>
                <w:szCs w:val="18"/>
              </w:rPr>
              <w:t xml:space="preserve"> </w:t>
            </w:r>
            <w:r w:rsidRPr="00A04D14">
              <w:rPr>
                <w:sz w:val="18"/>
                <w:szCs w:val="18"/>
              </w:rPr>
              <w:t>Australia’s climate-leading municipalities had become frustrated by the jurisdictional limits on their abilities to meet the bold, progressive emissions reductions targets they had set in the early 2000s. Even with the strong leadership and major investments they were now making, there was only so much they could do alone. As the homes of many economic and cultural leaders</w:t>
            </w:r>
            <w:r>
              <w:rPr>
                <w:sz w:val="18"/>
                <w:szCs w:val="18"/>
              </w:rPr>
              <w:t xml:space="preserve"> and powerful actors</w:t>
            </w:r>
            <w:r w:rsidRPr="00A04D14">
              <w:rPr>
                <w:sz w:val="18"/>
                <w:szCs w:val="18"/>
              </w:rPr>
              <w:t xml:space="preserve">, they set about driving changes to corporate behaviour </w:t>
            </w:r>
            <w:r>
              <w:rPr>
                <w:sz w:val="18"/>
                <w:szCs w:val="18"/>
              </w:rPr>
              <w:t>and</w:t>
            </w:r>
            <w:r w:rsidRPr="00A04D14">
              <w:rPr>
                <w:sz w:val="18"/>
                <w:szCs w:val="18"/>
              </w:rPr>
              <w:t xml:space="preserve"> turning up the heat on state and federal governments. As the ‘climate-action’ population centres of Australia, the major cities quietly took steps to enable and strengthen the </w:t>
            </w:r>
            <w:r>
              <w:rPr>
                <w:sz w:val="18"/>
                <w:szCs w:val="18"/>
              </w:rPr>
              <w:t xml:space="preserve">bottom-up </w:t>
            </w:r>
            <w:r w:rsidRPr="00A04D14">
              <w:rPr>
                <w:sz w:val="18"/>
                <w:szCs w:val="18"/>
              </w:rPr>
              <w:t xml:space="preserve">movements calling </w:t>
            </w:r>
            <w:r>
              <w:rPr>
                <w:sz w:val="18"/>
                <w:szCs w:val="18"/>
              </w:rPr>
              <w:t xml:space="preserve">on ambitious goals including a just transition towards net zero.  </w:t>
            </w:r>
          </w:p>
          <w:p w14:paraId="4BD8E4EE" w14:textId="77777777" w:rsidR="00FD55A5" w:rsidRDefault="00FD55A5" w:rsidP="007F346F">
            <w:pPr>
              <w:rPr>
                <w:sz w:val="18"/>
                <w:szCs w:val="18"/>
              </w:rPr>
            </w:pPr>
          </w:p>
          <w:p w14:paraId="5AD36CC1" w14:textId="77777777" w:rsidR="00FD55A5" w:rsidRDefault="00FD55A5" w:rsidP="007F346F">
            <w:pPr>
              <w:rPr>
                <w:sz w:val="18"/>
                <w:szCs w:val="18"/>
              </w:rPr>
            </w:pPr>
            <w:r w:rsidRPr="00084028">
              <w:rPr>
                <w:sz w:val="18"/>
                <w:szCs w:val="18"/>
              </w:rPr>
              <w:t>Build</w:t>
            </w:r>
            <w:r>
              <w:rPr>
                <w:sz w:val="18"/>
                <w:szCs w:val="18"/>
              </w:rPr>
              <w:t>ing</w:t>
            </w:r>
            <w:r w:rsidRPr="00084028">
              <w:rPr>
                <w:sz w:val="18"/>
                <w:szCs w:val="18"/>
              </w:rPr>
              <w:t xml:space="preserve"> on </w:t>
            </w:r>
            <w:r>
              <w:rPr>
                <w:sz w:val="18"/>
                <w:szCs w:val="18"/>
              </w:rPr>
              <w:t xml:space="preserve">initiatives such as </w:t>
            </w:r>
            <w:r w:rsidRPr="00084028">
              <w:rPr>
                <w:sz w:val="18"/>
                <w:szCs w:val="18"/>
              </w:rPr>
              <w:t>the CRCs for Low Carbon Living and Water Sensitive Cities, the Australian Housing and Urban Research Institute (AHURI), CSIRO Urban Living Labs, and the Australian Urban Research Infrastructure Network (AURIN)</w:t>
            </w:r>
            <w:r>
              <w:rPr>
                <w:sz w:val="18"/>
                <w:szCs w:val="18"/>
              </w:rPr>
              <w:t xml:space="preserve">, a </w:t>
            </w:r>
            <w:r w:rsidRPr="00084028">
              <w:rPr>
                <w:sz w:val="18"/>
                <w:szCs w:val="18"/>
              </w:rPr>
              <w:t xml:space="preserve">national framework </w:t>
            </w:r>
            <w:r>
              <w:rPr>
                <w:sz w:val="18"/>
                <w:szCs w:val="18"/>
              </w:rPr>
              <w:t>of local visions a</w:t>
            </w:r>
            <w:r w:rsidRPr="00084028">
              <w:rPr>
                <w:sz w:val="18"/>
                <w:szCs w:val="18"/>
              </w:rPr>
              <w:t>nd plans are developed and tailored for each city including goals and targe</w:t>
            </w:r>
            <w:r>
              <w:rPr>
                <w:sz w:val="18"/>
                <w:szCs w:val="18"/>
              </w:rPr>
              <w:t xml:space="preserve">ts. </w:t>
            </w:r>
            <w:r w:rsidRPr="00084028">
              <w:rPr>
                <w:sz w:val="18"/>
                <w:szCs w:val="18"/>
              </w:rPr>
              <w:t xml:space="preserve">These are co-designed with multiple stakeholders representing all governance levels of urban </w:t>
            </w:r>
            <w:proofErr w:type="gramStart"/>
            <w:r w:rsidRPr="00084028">
              <w:rPr>
                <w:sz w:val="18"/>
                <w:szCs w:val="18"/>
              </w:rPr>
              <w:t>decision-making, and</w:t>
            </w:r>
            <w:proofErr w:type="gramEnd"/>
            <w:r w:rsidRPr="00084028">
              <w:rPr>
                <w:sz w:val="18"/>
                <w:szCs w:val="18"/>
              </w:rPr>
              <w:t xml:space="preserve"> inform sustainable development pathways that bring visioning processes to life.</w:t>
            </w:r>
            <w:r>
              <w:rPr>
                <w:sz w:val="18"/>
                <w:szCs w:val="18"/>
              </w:rPr>
              <w:t xml:space="preserve"> This improves</w:t>
            </w:r>
            <w:r w:rsidRPr="00084028">
              <w:rPr>
                <w:sz w:val="18"/>
                <w:szCs w:val="18"/>
              </w:rPr>
              <w:t xml:space="preserve"> community and sectoral buy-in, guiding policy measures</w:t>
            </w:r>
            <w:r>
              <w:rPr>
                <w:sz w:val="18"/>
                <w:szCs w:val="18"/>
              </w:rPr>
              <w:t xml:space="preserve">, </w:t>
            </w:r>
            <w:r w:rsidRPr="00084028">
              <w:rPr>
                <w:sz w:val="18"/>
                <w:szCs w:val="18"/>
              </w:rPr>
              <w:t xml:space="preserve">generating investments, and raising awareness. </w:t>
            </w:r>
            <w:r>
              <w:rPr>
                <w:sz w:val="18"/>
                <w:szCs w:val="18"/>
              </w:rPr>
              <w:t xml:space="preserve">  At a national level, </w:t>
            </w:r>
            <w:r w:rsidRPr="008A607D">
              <w:rPr>
                <w:sz w:val="18"/>
                <w:szCs w:val="18"/>
              </w:rPr>
              <w:t>The National Cities Performance Framework is aligned to these strategies</w:t>
            </w:r>
            <w:r>
              <w:rPr>
                <w:sz w:val="18"/>
                <w:szCs w:val="18"/>
              </w:rPr>
              <w:t xml:space="preserve"> and supports benchmarking and experience sharing. </w:t>
            </w:r>
            <w:r w:rsidRPr="008A607D">
              <w:rPr>
                <w:sz w:val="18"/>
                <w:szCs w:val="18"/>
              </w:rPr>
              <w:t xml:space="preserve"> </w:t>
            </w:r>
          </w:p>
          <w:p w14:paraId="7C001056" w14:textId="77777777" w:rsidR="00FD55A5" w:rsidRDefault="00FD55A5" w:rsidP="007F346F">
            <w:pPr>
              <w:rPr>
                <w:sz w:val="18"/>
                <w:szCs w:val="18"/>
              </w:rPr>
            </w:pPr>
          </w:p>
          <w:p w14:paraId="297FA67C" w14:textId="1AA6EE52" w:rsidR="00FD55A5" w:rsidRDefault="00FD55A5" w:rsidP="007F346F">
            <w:pPr>
              <w:rPr>
                <w:sz w:val="18"/>
                <w:szCs w:val="18"/>
              </w:rPr>
            </w:pPr>
            <w:r w:rsidRPr="00754A6B">
              <w:rPr>
                <w:sz w:val="18"/>
                <w:szCs w:val="18"/>
              </w:rPr>
              <w:t xml:space="preserve">Targets and plans </w:t>
            </w:r>
            <w:r>
              <w:rPr>
                <w:sz w:val="18"/>
                <w:szCs w:val="18"/>
              </w:rPr>
              <w:t>support</w:t>
            </w:r>
            <w:r w:rsidRPr="00754A6B">
              <w:rPr>
                <w:sz w:val="18"/>
                <w:szCs w:val="18"/>
              </w:rPr>
              <w:t xml:space="preserve"> rapid decarbonisation over the next few decades, provide long-term strategies and addres</w:t>
            </w:r>
            <w:r>
              <w:rPr>
                <w:sz w:val="18"/>
                <w:szCs w:val="18"/>
              </w:rPr>
              <w:t>s</w:t>
            </w:r>
            <w:r w:rsidRPr="00754A6B">
              <w:rPr>
                <w:sz w:val="18"/>
                <w:szCs w:val="18"/>
              </w:rPr>
              <w:t xml:space="preserve"> integration of policies across sectors. Common focus areas of action are energy use (buildings), energy production (</w:t>
            </w:r>
            <w:r w:rsidRPr="00A5784B">
              <w:rPr>
                <w:b/>
                <w:bCs/>
                <w:sz w:val="18"/>
                <w:szCs w:val="18"/>
              </w:rPr>
              <w:t>T</w:t>
            </w:r>
            <w:r w:rsidRPr="00754A6B">
              <w:rPr>
                <w:b/>
                <w:bCs/>
                <w:sz w:val="18"/>
                <w:szCs w:val="18"/>
              </w:rPr>
              <w:t>P4</w:t>
            </w:r>
            <w:r w:rsidRPr="00754A6B">
              <w:rPr>
                <w:sz w:val="18"/>
                <w:szCs w:val="18"/>
              </w:rPr>
              <w:t xml:space="preserve">), transport, urban development, waste/resource utilisation and city administration. </w:t>
            </w:r>
            <w:r>
              <w:rPr>
                <w:sz w:val="18"/>
                <w:szCs w:val="18"/>
              </w:rPr>
              <w:t>Focus is initially on e</w:t>
            </w:r>
            <w:r w:rsidRPr="00754A6B">
              <w:rPr>
                <w:sz w:val="18"/>
                <w:szCs w:val="18"/>
              </w:rPr>
              <w:t xml:space="preserve">nergy use in buildings and transport </w:t>
            </w:r>
            <w:r>
              <w:rPr>
                <w:sz w:val="18"/>
                <w:szCs w:val="18"/>
              </w:rPr>
              <w:t xml:space="preserve">which </w:t>
            </w:r>
            <w:r w:rsidRPr="00754A6B">
              <w:rPr>
                <w:sz w:val="18"/>
                <w:szCs w:val="18"/>
              </w:rPr>
              <w:t>constitute the largest sources of GHG emissions, followed by emissions from waste treatment.</w:t>
            </w:r>
            <w:r>
              <w:rPr>
                <w:sz w:val="18"/>
                <w:szCs w:val="18"/>
              </w:rPr>
              <w:t xml:space="preserve">  National, state and city governments support investments in electrification of buildings, electric vehicle subsidies, tax rebates and charging infrastructure. Working with community partners, a widespread campaign to shift behaviours towards sustainable practices is implemented, including education, marketing, awareness raising, and incentives to reduce, reuse and recycle waste, consume local </w:t>
            </w:r>
            <w:r w:rsidR="00842896">
              <w:rPr>
                <w:sz w:val="18"/>
                <w:szCs w:val="18"/>
              </w:rPr>
              <w:t>produce,</w:t>
            </w:r>
            <w:r>
              <w:rPr>
                <w:sz w:val="18"/>
                <w:szCs w:val="18"/>
              </w:rPr>
              <w:t xml:space="preserve"> and support local food systems (</w:t>
            </w:r>
            <w:r w:rsidRPr="007335F3">
              <w:rPr>
                <w:b/>
                <w:bCs/>
                <w:sz w:val="18"/>
                <w:szCs w:val="18"/>
              </w:rPr>
              <w:t>TP3</w:t>
            </w:r>
            <w:r>
              <w:rPr>
                <w:sz w:val="18"/>
                <w:szCs w:val="18"/>
              </w:rPr>
              <w:t xml:space="preserve">), utilise public transport, and encourage healthy lifestyles built on sustainable diets, green space, thriving cultures and </w:t>
            </w:r>
            <w:r>
              <w:rPr>
                <w:sz w:val="18"/>
                <w:szCs w:val="18"/>
              </w:rPr>
              <w:lastRenderedPageBreak/>
              <w:t>inclusive decision making. The implementation of tax reforms (including removal of negative gearing) (</w:t>
            </w:r>
            <w:r w:rsidRPr="00A5784B">
              <w:rPr>
                <w:b/>
                <w:bCs/>
                <w:sz w:val="18"/>
                <w:szCs w:val="18"/>
              </w:rPr>
              <w:t>TP2</w:t>
            </w:r>
            <w:r>
              <w:rPr>
                <w:sz w:val="18"/>
                <w:szCs w:val="18"/>
              </w:rPr>
              <w:t xml:space="preserve">) and large investments in social housing improve the affordability of housing. </w:t>
            </w:r>
          </w:p>
          <w:p w14:paraId="2122A49D" w14:textId="77777777" w:rsidR="00FD55A5" w:rsidRDefault="00FD55A5" w:rsidP="007F346F">
            <w:pPr>
              <w:rPr>
                <w:sz w:val="18"/>
                <w:szCs w:val="18"/>
              </w:rPr>
            </w:pPr>
          </w:p>
          <w:p w14:paraId="4911CC0A" w14:textId="6862B3B9" w:rsidR="00FD55A5" w:rsidRDefault="00FD55A5" w:rsidP="007F346F">
            <w:pPr>
              <w:rPr>
                <w:sz w:val="18"/>
                <w:szCs w:val="18"/>
              </w:rPr>
            </w:pPr>
            <w:r>
              <w:rPr>
                <w:sz w:val="18"/>
                <w:szCs w:val="18"/>
              </w:rPr>
              <w:t>In line with this narrative, specific quantitative interventions (</w:t>
            </w:r>
            <w:r w:rsidRPr="006D6836">
              <w:rPr>
                <w:b/>
                <w:bCs/>
                <w:sz w:val="18"/>
                <w:szCs w:val="18"/>
              </w:rPr>
              <w:t xml:space="preserve">Supplementary Table </w:t>
            </w:r>
            <w:r w:rsidR="00AF6556">
              <w:rPr>
                <w:b/>
                <w:bCs/>
                <w:sz w:val="18"/>
                <w:szCs w:val="18"/>
              </w:rPr>
              <w:t>2</w:t>
            </w:r>
            <w:r>
              <w:rPr>
                <w:sz w:val="18"/>
                <w:szCs w:val="18"/>
              </w:rPr>
              <w:t xml:space="preserve">) to support this transformation include investments in vehicle and energy efficiency and demand reduction, electrification of residential and commercial buildings, increase in the share of timber building structures and timber resource recovery, reductions in waste generation and non-recycled municipal waste, subsidies and tax rebates for battery electric vehicles/bikes/trucks/buses, investment in charging infrastructure, the forced phase out of internal combustion vehicles, and additional investment in adaptation and resilience. </w:t>
            </w:r>
          </w:p>
          <w:p w14:paraId="4ACD6D87" w14:textId="77777777" w:rsidR="00FD55A5" w:rsidRPr="0084089A" w:rsidRDefault="00FD55A5" w:rsidP="007F346F">
            <w:pPr>
              <w:rPr>
                <w:sz w:val="18"/>
                <w:szCs w:val="18"/>
              </w:rPr>
            </w:pPr>
          </w:p>
        </w:tc>
        <w:tc>
          <w:tcPr>
            <w:tcW w:w="1762" w:type="dxa"/>
          </w:tcPr>
          <w:p w14:paraId="45EFC256" w14:textId="62A07813" w:rsidR="00FD55A5" w:rsidRPr="00DE0A17" w:rsidRDefault="00FD55A5" w:rsidP="007F346F">
            <w:pPr>
              <w:rPr>
                <w:sz w:val="18"/>
                <w:szCs w:val="18"/>
              </w:rPr>
            </w:pPr>
            <w:r w:rsidRPr="00DE0A17">
              <w:rPr>
                <w:sz w:val="18"/>
                <w:szCs w:val="18"/>
              </w:rPr>
              <w:lastRenderedPageBreak/>
              <w:fldChar w:fldCharType="begin">
                <w:fldData xml:space="preserve">PEVuZE5vdGU+PENpdGU+PEF1dGhvcj5GdXR1cmUgRWFydGg8L0F1dGhvcj48WWVhcj4yMDE5PC9Z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</w:fldData>
              </w:fldChar>
            </w:r>
            <w:r w:rsidR="006E27EC">
              <w:rPr>
                <w:sz w:val="18"/>
                <w:szCs w:val="18"/>
              </w:rPr>
              <w:instrText xml:space="preserve"> ADDIN EN.CITE </w:instrText>
            </w:r>
            <w:r w:rsidR="006E27EC">
              <w:rPr>
                <w:sz w:val="18"/>
                <w:szCs w:val="18"/>
              </w:rPr>
              <w:fldChar w:fldCharType="begin">
                <w:fldData xml:space="preserve">PEVuZE5vdGU+PENpdGU+PEF1dGhvcj5GdXR1cmUgRWFydGg8L0F1dGhvcj48WWVhcj4yMDE5PC9Z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</w:fldData>
              </w:fldChar>
            </w:r>
            <w:r w:rsidR="006E27EC">
              <w:rPr>
                <w:sz w:val="18"/>
                <w:szCs w:val="18"/>
              </w:rPr>
              <w:instrText xml:space="preserve"> ADDIN EN.CITE.DATA </w:instrText>
            </w:r>
            <w:r w:rsidR="006E27EC">
              <w:rPr>
                <w:sz w:val="18"/>
                <w:szCs w:val="18"/>
              </w:rPr>
            </w:r>
            <w:r w:rsidR="006E27EC">
              <w:rPr>
                <w:sz w:val="18"/>
                <w:szCs w:val="18"/>
              </w:rPr>
              <w:fldChar w:fldCharType="end"/>
            </w:r>
            <w:r w:rsidRPr="00DE0A17">
              <w:rPr>
                <w:sz w:val="18"/>
                <w:szCs w:val="18"/>
              </w:rPr>
            </w:r>
            <w:r w:rsidRPr="00DE0A17">
              <w:rPr>
                <w:sz w:val="18"/>
                <w:szCs w:val="18"/>
              </w:rPr>
              <w:fldChar w:fldCharType="separate"/>
            </w:r>
            <w:r w:rsidR="006E27EC">
              <w:rPr>
                <w:noProof/>
                <w:sz w:val="18"/>
                <w:szCs w:val="18"/>
              </w:rPr>
              <w:t>(Future Earth, 2019, Newton et al., 2019, ClimateWorks Australia, 2020, Candy et al., 2017, Webb et al., 2018, Allen et al., 2020, Allen et al., 2019, Sharpe and Lenton, 2021)</w:t>
            </w:r>
            <w:r w:rsidRPr="00DE0A17">
              <w:rPr>
                <w:sz w:val="18"/>
                <w:szCs w:val="18"/>
              </w:rPr>
              <w:fldChar w:fldCharType="end"/>
            </w:r>
          </w:p>
        </w:tc>
      </w:tr>
      <w:tr w:rsidR="00FD55A5" w:rsidRPr="0084089A" w14:paraId="050EFFD5" w14:textId="77777777" w:rsidTr="007F346F">
        <w:tc>
          <w:tcPr>
            <w:tcW w:w="2263" w:type="dxa"/>
          </w:tcPr>
          <w:p w14:paraId="7118D978" w14:textId="77777777" w:rsidR="00FD55A5" w:rsidRPr="0084089A" w:rsidRDefault="00FD55A5" w:rsidP="007F346F">
            <w:pPr>
              <w:rPr>
                <w:sz w:val="18"/>
                <w:szCs w:val="18"/>
              </w:rPr>
            </w:pPr>
            <w:r w:rsidRPr="0084089A">
              <w:rPr>
                <w:b/>
                <w:bCs/>
                <w:sz w:val="18"/>
                <w:szCs w:val="18"/>
              </w:rPr>
              <w:lastRenderedPageBreak/>
              <w:t>6. Global environmental commons</w:t>
            </w:r>
          </w:p>
        </w:tc>
        <w:tc>
          <w:tcPr>
            <w:tcW w:w="9923" w:type="dxa"/>
          </w:tcPr>
          <w:p w14:paraId="615BB85E" w14:textId="77777777" w:rsidR="00FD55A5" w:rsidRDefault="00FD55A5" w:rsidP="007F346F">
            <w:pPr>
              <w:rPr>
                <w:sz w:val="18"/>
                <w:szCs w:val="18"/>
              </w:rPr>
            </w:pPr>
            <w:r>
              <w:rPr>
                <w:b/>
                <w:bCs/>
                <w:sz w:val="18"/>
                <w:szCs w:val="18"/>
              </w:rPr>
              <w:t>Progress and Challenges</w:t>
            </w:r>
          </w:p>
          <w:p w14:paraId="16BCDE05" w14:textId="50C10B3F" w:rsidR="00FD55A5" w:rsidRDefault="00FD55A5" w:rsidP="007F346F">
            <w:pPr>
              <w:rPr>
                <w:sz w:val="18"/>
                <w:szCs w:val="18"/>
              </w:rPr>
            </w:pPr>
            <w:r w:rsidRPr="001F4A24">
              <w:rPr>
                <w:sz w:val="18"/>
                <w:szCs w:val="18"/>
              </w:rPr>
              <w:t>While Australia is currently meeting Aichi Biodiversity Target 11 in achieving protection for 17% of terrestrial areas and inland waters, many of our bioregions are underrepresented with the majority experiencing downgrading, downsizing or de</w:t>
            </w:r>
            <w:r w:rsidR="007A2359">
              <w:rPr>
                <w:sz w:val="18"/>
                <w:szCs w:val="18"/>
              </w:rPr>
              <w:t>-</w:t>
            </w:r>
            <w:r w:rsidRPr="001F4A24">
              <w:rPr>
                <w:sz w:val="18"/>
                <w:szCs w:val="18"/>
              </w:rPr>
              <w:t>gazettement. More than 20% of Key Biodiversity Areas (KBAs) are not represented in protected areas and only a small proportion of KBAs are fully represented—with the rate of improvement of complete coverage slowing down.</w:t>
            </w:r>
            <w:r>
              <w:rPr>
                <w:sz w:val="18"/>
                <w:szCs w:val="18"/>
              </w:rPr>
              <w:t xml:space="preserve"> </w:t>
            </w:r>
            <w:r w:rsidRPr="00EE4BF8">
              <w:rPr>
                <w:sz w:val="18"/>
                <w:szCs w:val="18"/>
              </w:rPr>
              <w:t>The status of Australia’s species—as adjudicated by assessment of vertebrates and cycads in the Red List Index and a wealth of other scientific studies—is one of decline. Mammals are in a particularly perilous state, and the outlook for threatened species is generally not promising.</w:t>
            </w:r>
            <w:r>
              <w:rPr>
                <w:sz w:val="18"/>
                <w:szCs w:val="18"/>
              </w:rPr>
              <w:t xml:space="preserve"> Australia’s marine protected areas exceed the 10% Aichi </w:t>
            </w:r>
            <w:proofErr w:type="gramStart"/>
            <w:r>
              <w:rPr>
                <w:sz w:val="18"/>
                <w:szCs w:val="18"/>
              </w:rPr>
              <w:t>Target,</w:t>
            </w:r>
            <w:proofErr w:type="gramEnd"/>
            <w:r>
              <w:rPr>
                <w:sz w:val="18"/>
                <w:szCs w:val="18"/>
              </w:rPr>
              <w:t xml:space="preserve"> however the share of no-take protection zones remains relatively low. A</w:t>
            </w:r>
            <w:r w:rsidRPr="004772FF">
              <w:rPr>
                <w:sz w:val="18"/>
                <w:szCs w:val="18"/>
              </w:rPr>
              <w:t xml:space="preserve">ssessments of reef systems along the eastern and western coasts of Australia </w:t>
            </w:r>
            <w:r>
              <w:rPr>
                <w:sz w:val="18"/>
                <w:szCs w:val="18"/>
              </w:rPr>
              <w:t>show</w:t>
            </w:r>
            <w:r w:rsidRPr="004772FF">
              <w:rPr>
                <w:sz w:val="18"/>
                <w:szCs w:val="18"/>
              </w:rPr>
              <w:t xml:space="preserve"> declines in percentage reef cover and increases in the extent and severity of bleaching over the past several decades</w:t>
            </w:r>
            <w:r>
              <w:rPr>
                <w:sz w:val="18"/>
                <w:szCs w:val="18"/>
              </w:rPr>
              <w:t xml:space="preserve">.  </w:t>
            </w:r>
            <w:r w:rsidRPr="00631BB1">
              <w:rPr>
                <w:sz w:val="18"/>
                <w:szCs w:val="18"/>
              </w:rPr>
              <w:t xml:space="preserve">Overall, Australia is not only failing to protect and restore its ecosystems, but is </w:t>
            </w:r>
            <w:r>
              <w:rPr>
                <w:sz w:val="18"/>
                <w:szCs w:val="18"/>
              </w:rPr>
              <w:t>moving in the wrong direction, a</w:t>
            </w:r>
            <w:r w:rsidRPr="00631BB1">
              <w:rPr>
                <w:sz w:val="18"/>
                <w:szCs w:val="18"/>
              </w:rPr>
              <w:t>nd with little evidence of impending action to reverse the trend.</w:t>
            </w:r>
          </w:p>
          <w:p w14:paraId="669E208F" w14:textId="77777777" w:rsidR="00FD55A5" w:rsidRDefault="00FD55A5" w:rsidP="007F346F">
            <w:pPr>
              <w:rPr>
                <w:sz w:val="18"/>
                <w:szCs w:val="18"/>
              </w:rPr>
            </w:pPr>
          </w:p>
          <w:p w14:paraId="5B53F75F" w14:textId="326AC2E1" w:rsidR="00FD55A5" w:rsidRDefault="00FD55A5" w:rsidP="007F346F">
            <w:pPr>
              <w:rPr>
                <w:sz w:val="18"/>
                <w:szCs w:val="18"/>
              </w:rPr>
            </w:pPr>
            <w:r w:rsidRPr="001E681C">
              <w:rPr>
                <w:sz w:val="18"/>
                <w:szCs w:val="18"/>
              </w:rPr>
              <w:t xml:space="preserve">Overall, the state and trend of the environment of Australia are poor and deteriorating </w:t>
            </w:r>
            <w:proofErr w:type="gramStart"/>
            <w:r w:rsidRPr="001E681C">
              <w:rPr>
                <w:sz w:val="18"/>
                <w:szCs w:val="18"/>
              </w:rPr>
              <w:t>as a result of</w:t>
            </w:r>
            <w:proofErr w:type="gramEnd"/>
            <w:r w:rsidRPr="001E681C">
              <w:rPr>
                <w:sz w:val="18"/>
                <w:szCs w:val="18"/>
              </w:rPr>
              <w:t xml:space="preserve"> increasing pressures from climate change, habitat loss, invasive species, pollution and resource extraction. Changing environmental conditions mean that many species and ecosystems are increasingly threatened. Multiple pressures create cumulative impacts that amplify threats to </w:t>
            </w:r>
            <w:r w:rsidR="00924021">
              <w:rPr>
                <w:sz w:val="18"/>
                <w:szCs w:val="18"/>
              </w:rPr>
              <w:t>the</w:t>
            </w:r>
            <w:r w:rsidRPr="001E681C">
              <w:rPr>
                <w:sz w:val="18"/>
                <w:szCs w:val="18"/>
              </w:rPr>
              <w:t xml:space="preserve"> environment, and abrupt changes in ecological systems have been recorded in the past 5 years.</w:t>
            </w:r>
            <w:r>
              <w:rPr>
                <w:sz w:val="18"/>
                <w:szCs w:val="18"/>
              </w:rPr>
              <w:t xml:space="preserve">  </w:t>
            </w:r>
            <w:r w:rsidRPr="00665BF4">
              <w:rPr>
                <w:sz w:val="18"/>
                <w:szCs w:val="18"/>
              </w:rPr>
              <w:t xml:space="preserve">The Australian Government’s 2015 Threatened Species Strategy 5-year action plan achieved partial success by improving the trajectories of 24 priority species by 2020, but many did not show improvements and, overall, the number of listed species has grown by 8% since 2016. The number of listed entities will increase substantially in coming years </w:t>
            </w:r>
            <w:proofErr w:type="gramStart"/>
            <w:r w:rsidRPr="00665BF4">
              <w:rPr>
                <w:sz w:val="18"/>
                <w:szCs w:val="18"/>
              </w:rPr>
              <w:t>as a result of</w:t>
            </w:r>
            <w:proofErr w:type="gramEnd"/>
            <w:r w:rsidRPr="00665BF4">
              <w:rPr>
                <w:sz w:val="18"/>
                <w:szCs w:val="18"/>
              </w:rPr>
              <w:t xml:space="preserve"> the 2019–20 bushfires.</w:t>
            </w:r>
            <w:r>
              <w:rPr>
                <w:sz w:val="18"/>
                <w:szCs w:val="18"/>
              </w:rPr>
              <w:t xml:space="preserve"> The</w:t>
            </w:r>
            <w:r w:rsidRPr="00665BF4">
              <w:rPr>
                <w:sz w:val="18"/>
                <w:szCs w:val="18"/>
              </w:rPr>
              <w:t xml:space="preserve"> inability to adequately manage pressures continue</w:t>
            </w:r>
            <w:r>
              <w:rPr>
                <w:sz w:val="18"/>
                <w:szCs w:val="18"/>
              </w:rPr>
              <w:t>s</w:t>
            </w:r>
            <w:r w:rsidRPr="00665BF4">
              <w:rPr>
                <w:sz w:val="18"/>
                <w:szCs w:val="18"/>
              </w:rPr>
              <w:t xml:space="preserve"> to result in species extinctions and deteriorating ecosystem condition, which are reducing the environmental capital on which current and future economies depend. Social, </w:t>
            </w:r>
            <w:proofErr w:type="gramStart"/>
            <w:r w:rsidRPr="00665BF4">
              <w:rPr>
                <w:sz w:val="18"/>
                <w:szCs w:val="18"/>
              </w:rPr>
              <w:t>environmental</w:t>
            </w:r>
            <w:proofErr w:type="gramEnd"/>
            <w:r w:rsidRPr="00665BF4">
              <w:rPr>
                <w:sz w:val="18"/>
                <w:szCs w:val="18"/>
              </w:rPr>
              <w:t xml:space="preserve"> and economic impacts are already apparent.</w:t>
            </w:r>
          </w:p>
          <w:p w14:paraId="3F45E728" w14:textId="77777777" w:rsidR="00FD55A5" w:rsidRDefault="00FD55A5" w:rsidP="007F346F">
            <w:pPr>
              <w:rPr>
                <w:sz w:val="18"/>
                <w:szCs w:val="18"/>
              </w:rPr>
            </w:pPr>
          </w:p>
          <w:p w14:paraId="77C1B5BB" w14:textId="7B619684" w:rsidR="00FD55A5" w:rsidRDefault="00FD55A5" w:rsidP="007F346F">
            <w:pPr>
              <w:rPr>
                <w:sz w:val="18"/>
                <w:szCs w:val="18"/>
              </w:rPr>
            </w:pPr>
            <w:r w:rsidRPr="00C76492">
              <w:rPr>
                <w:sz w:val="18"/>
                <w:szCs w:val="18"/>
              </w:rPr>
              <w:t xml:space="preserve">The management of Australia’s environment involves many components and many organisations. Most land management is undertaken by landholders, Indigenous communities, </w:t>
            </w:r>
            <w:r w:rsidR="00924021">
              <w:rPr>
                <w:sz w:val="18"/>
                <w:szCs w:val="18"/>
              </w:rPr>
              <w:t xml:space="preserve">government, </w:t>
            </w:r>
            <w:r w:rsidRPr="00C76492">
              <w:rPr>
                <w:sz w:val="18"/>
                <w:szCs w:val="18"/>
              </w:rPr>
              <w:t>non</w:t>
            </w:r>
            <w:r w:rsidR="00924021">
              <w:rPr>
                <w:sz w:val="18"/>
                <w:szCs w:val="18"/>
              </w:rPr>
              <w:t>-</w:t>
            </w:r>
            <w:r w:rsidRPr="00C76492">
              <w:rPr>
                <w:sz w:val="18"/>
                <w:szCs w:val="18"/>
              </w:rPr>
              <w:t xml:space="preserve">government organisations, </w:t>
            </w:r>
            <w:proofErr w:type="gramStart"/>
            <w:r w:rsidRPr="00C76492">
              <w:rPr>
                <w:sz w:val="18"/>
                <w:szCs w:val="18"/>
              </w:rPr>
              <w:t>industry</w:t>
            </w:r>
            <w:proofErr w:type="gramEnd"/>
            <w:r w:rsidRPr="00C76492">
              <w:rPr>
                <w:sz w:val="18"/>
                <w:szCs w:val="18"/>
              </w:rPr>
              <w:t xml:space="preserve"> and volunteers, but only a very small proportion of this management is undertaken with the direct purpose of maintaining or improving environmental values. </w:t>
            </w:r>
            <w:r w:rsidRPr="009E4028">
              <w:rPr>
                <w:sz w:val="18"/>
                <w:szCs w:val="18"/>
              </w:rPr>
              <w:t>Australia currently lacks a framework that delivers holistic environmental management to integrat</w:t>
            </w:r>
            <w:r w:rsidR="00924021">
              <w:rPr>
                <w:sz w:val="18"/>
                <w:szCs w:val="18"/>
              </w:rPr>
              <w:t>e</w:t>
            </w:r>
            <w:r w:rsidRPr="009E4028">
              <w:rPr>
                <w:sz w:val="18"/>
                <w:szCs w:val="18"/>
              </w:rPr>
              <w:t xml:space="preserve"> disconnected legislative and institutional national, state and territory systems, and break down existing barriers to stimulate new models and partnerships for innovative environmental management and financing.</w:t>
            </w:r>
            <w:r>
              <w:rPr>
                <w:sz w:val="18"/>
                <w:szCs w:val="18"/>
              </w:rPr>
              <w:t xml:space="preserve">  Immediate action to reduce carbon emissions would result in reduced pressures and improved trajectories for most aspects of the environment.  There is a growing recognition of the need to engage </w:t>
            </w:r>
            <w:r w:rsidR="00924021">
              <w:rPr>
                <w:sz w:val="18"/>
                <w:szCs w:val="18"/>
              </w:rPr>
              <w:t>I</w:t>
            </w:r>
            <w:r>
              <w:rPr>
                <w:sz w:val="18"/>
                <w:szCs w:val="18"/>
              </w:rPr>
              <w:t>ndigenous peoples and knowledge in caring for country, however t</w:t>
            </w:r>
            <w:r w:rsidRPr="00E351E9">
              <w:rPr>
                <w:sz w:val="18"/>
                <w:szCs w:val="18"/>
              </w:rPr>
              <w:t xml:space="preserve">here is a complex web of government laws and agreements that </w:t>
            </w:r>
            <w:r w:rsidRPr="00E351E9">
              <w:rPr>
                <w:sz w:val="18"/>
                <w:szCs w:val="18"/>
              </w:rPr>
              <w:lastRenderedPageBreak/>
              <w:t xml:space="preserve">relate to Indigenous people and the environment, </w:t>
            </w:r>
            <w:r>
              <w:rPr>
                <w:sz w:val="18"/>
                <w:szCs w:val="18"/>
              </w:rPr>
              <w:t>and</w:t>
            </w:r>
            <w:r w:rsidRPr="00E351E9">
              <w:rPr>
                <w:sz w:val="18"/>
                <w:szCs w:val="18"/>
              </w:rPr>
              <w:t xml:space="preserve"> </w:t>
            </w:r>
            <w:r w:rsidR="00924021" w:rsidRPr="00E351E9">
              <w:rPr>
                <w:sz w:val="18"/>
                <w:szCs w:val="18"/>
              </w:rPr>
              <w:t>overall,</w:t>
            </w:r>
            <w:r w:rsidRPr="00E351E9">
              <w:rPr>
                <w:sz w:val="18"/>
                <w:szCs w:val="18"/>
              </w:rPr>
              <w:t xml:space="preserve"> they are not adequate to deliver the rights that Indigenous people seek.</w:t>
            </w:r>
          </w:p>
          <w:p w14:paraId="5D65BCB8" w14:textId="77777777" w:rsidR="00FD55A5" w:rsidRDefault="00FD55A5" w:rsidP="007F346F">
            <w:pPr>
              <w:rPr>
                <w:sz w:val="18"/>
                <w:szCs w:val="18"/>
              </w:rPr>
            </w:pPr>
          </w:p>
          <w:p w14:paraId="2305CD5D" w14:textId="77777777" w:rsidR="00FD55A5" w:rsidRDefault="00FD55A5" w:rsidP="007F346F">
            <w:pPr>
              <w:rPr>
                <w:sz w:val="18"/>
                <w:szCs w:val="18"/>
              </w:rPr>
            </w:pPr>
            <w:r>
              <w:rPr>
                <w:b/>
                <w:bCs/>
                <w:sz w:val="18"/>
                <w:szCs w:val="18"/>
              </w:rPr>
              <w:t>Transformation Bottlenecks</w:t>
            </w:r>
          </w:p>
          <w:p w14:paraId="30A43F8E" w14:textId="77777777" w:rsidR="00FD55A5" w:rsidRDefault="00FD55A5" w:rsidP="007F346F">
            <w:pPr>
              <w:rPr>
                <w:sz w:val="18"/>
                <w:szCs w:val="18"/>
              </w:rPr>
            </w:pPr>
            <w:r w:rsidRPr="009B153A">
              <w:rPr>
                <w:sz w:val="18"/>
                <w:szCs w:val="18"/>
              </w:rPr>
              <w:t>The barriers associated with this transformation are largely linked to other key transformations – particularly EP2, EP3, EP4 and EP5</w:t>
            </w:r>
            <w:r>
              <w:rPr>
                <w:sz w:val="18"/>
                <w:szCs w:val="18"/>
              </w:rPr>
              <w:t xml:space="preserve"> – see above. </w:t>
            </w:r>
          </w:p>
          <w:p w14:paraId="2826EB1A" w14:textId="77777777" w:rsidR="00FD55A5" w:rsidRPr="00DA23C7" w:rsidRDefault="00FD55A5" w:rsidP="00FD55A5">
            <w:pPr>
              <w:numPr>
                <w:ilvl w:val="0"/>
                <w:numId w:val="6"/>
              </w:numPr>
              <w:rPr>
                <w:sz w:val="18"/>
                <w:szCs w:val="18"/>
              </w:rPr>
            </w:pPr>
            <w:r w:rsidRPr="00DA23C7">
              <w:rPr>
                <w:b/>
                <w:bCs/>
                <w:sz w:val="18"/>
                <w:szCs w:val="18"/>
              </w:rPr>
              <w:t>Techno-economic</w:t>
            </w:r>
            <w:r w:rsidRPr="00DA23C7">
              <w:rPr>
                <w:sz w:val="18"/>
                <w:szCs w:val="18"/>
              </w:rPr>
              <w:t>:</w:t>
            </w:r>
            <w:r>
              <w:rPr>
                <w:sz w:val="18"/>
                <w:szCs w:val="18"/>
              </w:rPr>
              <w:t xml:space="preserve"> dominant patterns of economic activity and consumption and production generally fail to address the costs to nature, resulting in urban sprawl, land clearing, habitat loss, pollution. </w:t>
            </w:r>
          </w:p>
          <w:p w14:paraId="781606FB" w14:textId="77777777" w:rsidR="00FD55A5" w:rsidRDefault="00FD55A5" w:rsidP="00FD55A5">
            <w:pPr>
              <w:numPr>
                <w:ilvl w:val="0"/>
                <w:numId w:val="6"/>
              </w:numPr>
              <w:rPr>
                <w:sz w:val="18"/>
                <w:szCs w:val="18"/>
              </w:rPr>
            </w:pPr>
            <w:r w:rsidRPr="00DA23C7">
              <w:rPr>
                <w:b/>
                <w:bCs/>
                <w:sz w:val="18"/>
                <w:szCs w:val="18"/>
              </w:rPr>
              <w:t>Socio-behavioural</w:t>
            </w:r>
            <w:r w:rsidRPr="00DA23C7">
              <w:rPr>
                <w:sz w:val="18"/>
                <w:szCs w:val="18"/>
              </w:rPr>
              <w:t xml:space="preserve">: </w:t>
            </w:r>
            <w:r>
              <w:rPr>
                <w:sz w:val="18"/>
                <w:szCs w:val="18"/>
              </w:rPr>
              <w:t xml:space="preserve"> modern lifestyles create a separation from nature and how we feel about nature is often anchored in childhood experience; highly consumptive lifestyles are a key driver of pressures on the natural environment.</w:t>
            </w:r>
          </w:p>
          <w:p w14:paraId="0016B06A" w14:textId="77777777" w:rsidR="00FD55A5" w:rsidRPr="00F22D87" w:rsidRDefault="00FD55A5" w:rsidP="00FD55A5">
            <w:pPr>
              <w:numPr>
                <w:ilvl w:val="0"/>
                <w:numId w:val="6"/>
              </w:numPr>
              <w:rPr>
                <w:sz w:val="18"/>
                <w:szCs w:val="18"/>
              </w:rPr>
            </w:pPr>
            <w:r w:rsidRPr="00D54991">
              <w:rPr>
                <w:b/>
                <w:bCs/>
                <w:sz w:val="18"/>
                <w:szCs w:val="18"/>
              </w:rPr>
              <w:t>Socio</w:t>
            </w:r>
            <w:r w:rsidRPr="008870DB">
              <w:rPr>
                <w:b/>
                <w:bCs/>
                <w:sz w:val="18"/>
                <w:szCs w:val="18"/>
              </w:rPr>
              <w:t>-ecological</w:t>
            </w:r>
            <w:r w:rsidRPr="00D54991">
              <w:rPr>
                <w:sz w:val="18"/>
                <w:szCs w:val="18"/>
              </w:rPr>
              <w:t>: settler colonialism has reshaped landscapes and ecologies massively</w:t>
            </w:r>
            <w:r>
              <w:rPr>
                <w:sz w:val="18"/>
                <w:szCs w:val="18"/>
              </w:rPr>
              <w:t xml:space="preserve"> and led to the loss of considerable indigenous knowledge on ecological management. </w:t>
            </w:r>
            <w:r w:rsidRPr="00D54991">
              <w:rPr>
                <w:sz w:val="18"/>
                <w:szCs w:val="18"/>
              </w:rPr>
              <w:t xml:space="preserve"> </w:t>
            </w:r>
          </w:p>
          <w:p w14:paraId="017A9546" w14:textId="77777777" w:rsidR="00FD55A5" w:rsidRPr="00DA23C7" w:rsidRDefault="00FD55A5" w:rsidP="00FD55A5">
            <w:pPr>
              <w:numPr>
                <w:ilvl w:val="0"/>
                <w:numId w:val="6"/>
              </w:numPr>
              <w:rPr>
                <w:sz w:val="18"/>
                <w:szCs w:val="18"/>
              </w:rPr>
            </w:pPr>
            <w:r w:rsidRPr="00DA23C7">
              <w:rPr>
                <w:b/>
                <w:bCs/>
                <w:sz w:val="18"/>
                <w:szCs w:val="18"/>
              </w:rPr>
              <w:t>Political-institutional</w:t>
            </w:r>
            <w:r w:rsidRPr="00DA23C7">
              <w:rPr>
                <w:sz w:val="18"/>
                <w:szCs w:val="18"/>
              </w:rPr>
              <w:t>: policies and investments largely fail to recognise the value of ecosystem services and fail to cost environmental externalities</w:t>
            </w:r>
            <w:r>
              <w:rPr>
                <w:sz w:val="18"/>
                <w:szCs w:val="18"/>
              </w:rPr>
              <w:t>; vested interests who benefit from these ‘free services’ resist costing them into their business models; disconnected legislative and institutional systems across different levels.</w:t>
            </w:r>
          </w:p>
          <w:p w14:paraId="56BD4BD6" w14:textId="77777777" w:rsidR="00FD55A5" w:rsidRDefault="00FD55A5" w:rsidP="007F346F">
            <w:pPr>
              <w:rPr>
                <w:sz w:val="18"/>
                <w:szCs w:val="18"/>
              </w:rPr>
            </w:pPr>
          </w:p>
          <w:p w14:paraId="37133B15" w14:textId="77777777" w:rsidR="00FD55A5" w:rsidRDefault="00FD55A5" w:rsidP="007F346F">
            <w:pPr>
              <w:rPr>
                <w:sz w:val="18"/>
                <w:szCs w:val="18"/>
              </w:rPr>
            </w:pPr>
            <w:r>
              <w:rPr>
                <w:b/>
                <w:bCs/>
                <w:sz w:val="18"/>
                <w:szCs w:val="18"/>
              </w:rPr>
              <w:t>Positive Signs and Seeds of Change</w:t>
            </w:r>
          </w:p>
          <w:p w14:paraId="77CE77D5" w14:textId="77777777" w:rsidR="00FD55A5" w:rsidRDefault="00FD55A5" w:rsidP="00FD55A5">
            <w:pPr>
              <w:pStyle w:val="ListParagraph"/>
              <w:numPr>
                <w:ilvl w:val="0"/>
                <w:numId w:val="6"/>
              </w:numPr>
              <w:rPr>
                <w:sz w:val="18"/>
                <w:szCs w:val="18"/>
                <w:lang w:val="en-AU"/>
              </w:rPr>
            </w:pPr>
            <w:r>
              <w:rPr>
                <w:sz w:val="18"/>
                <w:szCs w:val="18"/>
                <w:lang w:val="en-AU"/>
              </w:rPr>
              <w:t xml:space="preserve">The recent national State of the Environment Report 2021 explores the links between human wellbeing and the environment and is increasingly aligning its analysis with the SDGs, including outcome-based assessments which provide a common framework that can be used by industry and states and territories. </w:t>
            </w:r>
          </w:p>
          <w:p w14:paraId="46D8131A" w14:textId="77777777" w:rsidR="00FD55A5" w:rsidRDefault="00FD55A5" w:rsidP="00FD55A5">
            <w:pPr>
              <w:pStyle w:val="ListParagraph"/>
              <w:numPr>
                <w:ilvl w:val="0"/>
                <w:numId w:val="6"/>
              </w:numPr>
              <w:rPr>
                <w:sz w:val="18"/>
                <w:szCs w:val="18"/>
                <w:lang w:val="en-AU"/>
              </w:rPr>
            </w:pPr>
            <w:r w:rsidRPr="001B60D8">
              <w:rPr>
                <w:sz w:val="18"/>
                <w:szCs w:val="18"/>
                <w:lang w:val="en-AU"/>
              </w:rPr>
              <w:t xml:space="preserve">Australian individuals, communities, nongovernment organisations and businesses are engaging with nature and supporting biodiversity and heritage. Successful on-ground actions include the work of Indigenous rangers, citizen science, and restoration actions at many scales, providing opportunities that deliver benefits for people and Country. </w:t>
            </w:r>
            <w:r>
              <w:rPr>
                <w:sz w:val="18"/>
                <w:szCs w:val="18"/>
                <w:lang w:val="en-AU"/>
              </w:rPr>
              <w:t xml:space="preserve"> Indigenous people are seeking greater participation in Australia’s environmental management system.</w:t>
            </w:r>
          </w:p>
          <w:p w14:paraId="3CB12D29" w14:textId="77777777" w:rsidR="00FD55A5" w:rsidRPr="00126777" w:rsidRDefault="00FD55A5" w:rsidP="00FD55A5">
            <w:pPr>
              <w:pStyle w:val="ListParagraph"/>
              <w:numPr>
                <w:ilvl w:val="0"/>
                <w:numId w:val="6"/>
              </w:numPr>
              <w:rPr>
                <w:sz w:val="18"/>
                <w:szCs w:val="18"/>
                <w:lang w:val="en-AU"/>
              </w:rPr>
            </w:pPr>
            <w:r w:rsidRPr="00A003B9">
              <w:rPr>
                <w:sz w:val="18"/>
                <w:szCs w:val="18"/>
              </w:rPr>
              <w:t xml:space="preserve">Substantial data about the environment are becoming more available. Over the past 6 years, the National Environmental Science Program and the National Collaborative Research Infrastructure Strategy have become important sources of information for state of the environment </w:t>
            </w:r>
            <w:proofErr w:type="gramStart"/>
            <w:r w:rsidRPr="00A003B9">
              <w:rPr>
                <w:sz w:val="18"/>
                <w:szCs w:val="18"/>
              </w:rPr>
              <w:t>reporting, and</w:t>
            </w:r>
            <w:proofErr w:type="gramEnd"/>
            <w:r w:rsidRPr="00A003B9">
              <w:rPr>
                <w:sz w:val="18"/>
                <w:szCs w:val="18"/>
              </w:rPr>
              <w:t xml:space="preserve"> have provided critical funding for research informing policy and on-ground management of the environment.</w:t>
            </w:r>
          </w:p>
          <w:p w14:paraId="741E59AE" w14:textId="77777777" w:rsidR="00FD55A5" w:rsidRPr="00AF35F4" w:rsidRDefault="00FD55A5" w:rsidP="00FD55A5">
            <w:pPr>
              <w:pStyle w:val="ListParagraph"/>
              <w:numPr>
                <w:ilvl w:val="0"/>
                <w:numId w:val="6"/>
              </w:numPr>
              <w:rPr>
                <w:sz w:val="18"/>
                <w:szCs w:val="18"/>
                <w:lang w:val="en-AU"/>
              </w:rPr>
            </w:pPr>
            <w:r>
              <w:rPr>
                <w:sz w:val="18"/>
                <w:szCs w:val="18"/>
              </w:rPr>
              <w:t>Land Use Futures are exploring how Australia can live within limits set by the global planetary boundaries and understand Australia’s contribution to global health.</w:t>
            </w:r>
          </w:p>
          <w:p w14:paraId="4B63559B" w14:textId="77777777" w:rsidR="00FD55A5" w:rsidRPr="00C04470" w:rsidRDefault="00FD55A5" w:rsidP="00FD55A5">
            <w:pPr>
              <w:pStyle w:val="ListParagraph"/>
              <w:numPr>
                <w:ilvl w:val="0"/>
                <w:numId w:val="6"/>
              </w:numPr>
              <w:rPr>
                <w:sz w:val="18"/>
                <w:szCs w:val="18"/>
                <w:lang w:val="en-AU"/>
              </w:rPr>
            </w:pPr>
            <w:r>
              <w:rPr>
                <w:sz w:val="18"/>
                <w:szCs w:val="18"/>
              </w:rPr>
              <w:t xml:space="preserve">Globally, momentum for nature-positive economies is growing, with organisations including the World Economic Forum and the United Nations promoting this as a global goal for nature. </w:t>
            </w:r>
          </w:p>
          <w:p w14:paraId="3CD7FCA4" w14:textId="77777777" w:rsidR="00FD55A5" w:rsidRDefault="00FD55A5" w:rsidP="00FD55A5">
            <w:pPr>
              <w:pStyle w:val="ListParagraph"/>
              <w:numPr>
                <w:ilvl w:val="0"/>
                <w:numId w:val="6"/>
              </w:numPr>
              <w:rPr>
                <w:sz w:val="18"/>
                <w:szCs w:val="18"/>
                <w:lang w:val="en-AU"/>
              </w:rPr>
            </w:pPr>
            <w:r w:rsidRPr="00C04470">
              <w:rPr>
                <w:sz w:val="18"/>
                <w:szCs w:val="18"/>
                <w:lang w:val="en-AU"/>
              </w:rPr>
              <w:t xml:space="preserve">Both regulation and accelerating market demand is </w:t>
            </w:r>
            <w:r>
              <w:rPr>
                <w:sz w:val="18"/>
                <w:szCs w:val="18"/>
                <w:lang w:val="en-AU"/>
              </w:rPr>
              <w:t xml:space="preserve">also </w:t>
            </w:r>
            <w:r w:rsidRPr="00C04470">
              <w:rPr>
                <w:sz w:val="18"/>
                <w:szCs w:val="18"/>
                <w:lang w:val="en-AU"/>
              </w:rPr>
              <w:t>increasing pressure on businesses to act. Corporate and institutional investors are demanding nature-related disclosure and the setting of science-based targets for nature. Regulators are also taking more ambitious steps, building natural capital accounting into land management and market valuation.</w:t>
            </w:r>
          </w:p>
          <w:p w14:paraId="4503F78B" w14:textId="77777777" w:rsidR="00FD55A5" w:rsidRPr="0079553E" w:rsidRDefault="00FD55A5" w:rsidP="00FD55A5">
            <w:pPr>
              <w:pStyle w:val="ListParagraph"/>
              <w:numPr>
                <w:ilvl w:val="0"/>
                <w:numId w:val="6"/>
              </w:numPr>
              <w:rPr>
                <w:sz w:val="18"/>
                <w:szCs w:val="18"/>
                <w:lang w:val="en-AU"/>
              </w:rPr>
            </w:pPr>
            <w:r>
              <w:rPr>
                <w:sz w:val="18"/>
                <w:szCs w:val="18"/>
              </w:rPr>
              <w:t xml:space="preserve">Initiatives such as the National Capital Roadmap are advancing tools and partnerships to put in place systems to make more informed decisions about the environment, with many emerging approaches to measuring and valuing natural capital. </w:t>
            </w:r>
          </w:p>
          <w:p w14:paraId="443C72C7" w14:textId="77777777" w:rsidR="00FD55A5" w:rsidRPr="00C04470" w:rsidRDefault="00FD55A5" w:rsidP="00FD55A5">
            <w:pPr>
              <w:pStyle w:val="ListParagraph"/>
              <w:numPr>
                <w:ilvl w:val="0"/>
                <w:numId w:val="6"/>
              </w:numPr>
              <w:rPr>
                <w:sz w:val="18"/>
                <w:szCs w:val="18"/>
                <w:lang w:val="en-AU"/>
              </w:rPr>
            </w:pPr>
            <w:r w:rsidRPr="003260F1">
              <w:rPr>
                <w:sz w:val="18"/>
                <w:szCs w:val="18"/>
                <w:lang w:val="en-AU"/>
              </w:rPr>
              <w:t xml:space="preserve">Nature-based solutions such as carbon forestry </w:t>
            </w:r>
            <w:r>
              <w:rPr>
                <w:sz w:val="18"/>
                <w:szCs w:val="18"/>
                <w:lang w:val="en-AU"/>
              </w:rPr>
              <w:t xml:space="preserve">provide the opportunity to improve landscapes and address climate change. </w:t>
            </w:r>
            <w:r w:rsidRPr="003260F1">
              <w:rPr>
                <w:sz w:val="18"/>
                <w:szCs w:val="18"/>
                <w:lang w:val="en-AU"/>
              </w:rPr>
              <w:t xml:space="preserve"> </w:t>
            </w:r>
          </w:p>
          <w:p w14:paraId="5E0C099E" w14:textId="77777777" w:rsidR="00FD55A5" w:rsidRDefault="00FD55A5" w:rsidP="007F346F">
            <w:pPr>
              <w:rPr>
                <w:sz w:val="18"/>
                <w:szCs w:val="18"/>
              </w:rPr>
            </w:pPr>
          </w:p>
          <w:p w14:paraId="0ED9DDA0" w14:textId="1751E419" w:rsidR="00FD55A5" w:rsidRPr="001751FC" w:rsidRDefault="00FD55A5" w:rsidP="007F346F">
            <w:pPr>
              <w:rPr>
                <w:b/>
                <w:bCs/>
                <w:sz w:val="18"/>
                <w:szCs w:val="18"/>
              </w:rPr>
            </w:pPr>
            <w:r>
              <w:rPr>
                <w:b/>
                <w:bCs/>
                <w:sz w:val="18"/>
                <w:szCs w:val="18"/>
              </w:rPr>
              <w:t xml:space="preserve">TP6 Storyline, Enabling </w:t>
            </w:r>
            <w:proofErr w:type="gramStart"/>
            <w:r>
              <w:rPr>
                <w:b/>
                <w:bCs/>
                <w:sz w:val="18"/>
                <w:szCs w:val="18"/>
              </w:rPr>
              <w:t>Conditions</w:t>
            </w:r>
            <w:proofErr w:type="gramEnd"/>
            <w:r>
              <w:rPr>
                <w:b/>
                <w:bCs/>
                <w:sz w:val="18"/>
                <w:szCs w:val="18"/>
              </w:rPr>
              <w:t xml:space="preserve"> and Interventions to Build Back Better</w:t>
            </w:r>
            <w:r w:rsidR="000D2A29">
              <w:rPr>
                <w:b/>
                <w:bCs/>
                <w:sz w:val="18"/>
                <w:szCs w:val="18"/>
              </w:rPr>
              <w:t xml:space="preserve"> through a Sustainable Wellbeing Transformation</w:t>
            </w:r>
          </w:p>
          <w:p w14:paraId="5717F3D4" w14:textId="5B782391" w:rsidR="00FD55A5" w:rsidRDefault="00FD55A5" w:rsidP="007F346F">
            <w:pPr>
              <w:rPr>
                <w:sz w:val="18"/>
                <w:szCs w:val="18"/>
              </w:rPr>
            </w:pPr>
            <w:r>
              <w:rPr>
                <w:sz w:val="18"/>
                <w:szCs w:val="18"/>
              </w:rPr>
              <w:lastRenderedPageBreak/>
              <w:t xml:space="preserve">The unfolding biodiversity crisis is exacerbated by recent catastrophic bushfires and floods.  Through the COVID-19 lockdowns, an increasing appreciation for nature emerges in the population as people seek the great outdoors for relaxation and recreation and thousands relocate from major cities </w:t>
            </w:r>
            <w:r w:rsidR="00180E0D">
              <w:rPr>
                <w:sz w:val="18"/>
                <w:szCs w:val="18"/>
              </w:rPr>
              <w:t xml:space="preserve">to regional areas </w:t>
            </w:r>
            <w:r>
              <w:rPr>
                <w:sz w:val="18"/>
                <w:szCs w:val="18"/>
              </w:rPr>
              <w:t xml:space="preserve">in search of a tree change. Building on the experience in the latest State of Environment report where indigenous and non-indigenous people worked side by side to combine knowledge, a more holistic understanding of Australia’s environment is enabled which feeds through to new partnerships to </w:t>
            </w:r>
            <w:proofErr w:type="gramStart"/>
            <w:r>
              <w:rPr>
                <w:sz w:val="18"/>
                <w:szCs w:val="18"/>
              </w:rPr>
              <w:t>more effectively manage Australia’s natural assets</w:t>
            </w:r>
            <w:proofErr w:type="gramEnd"/>
            <w:r>
              <w:rPr>
                <w:sz w:val="18"/>
                <w:szCs w:val="18"/>
              </w:rPr>
              <w:t>. Connections between people and country, between the economy and the environment, and between wester</w:t>
            </w:r>
            <w:r w:rsidR="00180E0D">
              <w:rPr>
                <w:sz w:val="18"/>
                <w:szCs w:val="18"/>
              </w:rPr>
              <w:t>n</w:t>
            </w:r>
            <w:r>
              <w:rPr>
                <w:sz w:val="18"/>
                <w:szCs w:val="18"/>
              </w:rPr>
              <w:t xml:space="preserve"> scientific and indigenous knowledge systems begin to flourish, with stakeholders in government, business, research, and civil society working together to deepen these connections and build a shared vision for a nature-positive society and economy</w:t>
            </w:r>
            <w:r w:rsidR="00D05AFB">
              <w:rPr>
                <w:sz w:val="18"/>
                <w:szCs w:val="18"/>
              </w:rPr>
              <w:t>, guided by s</w:t>
            </w:r>
            <w:r>
              <w:rPr>
                <w:sz w:val="18"/>
                <w:szCs w:val="18"/>
              </w:rPr>
              <w:t>cience-based targets aligned with the SDGs.</w:t>
            </w:r>
          </w:p>
          <w:p w14:paraId="4CF1E867" w14:textId="77777777" w:rsidR="00FD55A5" w:rsidRDefault="00FD55A5" w:rsidP="007F346F">
            <w:pPr>
              <w:rPr>
                <w:sz w:val="18"/>
                <w:szCs w:val="18"/>
              </w:rPr>
            </w:pPr>
          </w:p>
          <w:p w14:paraId="776D8FD5" w14:textId="63A7F14D" w:rsidR="00FD55A5" w:rsidRDefault="00FD55A5" w:rsidP="007F346F">
            <w:pPr>
              <w:rPr>
                <w:sz w:val="18"/>
                <w:szCs w:val="18"/>
              </w:rPr>
            </w:pPr>
            <w:r w:rsidRPr="00895BDE">
              <w:rPr>
                <w:sz w:val="18"/>
                <w:szCs w:val="18"/>
              </w:rPr>
              <w:t>Governments at local, regional, state, territory and national levels</w:t>
            </w:r>
            <w:r>
              <w:rPr>
                <w:sz w:val="18"/>
                <w:szCs w:val="18"/>
              </w:rPr>
              <w:t xml:space="preserve"> align under this national vision </w:t>
            </w:r>
            <w:r w:rsidRPr="00895BDE">
              <w:rPr>
                <w:sz w:val="18"/>
                <w:szCs w:val="18"/>
              </w:rPr>
              <w:t>in collaboration with partners</w:t>
            </w:r>
            <w:r>
              <w:rPr>
                <w:sz w:val="18"/>
                <w:szCs w:val="18"/>
              </w:rPr>
              <w:t>, to improve the coordination of</w:t>
            </w:r>
            <w:r w:rsidRPr="00895BDE">
              <w:rPr>
                <w:sz w:val="18"/>
                <w:szCs w:val="18"/>
              </w:rPr>
              <w:t xml:space="preserve"> policies and programs designed to tackle major threats to both the terrestrial and marine environments. These include management of protected areas, protection of heritage, and measures to protect threatened species and ecological communities, and to promote their longer-term recovery.</w:t>
            </w:r>
            <w:r>
              <w:rPr>
                <w:sz w:val="18"/>
                <w:szCs w:val="18"/>
              </w:rPr>
              <w:t xml:space="preserve"> Australia’s strategies and investments in biodiversity conservation begin to align with the scale of the challenge to turnaround key trends of decline in ecosystems. </w:t>
            </w:r>
            <w:r w:rsidR="00D05AFB">
              <w:rPr>
                <w:sz w:val="18"/>
                <w:szCs w:val="18"/>
              </w:rPr>
              <w:t>Transforming</w:t>
            </w:r>
            <w:r>
              <w:rPr>
                <w:sz w:val="18"/>
                <w:szCs w:val="18"/>
              </w:rPr>
              <w:t xml:space="preserve"> Australia’s economy and society more broadly are central to achieving a nature-positive goal, whereby critical biodiversity targets and indicators show a net-positive outcome. Here, the successful delivery of the other transformation pathways will have a strong influence on transformation of the environmental commons, particularly food systems (</w:t>
            </w:r>
            <w:r w:rsidRPr="00323411">
              <w:rPr>
                <w:b/>
                <w:bCs/>
                <w:sz w:val="18"/>
                <w:szCs w:val="18"/>
              </w:rPr>
              <w:t>TP3</w:t>
            </w:r>
            <w:r>
              <w:rPr>
                <w:sz w:val="18"/>
                <w:szCs w:val="18"/>
              </w:rPr>
              <w:t>), dominant patterns of production and consumption (</w:t>
            </w:r>
            <w:r w:rsidRPr="00323411">
              <w:rPr>
                <w:b/>
                <w:bCs/>
                <w:sz w:val="18"/>
                <w:szCs w:val="18"/>
              </w:rPr>
              <w:t>TP2</w:t>
            </w:r>
            <w:r>
              <w:rPr>
                <w:sz w:val="18"/>
                <w:szCs w:val="18"/>
              </w:rPr>
              <w:t>), energy decarbonisation (</w:t>
            </w:r>
            <w:r w:rsidRPr="00323411">
              <w:rPr>
                <w:b/>
                <w:bCs/>
                <w:sz w:val="18"/>
                <w:szCs w:val="18"/>
              </w:rPr>
              <w:t>TP4</w:t>
            </w:r>
            <w:r>
              <w:rPr>
                <w:sz w:val="18"/>
                <w:szCs w:val="18"/>
              </w:rPr>
              <w:t>), and urban systems (</w:t>
            </w:r>
            <w:r w:rsidRPr="00015A7A">
              <w:rPr>
                <w:b/>
                <w:bCs/>
                <w:sz w:val="18"/>
                <w:szCs w:val="18"/>
              </w:rPr>
              <w:t>TP5</w:t>
            </w:r>
            <w:r>
              <w:rPr>
                <w:sz w:val="18"/>
                <w:szCs w:val="18"/>
              </w:rPr>
              <w:t xml:space="preserve">). </w:t>
            </w:r>
          </w:p>
          <w:p w14:paraId="4133C51B" w14:textId="77777777" w:rsidR="00FD55A5" w:rsidRDefault="00FD55A5" w:rsidP="007F346F">
            <w:pPr>
              <w:rPr>
                <w:sz w:val="18"/>
                <w:szCs w:val="18"/>
              </w:rPr>
            </w:pPr>
          </w:p>
          <w:p w14:paraId="578B8DE8" w14:textId="4E100FDE" w:rsidR="00FD55A5" w:rsidRPr="0084089A" w:rsidRDefault="00FD55A5" w:rsidP="00AF6556">
            <w:pPr>
              <w:rPr>
                <w:sz w:val="18"/>
                <w:szCs w:val="18"/>
              </w:rPr>
            </w:pPr>
            <w:r>
              <w:rPr>
                <w:sz w:val="18"/>
                <w:szCs w:val="18"/>
              </w:rPr>
              <w:t>In line with this narrative, specific quantitative interventions (</w:t>
            </w:r>
            <w:r w:rsidRPr="006D6836">
              <w:rPr>
                <w:b/>
                <w:bCs/>
                <w:sz w:val="18"/>
                <w:szCs w:val="18"/>
              </w:rPr>
              <w:t xml:space="preserve">Supplementary Table </w:t>
            </w:r>
            <w:r w:rsidR="00AF6556">
              <w:rPr>
                <w:b/>
                <w:bCs/>
                <w:sz w:val="18"/>
                <w:szCs w:val="18"/>
              </w:rPr>
              <w:t>2</w:t>
            </w:r>
            <w:r>
              <w:rPr>
                <w:sz w:val="18"/>
                <w:szCs w:val="18"/>
              </w:rPr>
              <w:t xml:space="preserve">) to support this transformation include investment in reforestation, additional terrestrial protected area expenditure, and additional marine park expenditure. </w:t>
            </w:r>
          </w:p>
        </w:tc>
        <w:tc>
          <w:tcPr>
            <w:tcW w:w="1762" w:type="dxa"/>
          </w:tcPr>
          <w:p w14:paraId="1FCFE19D" w14:textId="77777777" w:rsidR="00FD55A5" w:rsidRPr="0084089A" w:rsidRDefault="00FD55A5" w:rsidP="007F346F">
            <w:pPr>
              <w:rPr>
                <w:sz w:val="18"/>
                <w:szCs w:val="18"/>
              </w:rPr>
            </w:pPr>
            <w:r>
              <w:rPr>
                <w:sz w:val="18"/>
                <w:szCs w:val="18"/>
              </w:rPr>
              <w:lastRenderedPageBreak/>
              <w:fldChar w:fldCharType="begin">
                <w:fldData xml:space="preserve">PEVuZE5vdGU+PENpdGU+PEF1dGhvcj5BdXN0cmFsaWFuIEdvdmVybm1lbnQ8L0F1dGhvcj48WWVh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</w:fldData>
              </w:fldChar>
            </w:r>
            <w:r>
              <w:rPr>
                <w:sz w:val="18"/>
                <w:szCs w:val="18"/>
              </w:rPr>
              <w:instrText xml:space="preserve"> ADDIN EN.CITE </w:instrText>
            </w:r>
            <w:r>
              <w:rPr>
                <w:sz w:val="18"/>
                <w:szCs w:val="18"/>
              </w:rPr>
              <w:fldChar w:fldCharType="begin">
                <w:fldData xml:space="preserve">PEVuZE5vdGU+PENpdGU+PEF1dGhvcj5BdXN0cmFsaWFuIEdvdmVybm1lbnQ8L0F1dGhvcj48WWVh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</w:fldData>
              </w:fldChar>
            </w:r>
            <w:r>
              <w:rPr>
                <w:sz w:val="18"/>
                <w:szCs w:val="18"/>
              </w:rPr>
              <w:instrText xml:space="preserve"> ADDIN EN.CITE.DATA </w:instrText>
            </w:r>
            <w:r>
              <w:rPr>
                <w:sz w:val="18"/>
                <w:szCs w:val="18"/>
              </w:rPr>
            </w:r>
            <w:r>
              <w:rPr>
                <w:sz w:val="18"/>
                <w:szCs w:val="18"/>
              </w:rPr>
              <w:fldChar w:fldCharType="end"/>
            </w:r>
            <w:r>
              <w:rPr>
                <w:sz w:val="18"/>
                <w:szCs w:val="18"/>
              </w:rPr>
            </w:r>
            <w:r>
              <w:rPr>
                <w:sz w:val="18"/>
                <w:szCs w:val="18"/>
              </w:rPr>
              <w:fldChar w:fldCharType="separate"/>
            </w:r>
            <w:r>
              <w:rPr>
                <w:noProof/>
                <w:sz w:val="18"/>
                <w:szCs w:val="18"/>
              </w:rPr>
              <w:t>(Australian Government, 2021, Commonwealth of Australia, 2019, Coffey et al., 2022, ClimateWorks Centre, 2022, ClimateWorks Australia, 2020, ClimateWorks, 2019)</w:t>
            </w:r>
            <w:r>
              <w:rPr>
                <w:sz w:val="18"/>
                <w:szCs w:val="18"/>
              </w:rPr>
              <w:fldChar w:fldCharType="end"/>
            </w:r>
          </w:p>
        </w:tc>
      </w:tr>
    </w:tbl>
    <w:p w14:paraId="215175E3" w14:textId="77777777" w:rsidR="00D05AFB" w:rsidRDefault="00D05AFB" w:rsidP="0041397F">
      <w:pPr>
        <w:pStyle w:val="Heading2"/>
        <w:rPr>
          <w:lang w:val="en-AU"/>
        </w:rPr>
      </w:pPr>
    </w:p>
    <w:p w14:paraId="01BA8673" w14:textId="77777777" w:rsidR="00D05AFB" w:rsidRDefault="00D05AFB" w:rsidP="0041397F">
      <w:pPr>
        <w:pStyle w:val="Heading2"/>
        <w:rPr>
          <w:lang w:val="en-AU"/>
        </w:rPr>
      </w:pPr>
    </w:p>
    <w:p w14:paraId="72CB8186" w14:textId="77777777" w:rsidR="00D05AFB" w:rsidRDefault="00D05AFB" w:rsidP="0041397F">
      <w:pPr>
        <w:pStyle w:val="Heading2"/>
        <w:rPr>
          <w:lang w:val="en-AU"/>
        </w:rPr>
      </w:pPr>
    </w:p>
    <w:p w14:paraId="7C5E91CC" w14:textId="77777777" w:rsidR="00D05AFB" w:rsidRDefault="00D05AFB" w:rsidP="0041397F">
      <w:pPr>
        <w:pStyle w:val="Heading2"/>
        <w:rPr>
          <w:lang w:val="en-AU"/>
        </w:rPr>
      </w:pPr>
    </w:p>
    <w:p w14:paraId="15702E0F" w14:textId="77777777" w:rsidR="00D05AFB" w:rsidRDefault="00D05AFB" w:rsidP="0041397F">
      <w:pPr>
        <w:pStyle w:val="Heading2"/>
        <w:rPr>
          <w:lang w:val="en-AU"/>
        </w:rPr>
      </w:pPr>
    </w:p>
    <w:p w14:paraId="23885BC2" w14:textId="77777777" w:rsidR="00D05AFB" w:rsidRDefault="00D05AFB" w:rsidP="0041397F">
      <w:pPr>
        <w:pStyle w:val="Heading2"/>
        <w:rPr>
          <w:lang w:val="en-AU"/>
        </w:rPr>
      </w:pPr>
    </w:p>
    <w:p w14:paraId="2716158F" w14:textId="77777777" w:rsidR="00D05AFB" w:rsidRDefault="00D05AFB" w:rsidP="0041397F">
      <w:pPr>
        <w:pStyle w:val="Heading2"/>
        <w:rPr>
          <w:lang w:val="en-AU"/>
        </w:rPr>
      </w:pPr>
    </w:p>
    <w:p w14:paraId="06C92227" w14:textId="4134F133" w:rsidR="0041397F" w:rsidRPr="00DB31BE" w:rsidRDefault="0041397F" w:rsidP="0041397F">
      <w:pPr>
        <w:pStyle w:val="Heading2"/>
        <w:rPr>
          <w:lang w:val="en-AU"/>
        </w:rPr>
      </w:pPr>
      <w:bookmarkStart w:id="10" w:name="_Toc123651720"/>
      <w:r>
        <w:rPr>
          <w:lang w:val="en-AU"/>
        </w:rPr>
        <w:lastRenderedPageBreak/>
        <w:t xml:space="preserve">Supplementary Table 4. </w:t>
      </w:r>
      <w:r w:rsidR="00F03E4A">
        <w:rPr>
          <w:lang w:val="en-AU"/>
        </w:rPr>
        <w:t xml:space="preserve">Evaluation framework of </w:t>
      </w:r>
      <w:r>
        <w:rPr>
          <w:lang w:val="en-AU"/>
        </w:rPr>
        <w:t>SDG Targets</w:t>
      </w:r>
      <w:r w:rsidR="00F03E4A">
        <w:rPr>
          <w:lang w:val="en-AU"/>
        </w:rPr>
        <w:t xml:space="preserve"> and Indicators</w:t>
      </w:r>
      <w:r>
        <w:rPr>
          <w:lang w:val="en-AU"/>
        </w:rPr>
        <w:t xml:space="preserve"> </w:t>
      </w:r>
      <w:r w:rsidR="00F03E4A">
        <w:rPr>
          <w:lang w:val="en-AU"/>
        </w:rPr>
        <w:t>(2030)</w:t>
      </w:r>
      <w:r>
        <w:rPr>
          <w:lang w:val="en-AU"/>
        </w:rPr>
        <w:t xml:space="preserve"> and Transformation Targets (</w:t>
      </w:r>
      <w:r w:rsidR="00F03E4A">
        <w:rPr>
          <w:lang w:val="en-AU"/>
        </w:rPr>
        <w:t>2050)</w:t>
      </w:r>
      <w:bookmarkEnd w:id="10"/>
      <w:r>
        <w:rPr>
          <w:lang w:val="en-AU"/>
        </w:rPr>
        <w:t xml:space="preserve"> </w:t>
      </w:r>
    </w:p>
    <w:tbl>
      <w:tblPr>
        <w:tblW w:w="15452" w:type="dxa"/>
        <w:tblInd w:w="-851" w:type="dxa"/>
        <w:tblBorders>
          <w:top w:val="single" w:sz="4" w:space="0" w:color="auto"/>
          <w:bottom w:val="single" w:sz="4" w:space="0" w:color="auto"/>
          <w:insideH w:val="single" w:sz="4" w:space="0" w:color="auto"/>
        </w:tblBorders>
        <w:shd w:val="clear" w:color="auto" w:fill="FFFFFF" w:themeFill="background1"/>
        <w:tblLayout w:type="fixed"/>
        <w:tblCellMar>
          <w:left w:w="70" w:type="dxa"/>
          <w:right w:w="70" w:type="dxa"/>
        </w:tblCellMar>
        <w:tblLook w:val="04A0" w:firstRow="1" w:lastRow="0" w:firstColumn="1" w:lastColumn="0" w:noHBand="0" w:noVBand="1"/>
      </w:tblPr>
      <w:tblGrid>
        <w:gridCol w:w="510"/>
        <w:gridCol w:w="4195"/>
        <w:gridCol w:w="427"/>
        <w:gridCol w:w="992"/>
        <w:gridCol w:w="2977"/>
        <w:gridCol w:w="1276"/>
        <w:gridCol w:w="1134"/>
        <w:gridCol w:w="1389"/>
        <w:gridCol w:w="2552"/>
      </w:tblGrid>
      <w:tr w:rsidR="003F50A4" w:rsidRPr="00FF510F" w14:paraId="422982D3" w14:textId="77777777" w:rsidTr="003F50A4">
        <w:trPr>
          <w:cantSplit/>
          <w:trHeight w:val="300"/>
          <w:tblHeader/>
        </w:trPr>
        <w:tc>
          <w:tcPr>
            <w:tcW w:w="510" w:type="dxa"/>
            <w:shd w:val="clear" w:color="auto" w:fill="D9D9D9" w:themeFill="background1" w:themeFillShade="D9"/>
          </w:tcPr>
          <w:p w14:paraId="1DFF1677" w14:textId="77777777" w:rsidR="003F50A4" w:rsidRPr="00FF510F" w:rsidRDefault="003F50A4" w:rsidP="007F346F">
            <w:pPr>
              <w:spacing w:after="0"/>
              <w:rPr>
                <w:rFonts w:ascii="Corbel" w:hAnsi="Corbel" w:cstheme="minorHAnsi"/>
                <w:b/>
                <w:bCs/>
                <w:sz w:val="16"/>
                <w:szCs w:val="16"/>
                <w:lang w:val="en-US"/>
              </w:rPr>
            </w:pPr>
            <w:r w:rsidRPr="00FF510F">
              <w:rPr>
                <w:rFonts w:ascii="Corbel" w:hAnsi="Corbel" w:cstheme="minorHAnsi"/>
                <w:b/>
                <w:bCs/>
                <w:sz w:val="16"/>
                <w:szCs w:val="16"/>
                <w:lang w:val="en-US"/>
              </w:rPr>
              <w:t>Goal</w:t>
            </w:r>
          </w:p>
        </w:tc>
        <w:tc>
          <w:tcPr>
            <w:tcW w:w="4195" w:type="dxa"/>
            <w:tcBorders>
              <w:right w:val="single" w:sz="4" w:space="0" w:color="auto"/>
            </w:tcBorders>
            <w:shd w:val="clear" w:color="auto" w:fill="D9D9D9" w:themeFill="background1" w:themeFillShade="D9"/>
          </w:tcPr>
          <w:p w14:paraId="5E0D8A73" w14:textId="77777777" w:rsidR="003F50A4" w:rsidRPr="00FF510F" w:rsidRDefault="003F50A4" w:rsidP="007F346F">
            <w:pPr>
              <w:spacing w:after="0"/>
              <w:rPr>
                <w:rFonts w:ascii="Corbel" w:hAnsi="Corbel" w:cstheme="minorHAnsi"/>
                <w:b/>
                <w:bCs/>
                <w:sz w:val="16"/>
                <w:szCs w:val="16"/>
                <w:lang w:val="en-US"/>
              </w:rPr>
            </w:pPr>
            <w:r w:rsidRPr="00FF510F">
              <w:rPr>
                <w:rFonts w:ascii="Corbel" w:hAnsi="Corbel" w:cstheme="minorHAnsi"/>
                <w:b/>
                <w:bCs/>
                <w:sz w:val="16"/>
                <w:szCs w:val="16"/>
                <w:lang w:val="en-US"/>
              </w:rPr>
              <w:t>Target (52)</w:t>
            </w:r>
          </w:p>
        </w:tc>
        <w:tc>
          <w:tcPr>
            <w:tcW w:w="427" w:type="dxa"/>
            <w:tcBorders>
              <w:left w:val="single" w:sz="4" w:space="0" w:color="auto"/>
              <w:right w:val="single" w:sz="4" w:space="0" w:color="auto"/>
            </w:tcBorders>
            <w:shd w:val="clear" w:color="auto" w:fill="D9D9D9" w:themeFill="background1" w:themeFillShade="D9"/>
          </w:tcPr>
          <w:p w14:paraId="3EB2A085" w14:textId="0B530597" w:rsidR="003F50A4" w:rsidRPr="00FF510F" w:rsidRDefault="003F50A4" w:rsidP="007F346F">
            <w:pPr>
              <w:spacing w:after="0"/>
              <w:rPr>
                <w:rFonts w:ascii="Corbel" w:hAnsi="Corbel" w:cstheme="minorHAnsi"/>
                <w:b/>
                <w:bCs/>
                <w:sz w:val="16"/>
                <w:szCs w:val="16"/>
                <w:lang w:val="en-US"/>
              </w:rPr>
            </w:pPr>
            <w:r w:rsidRPr="00FF510F">
              <w:rPr>
                <w:rFonts w:ascii="Corbel" w:hAnsi="Corbel" w:cstheme="minorHAnsi"/>
                <w:b/>
                <w:bCs/>
                <w:sz w:val="16"/>
                <w:szCs w:val="16"/>
                <w:lang w:val="en-US"/>
              </w:rPr>
              <w:t>TP</w:t>
            </w:r>
            <w:r w:rsidR="00157A99">
              <w:rPr>
                <w:rFonts w:ascii="Corbel" w:hAnsi="Corbel" w:cstheme="minorHAnsi"/>
                <w:b/>
                <w:bCs/>
                <w:sz w:val="16"/>
                <w:szCs w:val="16"/>
                <w:lang w:val="en-US"/>
              </w:rPr>
              <w:t xml:space="preserve"> (67)</w:t>
            </w:r>
          </w:p>
        </w:tc>
        <w:tc>
          <w:tcPr>
            <w:tcW w:w="992" w:type="dxa"/>
            <w:tcBorders>
              <w:left w:val="single" w:sz="4" w:space="0" w:color="auto"/>
            </w:tcBorders>
            <w:shd w:val="clear" w:color="auto" w:fill="D9D9D9" w:themeFill="background1" w:themeFillShade="D9"/>
            <w:noWrap/>
            <w:hideMark/>
          </w:tcPr>
          <w:p w14:paraId="65C4EF46" w14:textId="40ABECA1" w:rsidR="003F50A4" w:rsidRPr="00FF510F" w:rsidRDefault="003F50A4" w:rsidP="007F346F">
            <w:pPr>
              <w:spacing w:after="0"/>
              <w:rPr>
                <w:rFonts w:ascii="Corbel" w:hAnsi="Corbel" w:cstheme="minorHAnsi"/>
                <w:b/>
                <w:bCs/>
                <w:sz w:val="16"/>
                <w:szCs w:val="16"/>
                <w:lang w:val="en-US"/>
              </w:rPr>
            </w:pPr>
            <w:r w:rsidRPr="00FF510F">
              <w:rPr>
                <w:rFonts w:ascii="Corbel" w:hAnsi="Corbel" w:cstheme="minorHAnsi"/>
                <w:b/>
                <w:bCs/>
                <w:sz w:val="16"/>
                <w:szCs w:val="16"/>
                <w:lang w:val="en-US"/>
              </w:rPr>
              <w:t>Indicators</w:t>
            </w:r>
            <w:r w:rsidR="00157A99">
              <w:rPr>
                <w:rFonts w:ascii="Corbel" w:hAnsi="Corbel" w:cstheme="minorHAnsi"/>
                <w:b/>
                <w:bCs/>
                <w:sz w:val="16"/>
                <w:szCs w:val="16"/>
                <w:lang w:val="en-US"/>
              </w:rPr>
              <w:t xml:space="preserve"> (80)</w:t>
            </w:r>
          </w:p>
        </w:tc>
        <w:tc>
          <w:tcPr>
            <w:tcW w:w="2977" w:type="dxa"/>
            <w:tcBorders>
              <w:right w:val="single" w:sz="4" w:space="0" w:color="auto"/>
            </w:tcBorders>
            <w:shd w:val="clear" w:color="auto" w:fill="D9D9D9" w:themeFill="background1" w:themeFillShade="D9"/>
            <w:noWrap/>
            <w:hideMark/>
          </w:tcPr>
          <w:p w14:paraId="4F1C2BEB" w14:textId="77777777" w:rsidR="003F50A4" w:rsidRPr="00FF510F" w:rsidRDefault="003F50A4" w:rsidP="007F346F">
            <w:pPr>
              <w:spacing w:after="0"/>
              <w:rPr>
                <w:rFonts w:ascii="Corbel" w:hAnsi="Corbel" w:cstheme="minorHAnsi"/>
                <w:b/>
                <w:bCs/>
                <w:sz w:val="16"/>
                <w:szCs w:val="16"/>
                <w:lang w:val="en-US"/>
              </w:rPr>
            </w:pPr>
            <w:r w:rsidRPr="00FF510F">
              <w:rPr>
                <w:rFonts w:ascii="Corbel" w:hAnsi="Corbel" w:cstheme="minorHAnsi"/>
                <w:b/>
                <w:bCs/>
                <w:sz w:val="16"/>
                <w:szCs w:val="16"/>
                <w:lang w:val="en-US"/>
              </w:rPr>
              <w:t xml:space="preserve">Indicator in </w:t>
            </w:r>
            <w:proofErr w:type="spellStart"/>
            <w:r w:rsidRPr="00FF510F">
              <w:rPr>
                <w:rFonts w:ascii="Corbel" w:hAnsi="Corbel" w:cstheme="minorHAnsi"/>
                <w:b/>
                <w:bCs/>
                <w:i/>
                <w:sz w:val="16"/>
                <w:szCs w:val="16"/>
                <w:lang w:val="en-US"/>
              </w:rPr>
              <w:t>iSDG</w:t>
            </w:r>
            <w:proofErr w:type="spellEnd"/>
            <w:r w:rsidRPr="00FF510F">
              <w:rPr>
                <w:rFonts w:ascii="Corbel" w:hAnsi="Corbel" w:cstheme="minorHAnsi"/>
                <w:b/>
                <w:bCs/>
                <w:i/>
                <w:sz w:val="16"/>
                <w:szCs w:val="16"/>
                <w:lang w:val="en-US"/>
              </w:rPr>
              <w:t>-Australia</w:t>
            </w:r>
            <w:r w:rsidRPr="00FF510F">
              <w:rPr>
                <w:rFonts w:ascii="Corbel" w:hAnsi="Corbel" w:cstheme="minorHAnsi"/>
                <w:b/>
                <w:bCs/>
                <w:sz w:val="16"/>
                <w:szCs w:val="16"/>
                <w:lang w:val="en-US"/>
              </w:rPr>
              <w:t xml:space="preserve"> (80)</w:t>
            </w:r>
          </w:p>
        </w:tc>
        <w:tc>
          <w:tcPr>
            <w:tcW w:w="1276" w:type="dxa"/>
            <w:tcBorders>
              <w:left w:val="single" w:sz="4" w:space="0" w:color="auto"/>
            </w:tcBorders>
            <w:shd w:val="clear" w:color="auto" w:fill="D9D9D9" w:themeFill="background1" w:themeFillShade="D9"/>
          </w:tcPr>
          <w:p w14:paraId="06CDA7E6" w14:textId="77777777" w:rsidR="003F50A4" w:rsidRPr="00FF510F" w:rsidRDefault="003F50A4" w:rsidP="007F346F">
            <w:pPr>
              <w:spacing w:after="0"/>
              <w:rPr>
                <w:rFonts w:ascii="Corbel" w:hAnsi="Corbel" w:cstheme="minorHAnsi"/>
                <w:b/>
                <w:bCs/>
                <w:sz w:val="16"/>
                <w:szCs w:val="16"/>
                <w:lang w:val="en-US"/>
              </w:rPr>
            </w:pPr>
            <w:r w:rsidRPr="00FF510F">
              <w:rPr>
                <w:rFonts w:ascii="Corbel" w:hAnsi="Corbel" w:cstheme="minorHAnsi"/>
                <w:b/>
                <w:bCs/>
                <w:sz w:val="16"/>
                <w:szCs w:val="16"/>
                <w:lang w:val="en-US"/>
              </w:rPr>
              <w:t>Baseline Value (~2015)</w:t>
            </w:r>
          </w:p>
        </w:tc>
        <w:tc>
          <w:tcPr>
            <w:tcW w:w="1134" w:type="dxa"/>
            <w:shd w:val="clear" w:color="auto" w:fill="D9D9D9" w:themeFill="background1" w:themeFillShade="D9"/>
            <w:noWrap/>
            <w:hideMark/>
          </w:tcPr>
          <w:p w14:paraId="1AAEC7A6" w14:textId="77777777" w:rsidR="003F50A4" w:rsidRPr="00FF510F" w:rsidRDefault="003F50A4" w:rsidP="007F346F">
            <w:pPr>
              <w:spacing w:after="0"/>
              <w:rPr>
                <w:rFonts w:ascii="Corbel" w:hAnsi="Corbel" w:cstheme="minorHAnsi"/>
                <w:b/>
                <w:bCs/>
                <w:sz w:val="16"/>
                <w:szCs w:val="16"/>
                <w:lang w:val="en-US"/>
              </w:rPr>
            </w:pPr>
            <w:r w:rsidRPr="00FF510F">
              <w:rPr>
                <w:rFonts w:ascii="Corbel" w:hAnsi="Corbel" w:cstheme="minorHAnsi"/>
                <w:b/>
                <w:bCs/>
                <w:sz w:val="16"/>
                <w:szCs w:val="16"/>
                <w:lang w:val="en-US"/>
              </w:rPr>
              <w:t>Target value 2030</w:t>
            </w:r>
          </w:p>
        </w:tc>
        <w:tc>
          <w:tcPr>
            <w:tcW w:w="1389" w:type="dxa"/>
            <w:shd w:val="clear" w:color="auto" w:fill="D9D9D9" w:themeFill="background1" w:themeFillShade="D9"/>
          </w:tcPr>
          <w:p w14:paraId="3E2DDB69" w14:textId="77777777" w:rsidR="003F50A4" w:rsidRPr="00FF510F" w:rsidRDefault="003F50A4" w:rsidP="007F346F">
            <w:pPr>
              <w:spacing w:after="0"/>
              <w:rPr>
                <w:rFonts w:ascii="Corbel" w:hAnsi="Corbel" w:cstheme="minorHAnsi"/>
                <w:b/>
                <w:bCs/>
                <w:sz w:val="16"/>
                <w:szCs w:val="16"/>
                <w:lang w:val="en-US"/>
              </w:rPr>
            </w:pPr>
            <w:r w:rsidRPr="00FF510F">
              <w:rPr>
                <w:rFonts w:ascii="Corbel" w:hAnsi="Corbel" w:cstheme="minorHAnsi"/>
                <w:b/>
                <w:bCs/>
                <w:sz w:val="16"/>
                <w:szCs w:val="16"/>
                <w:lang w:val="en-US"/>
              </w:rPr>
              <w:t>Target value 2050</w:t>
            </w:r>
          </w:p>
        </w:tc>
        <w:tc>
          <w:tcPr>
            <w:tcW w:w="2552" w:type="dxa"/>
            <w:shd w:val="clear" w:color="auto" w:fill="D9D9D9" w:themeFill="background1" w:themeFillShade="D9"/>
          </w:tcPr>
          <w:p w14:paraId="00471627" w14:textId="77777777" w:rsidR="003F50A4" w:rsidRPr="00FF510F" w:rsidRDefault="003F50A4" w:rsidP="007F346F">
            <w:pPr>
              <w:spacing w:after="0"/>
              <w:rPr>
                <w:rFonts w:ascii="Corbel" w:hAnsi="Corbel" w:cstheme="minorHAnsi"/>
                <w:b/>
                <w:bCs/>
                <w:sz w:val="16"/>
                <w:szCs w:val="16"/>
                <w:lang w:val="en-US"/>
              </w:rPr>
            </w:pPr>
            <w:r w:rsidRPr="00FF510F">
              <w:rPr>
                <w:rFonts w:ascii="Corbel" w:hAnsi="Corbel" w:cstheme="minorHAnsi"/>
                <w:b/>
                <w:bCs/>
                <w:sz w:val="16"/>
                <w:szCs w:val="16"/>
                <w:lang w:val="en-US"/>
              </w:rPr>
              <w:t>Target source</w:t>
            </w:r>
          </w:p>
        </w:tc>
      </w:tr>
      <w:tr w:rsidR="003F50A4" w:rsidRPr="00FF510F" w14:paraId="60E95A9B" w14:textId="77777777" w:rsidTr="003F50A4">
        <w:trPr>
          <w:trHeight w:val="300"/>
        </w:trPr>
        <w:tc>
          <w:tcPr>
            <w:tcW w:w="510" w:type="dxa"/>
            <w:shd w:val="clear" w:color="auto" w:fill="FFFFFF" w:themeFill="background1"/>
          </w:tcPr>
          <w:p w14:paraId="4D8CBC6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4195" w:type="dxa"/>
            <w:tcBorders>
              <w:right w:val="single" w:sz="4" w:space="0" w:color="auto"/>
            </w:tcBorders>
            <w:shd w:val="clear" w:color="auto" w:fill="auto"/>
          </w:tcPr>
          <w:p w14:paraId="2B23DAC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1.2 By 2030, reduce at least by half the proportion of men, women and children of all ages living in poverty in all its dimensions according to national definitions</w:t>
            </w:r>
          </w:p>
        </w:tc>
        <w:tc>
          <w:tcPr>
            <w:tcW w:w="427" w:type="dxa"/>
            <w:tcBorders>
              <w:left w:val="single" w:sz="4" w:space="0" w:color="auto"/>
              <w:right w:val="single" w:sz="4" w:space="0" w:color="auto"/>
            </w:tcBorders>
            <w:shd w:val="clear" w:color="auto" w:fill="FFFFFF" w:themeFill="background1"/>
          </w:tcPr>
          <w:p w14:paraId="3361EDD6" w14:textId="0CF72B52"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hideMark/>
          </w:tcPr>
          <w:p w14:paraId="4EEDED3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1.2.1</w:t>
            </w:r>
          </w:p>
        </w:tc>
        <w:tc>
          <w:tcPr>
            <w:tcW w:w="2977" w:type="dxa"/>
            <w:tcBorders>
              <w:right w:val="single" w:sz="4" w:space="0" w:color="auto"/>
            </w:tcBorders>
            <w:shd w:val="clear" w:color="auto" w:fill="FFFFFF" w:themeFill="background1"/>
            <w:noWrap/>
            <w:hideMark/>
          </w:tcPr>
          <w:p w14:paraId="18B1C22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Proportion of population below national poverty line (% population)</w:t>
            </w:r>
          </w:p>
        </w:tc>
        <w:tc>
          <w:tcPr>
            <w:tcW w:w="1276" w:type="dxa"/>
            <w:tcBorders>
              <w:left w:val="single" w:sz="4" w:space="0" w:color="auto"/>
            </w:tcBorders>
            <w:shd w:val="clear" w:color="auto" w:fill="FFFFFF" w:themeFill="background1"/>
          </w:tcPr>
          <w:p w14:paraId="767218F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0.12</w:t>
            </w:r>
          </w:p>
        </w:tc>
        <w:tc>
          <w:tcPr>
            <w:tcW w:w="1134" w:type="dxa"/>
            <w:shd w:val="clear" w:color="auto" w:fill="D9D9D9" w:themeFill="background1" w:themeFillShade="D9"/>
            <w:noWrap/>
            <w:hideMark/>
          </w:tcPr>
          <w:p w14:paraId="1234FB4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0.06</w:t>
            </w:r>
          </w:p>
        </w:tc>
        <w:tc>
          <w:tcPr>
            <w:tcW w:w="1389" w:type="dxa"/>
            <w:shd w:val="clear" w:color="auto" w:fill="FFFFFF" w:themeFill="background1"/>
          </w:tcPr>
          <w:p w14:paraId="1597843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0.03</w:t>
            </w:r>
          </w:p>
        </w:tc>
        <w:tc>
          <w:tcPr>
            <w:tcW w:w="2552" w:type="dxa"/>
            <w:shd w:val="clear" w:color="auto" w:fill="FFFFFF" w:themeFill="background1"/>
          </w:tcPr>
          <w:p w14:paraId="70B8142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1.2 is to halve baseline value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by 2030. Target set to halve again by 2050 (-75%)</w:t>
            </w:r>
          </w:p>
        </w:tc>
      </w:tr>
      <w:tr w:rsidR="003F50A4" w:rsidRPr="00FF510F" w14:paraId="28029F86" w14:textId="77777777" w:rsidTr="003F50A4">
        <w:trPr>
          <w:trHeight w:val="300"/>
        </w:trPr>
        <w:tc>
          <w:tcPr>
            <w:tcW w:w="510" w:type="dxa"/>
            <w:shd w:val="clear" w:color="auto" w:fill="FFFFFF" w:themeFill="background1"/>
          </w:tcPr>
          <w:p w14:paraId="7345C8B1"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57312D1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1.5 By 2030, build the resilience of the poor and those in vulnerable situations and reduce their exposure and vulnerability to climate-related extreme events and other economic, </w:t>
            </w:r>
            <w:proofErr w:type="gramStart"/>
            <w:r w:rsidRPr="00FF510F">
              <w:rPr>
                <w:rFonts w:ascii="Corbel" w:hAnsi="Corbel" w:cstheme="minorHAnsi"/>
                <w:sz w:val="16"/>
                <w:szCs w:val="16"/>
                <w:lang w:val="en-US"/>
              </w:rPr>
              <w:t>social</w:t>
            </w:r>
            <w:proofErr w:type="gramEnd"/>
            <w:r w:rsidRPr="00FF510F">
              <w:rPr>
                <w:rFonts w:ascii="Corbel" w:hAnsi="Corbel" w:cstheme="minorHAnsi"/>
                <w:sz w:val="16"/>
                <w:szCs w:val="16"/>
                <w:lang w:val="en-US"/>
              </w:rPr>
              <w:t xml:space="preserve"> and environmental shocks and disasters</w:t>
            </w:r>
          </w:p>
        </w:tc>
        <w:tc>
          <w:tcPr>
            <w:tcW w:w="427" w:type="dxa"/>
            <w:tcBorders>
              <w:left w:val="single" w:sz="4" w:space="0" w:color="auto"/>
              <w:right w:val="single" w:sz="4" w:space="0" w:color="auto"/>
            </w:tcBorders>
            <w:shd w:val="clear" w:color="auto" w:fill="FFFFFF" w:themeFill="background1"/>
          </w:tcPr>
          <w:p w14:paraId="22CC713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992" w:type="dxa"/>
            <w:tcBorders>
              <w:left w:val="single" w:sz="4" w:space="0" w:color="auto"/>
            </w:tcBorders>
            <w:shd w:val="clear" w:color="auto" w:fill="FFFFFF" w:themeFill="background1"/>
            <w:noWrap/>
            <w:hideMark/>
          </w:tcPr>
          <w:p w14:paraId="1820F84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1.5.1a</w:t>
            </w:r>
          </w:p>
        </w:tc>
        <w:tc>
          <w:tcPr>
            <w:tcW w:w="2977" w:type="dxa"/>
            <w:tcBorders>
              <w:right w:val="single" w:sz="4" w:space="0" w:color="auto"/>
            </w:tcBorders>
            <w:shd w:val="clear" w:color="auto" w:fill="FFFFFF" w:themeFill="background1"/>
            <w:noWrap/>
            <w:hideMark/>
          </w:tcPr>
          <w:p w14:paraId="43E1310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Mortality due to disasters five-year average (% population)</w:t>
            </w:r>
          </w:p>
        </w:tc>
        <w:tc>
          <w:tcPr>
            <w:tcW w:w="1276" w:type="dxa"/>
            <w:tcBorders>
              <w:left w:val="single" w:sz="4" w:space="0" w:color="auto"/>
            </w:tcBorders>
            <w:shd w:val="clear" w:color="auto" w:fill="FFFFFF" w:themeFill="background1"/>
          </w:tcPr>
          <w:p w14:paraId="3121C73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0.0000021</w:t>
            </w:r>
          </w:p>
          <w:p w14:paraId="77E41FE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2.1e-6</w:t>
            </w:r>
          </w:p>
        </w:tc>
        <w:tc>
          <w:tcPr>
            <w:tcW w:w="1134" w:type="dxa"/>
            <w:shd w:val="clear" w:color="auto" w:fill="D9D9D9" w:themeFill="background1" w:themeFillShade="D9"/>
            <w:noWrap/>
          </w:tcPr>
          <w:p w14:paraId="05A8F77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1.05e-6</w:t>
            </w:r>
          </w:p>
        </w:tc>
        <w:tc>
          <w:tcPr>
            <w:tcW w:w="1389" w:type="dxa"/>
            <w:shd w:val="clear" w:color="auto" w:fill="FFFFFF" w:themeFill="background1"/>
          </w:tcPr>
          <w:p w14:paraId="3E29CD7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64BC548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Sendai Framework DRR targets for 2030 are to ‘substantially reduce’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&lt;EndNote&gt;&lt;Cite&gt;&lt;Author&gt;United Nations&lt;/Author&gt;&lt;Year&gt;2015&lt;/Year&gt;&lt;RecNum&gt;1060&lt;/RecNum&gt;&lt;DisplayText&gt;(United Nations, 2015)&lt;/DisplayText&gt;&lt;record&gt;&lt;rec-number&gt;1060&lt;/rec-number&gt;&lt;foreign-keys&gt;&lt;key app="EN" db-id="9vsrvaat7fadwtesfsrpw5w5t0x5v500ef25" timestamp="1565158494"&gt;1060&lt;/key&gt;&lt;/foreign-keys&gt;&lt;ref-type name="Generic"&gt;13&lt;/ref-type&gt;&lt;contributors&gt;&lt;authors&gt;&lt;author&gt;United Nations,&lt;/author&gt;&lt;/authors&gt;&lt;/contributors&gt;&lt;titles&gt;&lt;title&gt;Sendai Framework for Disaster Risk Reduction 2015-2030&lt;/title&gt;&lt;/titles&gt;&lt;dates&gt;&lt;year&gt;2015&lt;/year&gt;&lt;/dates&gt;&lt;pub-location&gt;New York&lt;/pub-location&gt;&lt;publisher&gt;United Nations Office for Disaster Risk Reduction&lt;/publisher&gt;&lt;urls&gt;&lt;related-urls&gt;&lt;url&gt;https://www.unisdr.org/we/inform/publications/43291&lt;/url&gt;&lt;/related-urls&gt;&lt;/urls&gt;&lt;/record&gt;&lt;/Cite&gt;&lt;/EndNote&gt;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(United Nations,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target set as 50% improvement on baseline value by 2030.</w:t>
            </w:r>
          </w:p>
        </w:tc>
      </w:tr>
      <w:tr w:rsidR="003F50A4" w:rsidRPr="00FF510F" w14:paraId="6B9331E2" w14:textId="77777777" w:rsidTr="003F50A4">
        <w:trPr>
          <w:trHeight w:val="54"/>
        </w:trPr>
        <w:tc>
          <w:tcPr>
            <w:tcW w:w="510" w:type="dxa"/>
            <w:shd w:val="clear" w:color="auto" w:fill="D9D9D9" w:themeFill="background1" w:themeFillShade="D9"/>
          </w:tcPr>
          <w:p w14:paraId="07AE962C" w14:textId="77777777" w:rsidR="003F50A4" w:rsidRPr="00FF510F" w:rsidRDefault="003F50A4" w:rsidP="007F346F">
            <w:pPr>
              <w:spacing w:after="0"/>
              <w:rPr>
                <w:rFonts w:ascii="Corbel" w:hAnsi="Corbel" w:cstheme="minorHAnsi"/>
                <w:sz w:val="8"/>
                <w:szCs w:val="8"/>
                <w:lang w:val="en-US"/>
              </w:rPr>
            </w:pPr>
          </w:p>
        </w:tc>
        <w:tc>
          <w:tcPr>
            <w:tcW w:w="4195" w:type="dxa"/>
            <w:tcBorders>
              <w:right w:val="single" w:sz="4" w:space="0" w:color="auto"/>
            </w:tcBorders>
            <w:shd w:val="clear" w:color="auto" w:fill="D9D9D9" w:themeFill="background1" w:themeFillShade="D9"/>
          </w:tcPr>
          <w:p w14:paraId="4FC3DC31" w14:textId="77777777" w:rsidR="003F50A4" w:rsidRPr="00FF510F" w:rsidRDefault="003F50A4" w:rsidP="007F346F">
            <w:pPr>
              <w:spacing w:after="0"/>
              <w:rPr>
                <w:rFonts w:ascii="Corbel" w:hAnsi="Corbel" w:cstheme="minorHAnsi"/>
                <w:sz w:val="8"/>
                <w:szCs w:val="8"/>
                <w:lang w:val="en-US"/>
              </w:rPr>
            </w:pPr>
          </w:p>
        </w:tc>
        <w:tc>
          <w:tcPr>
            <w:tcW w:w="427" w:type="dxa"/>
            <w:tcBorders>
              <w:left w:val="single" w:sz="4" w:space="0" w:color="auto"/>
              <w:right w:val="single" w:sz="4" w:space="0" w:color="auto"/>
            </w:tcBorders>
            <w:shd w:val="clear" w:color="auto" w:fill="D9D9D9" w:themeFill="background1" w:themeFillShade="D9"/>
          </w:tcPr>
          <w:p w14:paraId="50174130"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272CAD99"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780C9448"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15A175DC"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6E333B61"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3E79FCDD"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68E6713D" w14:textId="77777777" w:rsidR="003F50A4" w:rsidRPr="00FF510F" w:rsidRDefault="003F50A4" w:rsidP="007F346F">
            <w:pPr>
              <w:spacing w:after="0"/>
              <w:rPr>
                <w:rFonts w:ascii="Corbel" w:hAnsi="Corbel" w:cstheme="minorHAnsi"/>
                <w:sz w:val="8"/>
                <w:szCs w:val="8"/>
                <w:lang w:val="en-US"/>
              </w:rPr>
            </w:pPr>
          </w:p>
        </w:tc>
      </w:tr>
      <w:tr w:rsidR="003F50A4" w:rsidRPr="00FF510F" w14:paraId="575C4AC9" w14:textId="77777777" w:rsidTr="003F50A4">
        <w:trPr>
          <w:trHeight w:val="300"/>
        </w:trPr>
        <w:tc>
          <w:tcPr>
            <w:tcW w:w="510" w:type="dxa"/>
            <w:shd w:val="clear" w:color="auto" w:fill="FFFFFF" w:themeFill="background1"/>
          </w:tcPr>
          <w:p w14:paraId="08EDAD8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4195" w:type="dxa"/>
            <w:tcBorders>
              <w:right w:val="single" w:sz="4" w:space="0" w:color="auto"/>
            </w:tcBorders>
            <w:shd w:val="clear" w:color="auto" w:fill="auto"/>
          </w:tcPr>
          <w:p w14:paraId="2127DD3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2.1 By 2030, end hunger and ensure access by all people, in particular the poor and people in vulnerable situations, including infants, to safe, </w:t>
            </w:r>
            <w:proofErr w:type="gramStart"/>
            <w:r w:rsidRPr="00FF510F">
              <w:rPr>
                <w:rFonts w:ascii="Corbel" w:hAnsi="Corbel" w:cstheme="minorHAnsi"/>
                <w:sz w:val="16"/>
                <w:szCs w:val="16"/>
                <w:lang w:val="en-US"/>
              </w:rPr>
              <w:t>nutritious</w:t>
            </w:r>
            <w:proofErr w:type="gramEnd"/>
            <w:r w:rsidRPr="00FF510F">
              <w:rPr>
                <w:rFonts w:ascii="Corbel" w:hAnsi="Corbel" w:cstheme="minorHAnsi"/>
                <w:sz w:val="16"/>
                <w:szCs w:val="16"/>
                <w:lang w:val="en-US"/>
              </w:rPr>
              <w:t xml:space="preserve"> and sufficient food all year round</w:t>
            </w:r>
          </w:p>
        </w:tc>
        <w:tc>
          <w:tcPr>
            <w:tcW w:w="427" w:type="dxa"/>
            <w:tcBorders>
              <w:left w:val="single" w:sz="4" w:space="0" w:color="auto"/>
              <w:right w:val="single" w:sz="4" w:space="0" w:color="auto"/>
            </w:tcBorders>
            <w:shd w:val="clear" w:color="auto" w:fill="FFFFFF" w:themeFill="background1"/>
          </w:tcPr>
          <w:p w14:paraId="5B28541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w:t>
            </w:r>
          </w:p>
        </w:tc>
        <w:tc>
          <w:tcPr>
            <w:tcW w:w="992" w:type="dxa"/>
            <w:tcBorders>
              <w:left w:val="single" w:sz="4" w:space="0" w:color="auto"/>
            </w:tcBorders>
            <w:shd w:val="clear" w:color="auto" w:fill="FFFFFF" w:themeFill="background1"/>
            <w:noWrap/>
            <w:hideMark/>
          </w:tcPr>
          <w:p w14:paraId="352F18A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2.1.1</w:t>
            </w:r>
          </w:p>
        </w:tc>
        <w:tc>
          <w:tcPr>
            <w:tcW w:w="2977" w:type="dxa"/>
            <w:tcBorders>
              <w:right w:val="single" w:sz="4" w:space="0" w:color="auto"/>
            </w:tcBorders>
            <w:shd w:val="clear" w:color="auto" w:fill="FFFFFF" w:themeFill="background1"/>
            <w:noWrap/>
            <w:hideMark/>
          </w:tcPr>
          <w:p w14:paraId="6AD182C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Prevalence of undernourishment</w:t>
            </w:r>
          </w:p>
        </w:tc>
        <w:tc>
          <w:tcPr>
            <w:tcW w:w="1276" w:type="dxa"/>
            <w:tcBorders>
              <w:left w:val="single" w:sz="4" w:space="0" w:color="auto"/>
            </w:tcBorders>
            <w:shd w:val="clear" w:color="auto" w:fill="FFFFFF" w:themeFill="background1"/>
          </w:tcPr>
          <w:p w14:paraId="0292EA6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0.025</w:t>
            </w:r>
          </w:p>
        </w:tc>
        <w:tc>
          <w:tcPr>
            <w:tcW w:w="1134" w:type="dxa"/>
            <w:shd w:val="clear" w:color="auto" w:fill="D9D9D9" w:themeFill="background1" w:themeFillShade="D9"/>
            <w:noWrap/>
            <w:hideMark/>
          </w:tcPr>
          <w:p w14:paraId="593750A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0.0125</w:t>
            </w:r>
          </w:p>
        </w:tc>
        <w:tc>
          <w:tcPr>
            <w:tcW w:w="1389" w:type="dxa"/>
            <w:shd w:val="clear" w:color="auto" w:fill="FFFFFF" w:themeFill="background1"/>
          </w:tcPr>
          <w:p w14:paraId="3A1DEB5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28DA3CD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2.1 is to ‘end hunger’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target set as 50% improvement on baseline by 2030. </w:t>
            </w:r>
          </w:p>
        </w:tc>
      </w:tr>
      <w:tr w:rsidR="003F50A4" w:rsidRPr="00FF510F" w14:paraId="00EDE237" w14:textId="77777777" w:rsidTr="003F50A4">
        <w:trPr>
          <w:trHeight w:val="300"/>
        </w:trPr>
        <w:tc>
          <w:tcPr>
            <w:tcW w:w="510" w:type="dxa"/>
            <w:shd w:val="clear" w:color="auto" w:fill="FFFFFF" w:themeFill="background1"/>
          </w:tcPr>
          <w:p w14:paraId="0AADDC96"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4AF4189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2.1</w:t>
            </w:r>
          </w:p>
        </w:tc>
        <w:tc>
          <w:tcPr>
            <w:tcW w:w="427" w:type="dxa"/>
            <w:tcBorders>
              <w:left w:val="single" w:sz="4" w:space="0" w:color="auto"/>
              <w:right w:val="single" w:sz="4" w:space="0" w:color="auto"/>
            </w:tcBorders>
            <w:shd w:val="clear" w:color="auto" w:fill="FFFFFF" w:themeFill="background1"/>
          </w:tcPr>
          <w:p w14:paraId="5DBD968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w:t>
            </w:r>
          </w:p>
        </w:tc>
        <w:tc>
          <w:tcPr>
            <w:tcW w:w="992" w:type="dxa"/>
            <w:tcBorders>
              <w:left w:val="single" w:sz="4" w:space="0" w:color="auto"/>
            </w:tcBorders>
            <w:shd w:val="clear" w:color="auto" w:fill="FFFFFF" w:themeFill="background1"/>
            <w:noWrap/>
          </w:tcPr>
          <w:p w14:paraId="4D45D9C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2.1.2.ALT</w:t>
            </w:r>
          </w:p>
        </w:tc>
        <w:tc>
          <w:tcPr>
            <w:tcW w:w="2977" w:type="dxa"/>
            <w:tcBorders>
              <w:right w:val="single" w:sz="4" w:space="0" w:color="auto"/>
            </w:tcBorders>
            <w:shd w:val="clear" w:color="auto" w:fill="FFFFFF" w:themeFill="background1"/>
            <w:noWrap/>
          </w:tcPr>
          <w:p w14:paraId="0BC1258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Prevalence of food insecurity: Proportion of population below the food poverty line</w:t>
            </w:r>
          </w:p>
        </w:tc>
        <w:tc>
          <w:tcPr>
            <w:tcW w:w="1276" w:type="dxa"/>
            <w:tcBorders>
              <w:left w:val="single" w:sz="4" w:space="0" w:color="auto"/>
            </w:tcBorders>
            <w:shd w:val="clear" w:color="auto" w:fill="FFFFFF" w:themeFill="background1"/>
          </w:tcPr>
          <w:p w14:paraId="0BC96B4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0.056</w:t>
            </w:r>
          </w:p>
        </w:tc>
        <w:tc>
          <w:tcPr>
            <w:tcW w:w="1134" w:type="dxa"/>
            <w:shd w:val="clear" w:color="auto" w:fill="D9D9D9" w:themeFill="background1" w:themeFillShade="D9"/>
            <w:noWrap/>
          </w:tcPr>
          <w:p w14:paraId="49258EA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0.028</w:t>
            </w:r>
          </w:p>
        </w:tc>
        <w:tc>
          <w:tcPr>
            <w:tcW w:w="1389" w:type="dxa"/>
            <w:shd w:val="clear" w:color="auto" w:fill="FFFFFF" w:themeFill="background1"/>
          </w:tcPr>
          <w:p w14:paraId="40DFAE2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6028310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2.1 is to end hunger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target set as 50% improvement on baseline by 2030</w:t>
            </w:r>
          </w:p>
        </w:tc>
      </w:tr>
      <w:tr w:rsidR="003F50A4" w:rsidRPr="00FF510F" w14:paraId="6C6B4B28" w14:textId="77777777" w:rsidTr="003F50A4">
        <w:trPr>
          <w:trHeight w:val="300"/>
        </w:trPr>
        <w:tc>
          <w:tcPr>
            <w:tcW w:w="510" w:type="dxa"/>
            <w:shd w:val="clear" w:color="auto" w:fill="FFFFFF" w:themeFill="background1"/>
          </w:tcPr>
          <w:p w14:paraId="410C1772"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07EC447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2.2 By 2030, end all forms of malnutrition, including achieving, by 2025, the internationally agreed targets on stunting and wasting in children under 5 years of age…</w:t>
            </w:r>
          </w:p>
        </w:tc>
        <w:tc>
          <w:tcPr>
            <w:tcW w:w="427" w:type="dxa"/>
            <w:tcBorders>
              <w:left w:val="single" w:sz="4" w:space="0" w:color="auto"/>
              <w:right w:val="single" w:sz="4" w:space="0" w:color="auto"/>
            </w:tcBorders>
            <w:shd w:val="clear" w:color="auto" w:fill="FFFFFF" w:themeFill="background1"/>
          </w:tcPr>
          <w:p w14:paraId="0335C98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w:t>
            </w:r>
          </w:p>
        </w:tc>
        <w:tc>
          <w:tcPr>
            <w:tcW w:w="992" w:type="dxa"/>
            <w:tcBorders>
              <w:left w:val="single" w:sz="4" w:space="0" w:color="auto"/>
            </w:tcBorders>
            <w:shd w:val="clear" w:color="auto" w:fill="FFFFFF" w:themeFill="background1"/>
            <w:noWrap/>
            <w:hideMark/>
          </w:tcPr>
          <w:p w14:paraId="4181A08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2.2.1</w:t>
            </w:r>
          </w:p>
        </w:tc>
        <w:tc>
          <w:tcPr>
            <w:tcW w:w="2977" w:type="dxa"/>
            <w:tcBorders>
              <w:right w:val="single" w:sz="4" w:space="0" w:color="auto"/>
            </w:tcBorders>
            <w:shd w:val="clear" w:color="auto" w:fill="FFFFFF" w:themeFill="background1"/>
            <w:noWrap/>
            <w:hideMark/>
          </w:tcPr>
          <w:p w14:paraId="24F83C6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Prevalence of stunting</w:t>
            </w:r>
          </w:p>
        </w:tc>
        <w:tc>
          <w:tcPr>
            <w:tcW w:w="1276" w:type="dxa"/>
            <w:tcBorders>
              <w:left w:val="single" w:sz="4" w:space="0" w:color="auto"/>
            </w:tcBorders>
            <w:shd w:val="clear" w:color="auto" w:fill="FFFFFF" w:themeFill="background1"/>
          </w:tcPr>
          <w:p w14:paraId="62311DD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w:t>
            </w:r>
          </w:p>
        </w:tc>
        <w:tc>
          <w:tcPr>
            <w:tcW w:w="1134" w:type="dxa"/>
            <w:shd w:val="clear" w:color="auto" w:fill="D9D9D9" w:themeFill="background1" w:themeFillShade="D9"/>
            <w:noWrap/>
            <w:hideMark/>
          </w:tcPr>
          <w:p w14:paraId="1152C1B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w:t>
            </w:r>
          </w:p>
        </w:tc>
        <w:tc>
          <w:tcPr>
            <w:tcW w:w="1389" w:type="dxa"/>
            <w:shd w:val="clear" w:color="auto" w:fill="FFFFFF" w:themeFill="background1"/>
          </w:tcPr>
          <w:p w14:paraId="2EDD24B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74D6B85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SDG Target 2.2 already achieved for Australia.  Maintain performance.</w:t>
            </w:r>
          </w:p>
        </w:tc>
      </w:tr>
      <w:tr w:rsidR="003F50A4" w:rsidRPr="00FF510F" w14:paraId="53D10AA0" w14:textId="77777777" w:rsidTr="003F50A4">
        <w:trPr>
          <w:trHeight w:val="300"/>
        </w:trPr>
        <w:tc>
          <w:tcPr>
            <w:tcW w:w="510" w:type="dxa"/>
            <w:shd w:val="clear" w:color="auto" w:fill="FFFFFF" w:themeFill="background1"/>
          </w:tcPr>
          <w:p w14:paraId="6B2F1E1D"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09A31D9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2.2 </w:t>
            </w:r>
          </w:p>
        </w:tc>
        <w:tc>
          <w:tcPr>
            <w:tcW w:w="427" w:type="dxa"/>
            <w:tcBorders>
              <w:left w:val="single" w:sz="4" w:space="0" w:color="auto"/>
              <w:right w:val="single" w:sz="4" w:space="0" w:color="auto"/>
            </w:tcBorders>
            <w:shd w:val="clear" w:color="auto" w:fill="FFFFFF" w:themeFill="background1"/>
          </w:tcPr>
          <w:p w14:paraId="06C5647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w:t>
            </w:r>
          </w:p>
        </w:tc>
        <w:tc>
          <w:tcPr>
            <w:tcW w:w="992" w:type="dxa"/>
            <w:tcBorders>
              <w:left w:val="single" w:sz="4" w:space="0" w:color="auto"/>
            </w:tcBorders>
            <w:shd w:val="clear" w:color="auto" w:fill="FFFFFF" w:themeFill="background1"/>
            <w:noWrap/>
            <w:hideMark/>
          </w:tcPr>
          <w:p w14:paraId="5DAC0D8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2.2.2</w:t>
            </w:r>
          </w:p>
        </w:tc>
        <w:tc>
          <w:tcPr>
            <w:tcW w:w="2977" w:type="dxa"/>
            <w:tcBorders>
              <w:right w:val="single" w:sz="4" w:space="0" w:color="auto"/>
            </w:tcBorders>
            <w:shd w:val="clear" w:color="auto" w:fill="FFFFFF" w:themeFill="background1"/>
            <w:noWrap/>
            <w:hideMark/>
          </w:tcPr>
          <w:p w14:paraId="2C91091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Prevalence of malnutrition</w:t>
            </w:r>
          </w:p>
        </w:tc>
        <w:tc>
          <w:tcPr>
            <w:tcW w:w="1276" w:type="dxa"/>
            <w:tcBorders>
              <w:left w:val="single" w:sz="4" w:space="0" w:color="auto"/>
            </w:tcBorders>
            <w:shd w:val="clear" w:color="auto" w:fill="FFFFFF" w:themeFill="background1"/>
          </w:tcPr>
          <w:p w14:paraId="531728B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w:t>
            </w:r>
          </w:p>
        </w:tc>
        <w:tc>
          <w:tcPr>
            <w:tcW w:w="1134" w:type="dxa"/>
            <w:shd w:val="clear" w:color="auto" w:fill="D9D9D9" w:themeFill="background1" w:themeFillShade="D9"/>
            <w:noWrap/>
            <w:hideMark/>
          </w:tcPr>
          <w:p w14:paraId="3A81375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w:t>
            </w:r>
          </w:p>
        </w:tc>
        <w:tc>
          <w:tcPr>
            <w:tcW w:w="1389" w:type="dxa"/>
            <w:shd w:val="clear" w:color="auto" w:fill="FFFFFF" w:themeFill="background1"/>
          </w:tcPr>
          <w:p w14:paraId="0A34D60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28049B9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SDG Target 2.2 already achieved for Australia.  Maintain performance.</w:t>
            </w:r>
          </w:p>
        </w:tc>
      </w:tr>
      <w:tr w:rsidR="003F50A4" w:rsidRPr="00FF510F" w14:paraId="3B813173" w14:textId="77777777" w:rsidTr="003F50A4">
        <w:trPr>
          <w:trHeight w:val="300"/>
        </w:trPr>
        <w:tc>
          <w:tcPr>
            <w:tcW w:w="510" w:type="dxa"/>
            <w:shd w:val="clear" w:color="auto" w:fill="FFFFFF" w:themeFill="background1"/>
          </w:tcPr>
          <w:p w14:paraId="15918D1F"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0BDF8E7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2.3 By 2030, double the agricultural productivity and incomes of small-scale food producers, in particular women, indigenous peoples, family farmers, </w:t>
            </w:r>
            <w:proofErr w:type="gramStart"/>
            <w:r w:rsidRPr="00FF510F">
              <w:rPr>
                <w:rFonts w:ascii="Corbel" w:hAnsi="Corbel" w:cstheme="minorHAnsi"/>
                <w:sz w:val="16"/>
                <w:szCs w:val="16"/>
                <w:lang w:val="en-US"/>
              </w:rPr>
              <w:t>pastoralists</w:t>
            </w:r>
            <w:proofErr w:type="gramEnd"/>
            <w:r w:rsidRPr="00FF510F">
              <w:rPr>
                <w:rFonts w:ascii="Corbel" w:hAnsi="Corbel" w:cstheme="minorHAnsi"/>
                <w:sz w:val="16"/>
                <w:szCs w:val="16"/>
                <w:lang w:val="en-US"/>
              </w:rPr>
              <w:t xml:space="preserve"> and fishers…</w:t>
            </w:r>
          </w:p>
        </w:tc>
        <w:tc>
          <w:tcPr>
            <w:tcW w:w="427" w:type="dxa"/>
            <w:tcBorders>
              <w:left w:val="single" w:sz="4" w:space="0" w:color="auto"/>
              <w:right w:val="single" w:sz="4" w:space="0" w:color="auto"/>
            </w:tcBorders>
            <w:shd w:val="clear" w:color="auto" w:fill="FFFFFF" w:themeFill="background1"/>
          </w:tcPr>
          <w:p w14:paraId="2FDF501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w:t>
            </w:r>
          </w:p>
        </w:tc>
        <w:tc>
          <w:tcPr>
            <w:tcW w:w="992" w:type="dxa"/>
            <w:tcBorders>
              <w:left w:val="single" w:sz="4" w:space="0" w:color="auto"/>
            </w:tcBorders>
            <w:shd w:val="clear" w:color="auto" w:fill="FFFFFF" w:themeFill="background1"/>
            <w:noWrap/>
            <w:hideMark/>
          </w:tcPr>
          <w:p w14:paraId="250FF35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2.3.1</w:t>
            </w:r>
          </w:p>
        </w:tc>
        <w:tc>
          <w:tcPr>
            <w:tcW w:w="2977" w:type="dxa"/>
            <w:tcBorders>
              <w:right w:val="single" w:sz="4" w:space="0" w:color="auto"/>
            </w:tcBorders>
            <w:shd w:val="clear" w:color="auto" w:fill="FFFFFF" w:themeFill="background1"/>
            <w:noWrap/>
            <w:hideMark/>
          </w:tcPr>
          <w:p w14:paraId="6FF850C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Total agriculture production in tons per labor unit (t/person)</w:t>
            </w:r>
          </w:p>
        </w:tc>
        <w:tc>
          <w:tcPr>
            <w:tcW w:w="1276" w:type="dxa"/>
            <w:tcBorders>
              <w:left w:val="single" w:sz="4" w:space="0" w:color="auto"/>
            </w:tcBorders>
            <w:shd w:val="clear" w:color="auto" w:fill="FFFFFF" w:themeFill="background1"/>
          </w:tcPr>
          <w:p w14:paraId="243F2D1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342.7</w:t>
            </w:r>
          </w:p>
        </w:tc>
        <w:tc>
          <w:tcPr>
            <w:tcW w:w="1134" w:type="dxa"/>
            <w:shd w:val="clear" w:color="auto" w:fill="D9D9D9" w:themeFill="background1" w:themeFillShade="D9"/>
            <w:noWrap/>
            <w:hideMark/>
          </w:tcPr>
          <w:p w14:paraId="26B1CD0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582.6</w:t>
            </w:r>
          </w:p>
        </w:tc>
        <w:tc>
          <w:tcPr>
            <w:tcW w:w="1389" w:type="dxa"/>
            <w:shd w:val="clear" w:color="auto" w:fill="FFFFFF" w:themeFill="background1"/>
          </w:tcPr>
          <w:p w14:paraId="0E147C0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42E738F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2.3 is to double productivity of small-scale farmers compared to baseline value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Historic rate of improvement = ~110% since 1990. Target set at 70% improvement on baseline by 2030. </w:t>
            </w:r>
          </w:p>
        </w:tc>
      </w:tr>
      <w:tr w:rsidR="003F50A4" w:rsidRPr="00FF510F" w14:paraId="5D1851E8" w14:textId="77777777" w:rsidTr="003F50A4">
        <w:trPr>
          <w:trHeight w:val="300"/>
        </w:trPr>
        <w:tc>
          <w:tcPr>
            <w:tcW w:w="510" w:type="dxa"/>
            <w:shd w:val="clear" w:color="auto" w:fill="FFFFFF" w:themeFill="background1"/>
          </w:tcPr>
          <w:p w14:paraId="6652DAD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 </w:t>
            </w:r>
          </w:p>
        </w:tc>
        <w:tc>
          <w:tcPr>
            <w:tcW w:w="4195" w:type="dxa"/>
            <w:tcBorders>
              <w:right w:val="single" w:sz="4" w:space="0" w:color="auto"/>
            </w:tcBorders>
            <w:shd w:val="clear" w:color="auto" w:fill="auto"/>
          </w:tcPr>
          <w:p w14:paraId="13A1A68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2.3</w:t>
            </w:r>
          </w:p>
        </w:tc>
        <w:tc>
          <w:tcPr>
            <w:tcW w:w="427" w:type="dxa"/>
            <w:tcBorders>
              <w:left w:val="single" w:sz="4" w:space="0" w:color="auto"/>
              <w:right w:val="single" w:sz="4" w:space="0" w:color="auto"/>
            </w:tcBorders>
            <w:shd w:val="clear" w:color="auto" w:fill="FFFFFF" w:themeFill="background1"/>
          </w:tcPr>
          <w:p w14:paraId="70108399" w14:textId="569AE8F5" w:rsidR="003F50A4" w:rsidRPr="00FF510F" w:rsidRDefault="003F50A4" w:rsidP="007F346F">
            <w:pPr>
              <w:spacing w:after="0"/>
              <w:rPr>
                <w:rFonts w:ascii="Corbel" w:hAnsi="Corbel" w:cstheme="minorHAnsi"/>
                <w:sz w:val="16"/>
                <w:szCs w:val="16"/>
                <w:lang w:val="en-US"/>
              </w:rPr>
            </w:pPr>
          </w:p>
        </w:tc>
        <w:tc>
          <w:tcPr>
            <w:tcW w:w="992" w:type="dxa"/>
            <w:tcBorders>
              <w:left w:val="single" w:sz="4" w:space="0" w:color="auto"/>
            </w:tcBorders>
            <w:shd w:val="clear" w:color="auto" w:fill="FFFFFF" w:themeFill="background1"/>
            <w:noWrap/>
          </w:tcPr>
          <w:p w14:paraId="4495655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2.3.1Alt</w:t>
            </w:r>
          </w:p>
        </w:tc>
        <w:tc>
          <w:tcPr>
            <w:tcW w:w="2977" w:type="dxa"/>
            <w:tcBorders>
              <w:right w:val="single" w:sz="4" w:space="0" w:color="auto"/>
            </w:tcBorders>
            <w:shd w:val="clear" w:color="auto" w:fill="FFFFFF" w:themeFill="background1"/>
            <w:noWrap/>
          </w:tcPr>
          <w:p w14:paraId="325C9B1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Cereal yield (t/ha) </w:t>
            </w:r>
          </w:p>
        </w:tc>
        <w:tc>
          <w:tcPr>
            <w:tcW w:w="1276" w:type="dxa"/>
            <w:tcBorders>
              <w:left w:val="single" w:sz="4" w:space="0" w:color="auto"/>
            </w:tcBorders>
            <w:shd w:val="clear" w:color="auto" w:fill="FFFFFF" w:themeFill="background1"/>
          </w:tcPr>
          <w:p w14:paraId="25B6597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2.2</w:t>
            </w:r>
          </w:p>
        </w:tc>
        <w:tc>
          <w:tcPr>
            <w:tcW w:w="1134" w:type="dxa"/>
            <w:shd w:val="clear" w:color="auto" w:fill="D9D9D9" w:themeFill="background1" w:themeFillShade="D9"/>
            <w:noWrap/>
          </w:tcPr>
          <w:p w14:paraId="5F93B04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2.8</w:t>
            </w:r>
          </w:p>
        </w:tc>
        <w:tc>
          <w:tcPr>
            <w:tcW w:w="1389" w:type="dxa"/>
            <w:shd w:val="clear" w:color="auto" w:fill="FFFFFF" w:themeFill="background1"/>
          </w:tcPr>
          <w:p w14:paraId="3FDD8F0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31C491C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2.3 is to double productivity of small-scale farmers compared to baseline value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Historic rate of improvement = ~30% since 1990. Target set as 30% improvement on baseline by 2030. </w:t>
            </w:r>
          </w:p>
        </w:tc>
      </w:tr>
      <w:tr w:rsidR="003F50A4" w:rsidRPr="00FF510F" w14:paraId="6954F7B3" w14:textId="77777777" w:rsidTr="003F50A4">
        <w:trPr>
          <w:trHeight w:val="300"/>
        </w:trPr>
        <w:tc>
          <w:tcPr>
            <w:tcW w:w="510" w:type="dxa"/>
            <w:shd w:val="clear" w:color="auto" w:fill="FFFFFF" w:themeFill="background1"/>
          </w:tcPr>
          <w:p w14:paraId="090B2559"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0BA488A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2.4 By 2030, ensure sustainable food production systems and implement resilient agricultural practices that increase productivity and production…</w:t>
            </w:r>
          </w:p>
        </w:tc>
        <w:tc>
          <w:tcPr>
            <w:tcW w:w="427" w:type="dxa"/>
            <w:tcBorders>
              <w:left w:val="single" w:sz="4" w:space="0" w:color="auto"/>
              <w:right w:val="single" w:sz="4" w:space="0" w:color="auto"/>
            </w:tcBorders>
            <w:shd w:val="clear" w:color="auto" w:fill="FFFFFF" w:themeFill="background1"/>
          </w:tcPr>
          <w:p w14:paraId="44F7522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w:t>
            </w:r>
          </w:p>
        </w:tc>
        <w:tc>
          <w:tcPr>
            <w:tcW w:w="992" w:type="dxa"/>
            <w:tcBorders>
              <w:left w:val="single" w:sz="4" w:space="0" w:color="auto"/>
            </w:tcBorders>
            <w:shd w:val="clear" w:color="auto" w:fill="FFFFFF" w:themeFill="background1"/>
            <w:noWrap/>
            <w:hideMark/>
          </w:tcPr>
          <w:p w14:paraId="5F184F2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2.4.1</w:t>
            </w:r>
          </w:p>
        </w:tc>
        <w:tc>
          <w:tcPr>
            <w:tcW w:w="2977" w:type="dxa"/>
            <w:tcBorders>
              <w:right w:val="single" w:sz="4" w:space="0" w:color="auto"/>
            </w:tcBorders>
            <w:shd w:val="clear" w:color="auto" w:fill="FFFFFF" w:themeFill="background1"/>
            <w:noWrap/>
            <w:hideMark/>
          </w:tcPr>
          <w:p w14:paraId="42A17DF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Proportion of harvested area sustainably managed (organic) (%)</w:t>
            </w:r>
          </w:p>
        </w:tc>
        <w:tc>
          <w:tcPr>
            <w:tcW w:w="1276" w:type="dxa"/>
            <w:tcBorders>
              <w:left w:val="single" w:sz="4" w:space="0" w:color="auto"/>
            </w:tcBorders>
            <w:shd w:val="clear" w:color="auto" w:fill="FFFFFF" w:themeFill="background1"/>
          </w:tcPr>
          <w:p w14:paraId="486A045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0.2087</w:t>
            </w:r>
          </w:p>
        </w:tc>
        <w:tc>
          <w:tcPr>
            <w:tcW w:w="1134" w:type="dxa"/>
            <w:shd w:val="clear" w:color="auto" w:fill="D9D9D9" w:themeFill="background1" w:themeFillShade="D9"/>
            <w:noWrap/>
            <w:hideMark/>
          </w:tcPr>
          <w:p w14:paraId="2635130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0.5</w:t>
            </w:r>
          </w:p>
        </w:tc>
        <w:tc>
          <w:tcPr>
            <w:tcW w:w="1389" w:type="dxa"/>
            <w:shd w:val="clear" w:color="auto" w:fill="FFFFFF" w:themeFill="background1"/>
          </w:tcPr>
          <w:p w14:paraId="5D28182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0.8</w:t>
            </w:r>
          </w:p>
        </w:tc>
        <w:tc>
          <w:tcPr>
            <w:tcW w:w="2552" w:type="dxa"/>
            <w:shd w:val="clear" w:color="auto" w:fill="FFFFFF" w:themeFill="background1"/>
          </w:tcPr>
          <w:p w14:paraId="6633B93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is vague.  Target set as 50% of harvested area by 2030, calibrated off historic data from </w:t>
            </w:r>
            <w:r w:rsidRPr="00FF510F">
              <w:rPr>
                <w:rFonts w:ascii="Corbel" w:hAnsi="Corbel" w:cstheme="minorHAnsi"/>
                <w:sz w:val="16"/>
                <w:szCs w:val="16"/>
                <w:lang w:val="en-US"/>
              </w:rPr>
              <w:lastRenderedPageBreak/>
              <w:t xml:space="preserve">FAO (increase of 1% to 25% in 10 years; historic peak of 27%)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&lt;EndNote&gt;&lt;Cite&gt;&lt;Author&gt;FAO&lt;/Author&gt;&lt;Year&gt;2017&lt;/Year&gt;&lt;RecNum&gt;1052&lt;/RecNum&gt;&lt;DisplayText&gt;(FAO, 2017)&lt;/DisplayText&gt;&lt;record&gt;&lt;rec-number&gt;1052&lt;/rec-number&gt;&lt;foreign-keys&gt;&lt;key app="EN" db-id="9vsrvaat7fadwtesfsrpw5w5t0x5v500ef25" timestamp="1565086591"&gt;1052&lt;/key&gt;&lt;/foreign-keys&gt;&lt;ref-type name="Dataset"&gt;59&lt;/ref-type&gt;&lt;contributors&gt;&lt;authors&gt;&lt;author&gt;FAO&lt;/author&gt;&lt;/authors&gt;&lt;/contributors&gt;&lt;titles&gt;&lt;title&gt;FAOSTAT database&lt;/title&gt;&lt;/titles&gt;&lt;dates&gt;&lt;year&gt;2017&lt;/year&gt;&lt;/dates&gt;&lt;pub-location&gt;Rome, Italy&lt;/pub-location&gt;&lt;urls&gt;&lt;related-urls&gt;&lt;url&gt;http://www.fao.org/faostat/en/#data/RL&lt;/url&gt;&lt;/related-urls&gt;&lt;/urls&gt;&lt;access-date&gt;03/02/18&lt;/access-date&gt;&lt;/record&gt;&lt;/Cite&gt;&lt;/EndNote&gt;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(FAO, 2017)</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Increased to 80% by 2050.</w:t>
            </w:r>
          </w:p>
        </w:tc>
      </w:tr>
      <w:tr w:rsidR="003F50A4" w:rsidRPr="00FF510F" w14:paraId="4FE450F4" w14:textId="77777777" w:rsidTr="003F50A4">
        <w:trPr>
          <w:trHeight w:val="300"/>
        </w:trPr>
        <w:tc>
          <w:tcPr>
            <w:tcW w:w="510" w:type="dxa"/>
            <w:shd w:val="clear" w:color="auto" w:fill="FFFFFF" w:themeFill="background1"/>
          </w:tcPr>
          <w:p w14:paraId="7BAF78DF"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15BD03F7" w14:textId="77777777" w:rsidR="003F50A4" w:rsidRPr="00FF510F" w:rsidRDefault="003F50A4" w:rsidP="007F346F">
            <w:pPr>
              <w:spacing w:after="0"/>
              <w:rPr>
                <w:rFonts w:ascii="Corbel" w:hAnsi="Corbel" w:cstheme="minorHAnsi"/>
                <w:sz w:val="16"/>
                <w:szCs w:val="16"/>
                <w:lang w:val="en-US"/>
              </w:rPr>
            </w:pPr>
          </w:p>
        </w:tc>
        <w:tc>
          <w:tcPr>
            <w:tcW w:w="427" w:type="dxa"/>
            <w:tcBorders>
              <w:left w:val="single" w:sz="4" w:space="0" w:color="auto"/>
              <w:right w:val="single" w:sz="4" w:space="0" w:color="auto"/>
            </w:tcBorders>
            <w:shd w:val="clear" w:color="auto" w:fill="FFFFFF" w:themeFill="background1"/>
          </w:tcPr>
          <w:p w14:paraId="3A67B0D6" w14:textId="457A99EB" w:rsidR="003F50A4" w:rsidRPr="00FF510F" w:rsidRDefault="00CA1514" w:rsidP="007F346F">
            <w:pPr>
              <w:spacing w:after="0"/>
              <w:rPr>
                <w:rFonts w:ascii="Corbel" w:hAnsi="Corbel" w:cstheme="minorHAnsi"/>
                <w:sz w:val="16"/>
                <w:szCs w:val="16"/>
                <w:lang w:val="en-US"/>
              </w:rPr>
            </w:pPr>
            <w:r>
              <w:rPr>
                <w:rFonts w:ascii="Corbel" w:hAnsi="Corbel" w:cstheme="minorHAnsi"/>
                <w:sz w:val="16"/>
                <w:szCs w:val="16"/>
                <w:lang w:val="en-US"/>
              </w:rPr>
              <w:t>3</w:t>
            </w:r>
          </w:p>
        </w:tc>
        <w:tc>
          <w:tcPr>
            <w:tcW w:w="992" w:type="dxa"/>
            <w:tcBorders>
              <w:left w:val="single" w:sz="4" w:space="0" w:color="auto"/>
            </w:tcBorders>
            <w:shd w:val="clear" w:color="auto" w:fill="FFFFFF" w:themeFill="background1"/>
            <w:noWrap/>
          </w:tcPr>
          <w:p w14:paraId="36F7CF9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2.4.1alt</w:t>
            </w:r>
          </w:p>
        </w:tc>
        <w:tc>
          <w:tcPr>
            <w:tcW w:w="2977" w:type="dxa"/>
            <w:tcBorders>
              <w:right w:val="single" w:sz="4" w:space="0" w:color="auto"/>
            </w:tcBorders>
            <w:shd w:val="clear" w:color="auto" w:fill="FFFFFF" w:themeFill="background1"/>
            <w:noWrap/>
          </w:tcPr>
          <w:p w14:paraId="5BE3C97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Fertilizer consumption per capita (kg N/capita/year)</w:t>
            </w:r>
          </w:p>
        </w:tc>
        <w:tc>
          <w:tcPr>
            <w:tcW w:w="1276" w:type="dxa"/>
            <w:tcBorders>
              <w:left w:val="single" w:sz="4" w:space="0" w:color="auto"/>
            </w:tcBorders>
            <w:shd w:val="clear" w:color="auto" w:fill="FFFFFF" w:themeFill="background1"/>
          </w:tcPr>
          <w:p w14:paraId="4CB5C75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53.7</w:t>
            </w:r>
          </w:p>
        </w:tc>
        <w:tc>
          <w:tcPr>
            <w:tcW w:w="1134" w:type="dxa"/>
            <w:shd w:val="clear" w:color="auto" w:fill="D9D9D9" w:themeFill="background1" w:themeFillShade="D9"/>
            <w:noWrap/>
          </w:tcPr>
          <w:p w14:paraId="74ADCD1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26.9</w:t>
            </w:r>
          </w:p>
        </w:tc>
        <w:tc>
          <w:tcPr>
            <w:tcW w:w="1389" w:type="dxa"/>
            <w:shd w:val="clear" w:color="auto" w:fill="FFFFFF" w:themeFill="background1"/>
          </w:tcPr>
          <w:p w14:paraId="4AA0EB4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13.4</w:t>
            </w:r>
          </w:p>
        </w:tc>
        <w:tc>
          <w:tcPr>
            <w:tcW w:w="2552" w:type="dxa"/>
            <w:shd w:val="clear" w:color="auto" w:fill="FFFFFF" w:themeFill="background1"/>
          </w:tcPr>
          <w:p w14:paraId="1A6FD8F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50% reduction by 2030, and 75% reduction by 2050 to bring closer to per capita planetary boundary of 8.9 kg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&lt;EndNote&gt;&lt;Cite&gt;&lt;Author&gt;O’Neill&lt;/Author&gt;&lt;Year&gt;2018&lt;/Year&gt;&lt;RecNum&gt;1213&lt;/RecNum&gt;&lt;DisplayText&gt;(O’Neill et al., 2018)&lt;/DisplayText&gt;&lt;record&gt;&lt;rec-number&gt;1213&lt;/rec-number&gt;&lt;foreign-keys&gt;&lt;key app="EN" db-id="9vsrvaat7fadwtesfsrpw5w5t0x5v500ef25" timestamp="1578984484"&gt;1213&lt;/key&gt;&lt;/foreign-keys&gt;&lt;ref-type name="Journal Article"&gt;17&lt;/ref-type&gt;&lt;contributors&gt;&lt;authors&gt;&lt;author&gt;O’Neill, Daniel W&lt;/author&gt;&lt;author&gt;Fanning, Andrew L&lt;/author&gt;&lt;author&gt;Lamb, William F&lt;/author&gt;&lt;author&gt;Steinberger, Julia K&lt;/author&gt;&lt;/authors&gt;&lt;/contributors&gt;&lt;titles&gt;&lt;title&gt;A good life for all within planetary boundaries&lt;/title&gt;&lt;secondary-title&gt;Nature Sustainability&lt;/secondary-title&gt;&lt;/titles&gt;&lt;periodical&gt;&lt;full-title&gt;Nature Sustainability&lt;/full-title&gt;&lt;/periodical&gt;&lt;pages&gt;88&lt;/pages&gt;&lt;volume&gt;1&lt;/volume&gt;&lt;number&gt;2&lt;/number&gt;&lt;dates&gt;&lt;year&gt;2018&lt;/year&gt;&lt;/dates&gt;&lt;isbn&gt;2398-9629&lt;/isbn&gt;&lt;urls&gt;&lt;/urls&gt;&lt;electronic-resource-num&gt;https://doi.org/10.1038/s41893-018-0021-4&lt;/electronic-resource-num&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(O’Neill et al., 2018)</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49272ED2" w14:textId="77777777" w:rsidTr="003F50A4">
        <w:trPr>
          <w:trHeight w:val="54"/>
        </w:trPr>
        <w:tc>
          <w:tcPr>
            <w:tcW w:w="510" w:type="dxa"/>
            <w:shd w:val="clear" w:color="auto" w:fill="D9D9D9" w:themeFill="background1" w:themeFillShade="D9"/>
          </w:tcPr>
          <w:p w14:paraId="050281D4" w14:textId="77777777" w:rsidR="003F50A4" w:rsidRPr="00FF510F" w:rsidRDefault="003F50A4" w:rsidP="007F346F">
            <w:pPr>
              <w:spacing w:after="0"/>
              <w:rPr>
                <w:rFonts w:ascii="Corbel" w:hAnsi="Corbel" w:cstheme="minorHAnsi"/>
                <w:sz w:val="8"/>
                <w:szCs w:val="8"/>
                <w:lang w:val="en-US"/>
              </w:rPr>
            </w:pPr>
          </w:p>
        </w:tc>
        <w:tc>
          <w:tcPr>
            <w:tcW w:w="4195" w:type="dxa"/>
            <w:tcBorders>
              <w:right w:val="single" w:sz="4" w:space="0" w:color="auto"/>
            </w:tcBorders>
            <w:shd w:val="clear" w:color="auto" w:fill="D9D9D9" w:themeFill="background1" w:themeFillShade="D9"/>
          </w:tcPr>
          <w:p w14:paraId="4C3B45AE" w14:textId="77777777" w:rsidR="003F50A4" w:rsidRPr="00FF510F" w:rsidRDefault="003F50A4" w:rsidP="007F346F">
            <w:pPr>
              <w:spacing w:after="0"/>
              <w:rPr>
                <w:rFonts w:ascii="Corbel" w:hAnsi="Corbel" w:cstheme="minorHAnsi"/>
                <w:sz w:val="8"/>
                <w:szCs w:val="8"/>
                <w:lang w:val="en-US"/>
              </w:rPr>
            </w:pPr>
          </w:p>
        </w:tc>
        <w:tc>
          <w:tcPr>
            <w:tcW w:w="427" w:type="dxa"/>
            <w:tcBorders>
              <w:left w:val="single" w:sz="4" w:space="0" w:color="auto"/>
              <w:right w:val="single" w:sz="4" w:space="0" w:color="auto"/>
            </w:tcBorders>
            <w:shd w:val="clear" w:color="auto" w:fill="D9D9D9" w:themeFill="background1" w:themeFillShade="D9"/>
          </w:tcPr>
          <w:p w14:paraId="59816BDF"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55143C47"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045949B6"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706D7D64"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337060F6"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79448C1D"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55C03111" w14:textId="77777777" w:rsidR="003F50A4" w:rsidRPr="00FF510F" w:rsidRDefault="003F50A4" w:rsidP="007F346F">
            <w:pPr>
              <w:spacing w:after="0"/>
              <w:rPr>
                <w:rFonts w:ascii="Corbel" w:hAnsi="Corbel" w:cstheme="minorHAnsi"/>
                <w:sz w:val="8"/>
                <w:szCs w:val="8"/>
                <w:lang w:val="en-US"/>
              </w:rPr>
            </w:pPr>
          </w:p>
        </w:tc>
      </w:tr>
      <w:tr w:rsidR="003F50A4" w:rsidRPr="00FF510F" w14:paraId="2F6A3E46" w14:textId="77777777" w:rsidTr="003F50A4">
        <w:trPr>
          <w:trHeight w:val="300"/>
        </w:trPr>
        <w:tc>
          <w:tcPr>
            <w:tcW w:w="510" w:type="dxa"/>
            <w:shd w:val="clear" w:color="auto" w:fill="FFFFFF" w:themeFill="background1"/>
          </w:tcPr>
          <w:p w14:paraId="7F3BF95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w:t>
            </w:r>
          </w:p>
        </w:tc>
        <w:tc>
          <w:tcPr>
            <w:tcW w:w="4195" w:type="dxa"/>
            <w:tcBorders>
              <w:right w:val="single" w:sz="4" w:space="0" w:color="auto"/>
            </w:tcBorders>
            <w:shd w:val="clear" w:color="auto" w:fill="auto"/>
          </w:tcPr>
          <w:p w14:paraId="3ADA652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3.1 By 2030, reduce the global maternal mortality ratio to less than 70 per 100,000 live births</w:t>
            </w:r>
          </w:p>
        </w:tc>
        <w:tc>
          <w:tcPr>
            <w:tcW w:w="427" w:type="dxa"/>
            <w:tcBorders>
              <w:left w:val="single" w:sz="4" w:space="0" w:color="auto"/>
              <w:right w:val="single" w:sz="4" w:space="0" w:color="auto"/>
            </w:tcBorders>
            <w:shd w:val="clear" w:color="auto" w:fill="FFFFFF" w:themeFill="background1"/>
          </w:tcPr>
          <w:p w14:paraId="6E2F542B" w14:textId="54C9BCFA"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992" w:type="dxa"/>
            <w:tcBorders>
              <w:left w:val="single" w:sz="4" w:space="0" w:color="auto"/>
            </w:tcBorders>
            <w:shd w:val="clear" w:color="auto" w:fill="FFFFFF" w:themeFill="background1"/>
            <w:noWrap/>
            <w:hideMark/>
          </w:tcPr>
          <w:p w14:paraId="28BCE6D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3.1.1</w:t>
            </w:r>
          </w:p>
        </w:tc>
        <w:tc>
          <w:tcPr>
            <w:tcW w:w="2977" w:type="dxa"/>
            <w:tcBorders>
              <w:right w:val="single" w:sz="4" w:space="0" w:color="auto"/>
            </w:tcBorders>
            <w:shd w:val="clear" w:color="auto" w:fill="FFFFFF" w:themeFill="background1"/>
            <w:noWrap/>
            <w:hideMark/>
          </w:tcPr>
          <w:p w14:paraId="71F08B4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Maternal mortality ratio (per 100,000 live births)</w:t>
            </w:r>
          </w:p>
        </w:tc>
        <w:tc>
          <w:tcPr>
            <w:tcW w:w="1276" w:type="dxa"/>
            <w:tcBorders>
              <w:left w:val="single" w:sz="4" w:space="0" w:color="auto"/>
            </w:tcBorders>
            <w:shd w:val="clear" w:color="auto" w:fill="FFFFFF" w:themeFill="background1"/>
          </w:tcPr>
          <w:p w14:paraId="341B7C4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w:t>
            </w:r>
          </w:p>
        </w:tc>
        <w:tc>
          <w:tcPr>
            <w:tcW w:w="1134" w:type="dxa"/>
            <w:shd w:val="clear" w:color="auto" w:fill="D9D9D9" w:themeFill="background1" w:themeFillShade="D9"/>
            <w:noWrap/>
            <w:hideMark/>
          </w:tcPr>
          <w:p w14:paraId="1D7BA23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w:t>
            </w:r>
          </w:p>
        </w:tc>
        <w:tc>
          <w:tcPr>
            <w:tcW w:w="1389" w:type="dxa"/>
            <w:shd w:val="clear" w:color="auto" w:fill="FFFFFF" w:themeFill="background1"/>
          </w:tcPr>
          <w:p w14:paraId="2B0AB31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5485E33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Target already achieved for Australia.  Maintain performance.</w:t>
            </w:r>
          </w:p>
        </w:tc>
      </w:tr>
      <w:tr w:rsidR="003F50A4" w:rsidRPr="00FF510F" w14:paraId="1D2B9583" w14:textId="77777777" w:rsidTr="003F50A4">
        <w:trPr>
          <w:trHeight w:val="300"/>
        </w:trPr>
        <w:tc>
          <w:tcPr>
            <w:tcW w:w="510" w:type="dxa"/>
            <w:shd w:val="clear" w:color="auto" w:fill="FFFFFF" w:themeFill="background1"/>
          </w:tcPr>
          <w:p w14:paraId="19E3CAFD"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52EF114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3.2 By 2030, end preventable deaths of newborns and children under 5 years of age, with all countries aiming to reduce neonatal mortality to at least as low as 12 per 1,000 live births and under</w:t>
            </w:r>
            <w:r w:rsidRPr="00FF510F">
              <w:rPr>
                <w:rFonts w:ascii="Cambria Math" w:hAnsi="Cambria Math" w:cs="Cambria Math"/>
                <w:sz w:val="16"/>
                <w:szCs w:val="16"/>
                <w:lang w:val="en-US"/>
              </w:rPr>
              <w:t>‑</w:t>
            </w:r>
            <w:r w:rsidRPr="00FF510F">
              <w:rPr>
                <w:rFonts w:ascii="Corbel" w:hAnsi="Corbel" w:cstheme="minorHAnsi"/>
                <w:sz w:val="16"/>
                <w:szCs w:val="16"/>
                <w:lang w:val="en-US"/>
              </w:rPr>
              <w:t>5 mortality to at least as low as 25 per 1,000 live births</w:t>
            </w:r>
          </w:p>
        </w:tc>
        <w:tc>
          <w:tcPr>
            <w:tcW w:w="427" w:type="dxa"/>
            <w:tcBorders>
              <w:left w:val="single" w:sz="4" w:space="0" w:color="auto"/>
              <w:right w:val="single" w:sz="4" w:space="0" w:color="auto"/>
            </w:tcBorders>
            <w:shd w:val="clear" w:color="auto" w:fill="FFFFFF" w:themeFill="background1"/>
          </w:tcPr>
          <w:p w14:paraId="53A1047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992" w:type="dxa"/>
            <w:tcBorders>
              <w:left w:val="single" w:sz="4" w:space="0" w:color="auto"/>
            </w:tcBorders>
            <w:shd w:val="clear" w:color="auto" w:fill="FFFFFF" w:themeFill="background1"/>
            <w:noWrap/>
            <w:hideMark/>
          </w:tcPr>
          <w:p w14:paraId="633570F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3.2.1</w:t>
            </w:r>
          </w:p>
        </w:tc>
        <w:tc>
          <w:tcPr>
            <w:tcW w:w="2977" w:type="dxa"/>
            <w:tcBorders>
              <w:right w:val="single" w:sz="4" w:space="0" w:color="auto"/>
            </w:tcBorders>
            <w:shd w:val="clear" w:color="auto" w:fill="FFFFFF" w:themeFill="background1"/>
            <w:noWrap/>
            <w:hideMark/>
          </w:tcPr>
          <w:p w14:paraId="143CB4B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Under five mortality rate (per 1,000 live births)</w:t>
            </w:r>
          </w:p>
        </w:tc>
        <w:tc>
          <w:tcPr>
            <w:tcW w:w="1276" w:type="dxa"/>
            <w:tcBorders>
              <w:left w:val="single" w:sz="4" w:space="0" w:color="auto"/>
            </w:tcBorders>
            <w:shd w:val="clear" w:color="auto" w:fill="FFFFFF" w:themeFill="background1"/>
          </w:tcPr>
          <w:p w14:paraId="77ED8E4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w:t>
            </w:r>
          </w:p>
        </w:tc>
        <w:tc>
          <w:tcPr>
            <w:tcW w:w="1134" w:type="dxa"/>
            <w:shd w:val="clear" w:color="auto" w:fill="D9D9D9" w:themeFill="background1" w:themeFillShade="D9"/>
            <w:noWrap/>
            <w:hideMark/>
          </w:tcPr>
          <w:p w14:paraId="6F78CDD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w:t>
            </w:r>
          </w:p>
        </w:tc>
        <w:tc>
          <w:tcPr>
            <w:tcW w:w="1389" w:type="dxa"/>
            <w:shd w:val="clear" w:color="auto" w:fill="FFFFFF" w:themeFill="background1"/>
          </w:tcPr>
          <w:p w14:paraId="087D1E2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42FA737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SDG Target 3.2 already achieved for Australia.  Maintain performance.</w:t>
            </w:r>
          </w:p>
        </w:tc>
      </w:tr>
      <w:tr w:rsidR="003F50A4" w:rsidRPr="00FF510F" w14:paraId="52E7DE19" w14:textId="77777777" w:rsidTr="003F50A4">
        <w:trPr>
          <w:trHeight w:val="300"/>
        </w:trPr>
        <w:tc>
          <w:tcPr>
            <w:tcW w:w="510" w:type="dxa"/>
            <w:shd w:val="clear" w:color="auto" w:fill="FFFFFF" w:themeFill="background1"/>
          </w:tcPr>
          <w:p w14:paraId="2C1385CD"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0400E0B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3.2</w:t>
            </w:r>
          </w:p>
        </w:tc>
        <w:tc>
          <w:tcPr>
            <w:tcW w:w="427" w:type="dxa"/>
            <w:tcBorders>
              <w:left w:val="single" w:sz="4" w:space="0" w:color="auto"/>
              <w:right w:val="single" w:sz="4" w:space="0" w:color="auto"/>
            </w:tcBorders>
            <w:shd w:val="clear" w:color="auto" w:fill="FFFFFF" w:themeFill="background1"/>
          </w:tcPr>
          <w:p w14:paraId="37689C8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992" w:type="dxa"/>
            <w:tcBorders>
              <w:left w:val="single" w:sz="4" w:space="0" w:color="auto"/>
            </w:tcBorders>
            <w:shd w:val="clear" w:color="auto" w:fill="FFFFFF" w:themeFill="background1"/>
            <w:noWrap/>
            <w:hideMark/>
          </w:tcPr>
          <w:p w14:paraId="4349351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3.2.2</w:t>
            </w:r>
          </w:p>
        </w:tc>
        <w:tc>
          <w:tcPr>
            <w:tcW w:w="2977" w:type="dxa"/>
            <w:tcBorders>
              <w:right w:val="single" w:sz="4" w:space="0" w:color="auto"/>
            </w:tcBorders>
            <w:shd w:val="clear" w:color="auto" w:fill="FFFFFF" w:themeFill="background1"/>
            <w:noWrap/>
            <w:hideMark/>
          </w:tcPr>
          <w:p w14:paraId="6A85A11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Neonatal mortality rate (per 1,000 live births)</w:t>
            </w:r>
          </w:p>
        </w:tc>
        <w:tc>
          <w:tcPr>
            <w:tcW w:w="1276" w:type="dxa"/>
            <w:tcBorders>
              <w:left w:val="single" w:sz="4" w:space="0" w:color="auto"/>
            </w:tcBorders>
            <w:shd w:val="clear" w:color="auto" w:fill="FFFFFF" w:themeFill="background1"/>
          </w:tcPr>
          <w:p w14:paraId="2382005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2.3</w:t>
            </w:r>
          </w:p>
        </w:tc>
        <w:tc>
          <w:tcPr>
            <w:tcW w:w="1134" w:type="dxa"/>
            <w:shd w:val="clear" w:color="auto" w:fill="D9D9D9" w:themeFill="background1" w:themeFillShade="D9"/>
            <w:noWrap/>
            <w:hideMark/>
          </w:tcPr>
          <w:p w14:paraId="4D53F5A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2.3</w:t>
            </w:r>
          </w:p>
        </w:tc>
        <w:tc>
          <w:tcPr>
            <w:tcW w:w="1389" w:type="dxa"/>
            <w:shd w:val="clear" w:color="auto" w:fill="FFFFFF" w:themeFill="background1"/>
          </w:tcPr>
          <w:p w14:paraId="2903DEA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1481CED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SDG Target 3.2 already achieved for Australia.  Maintain performance.</w:t>
            </w:r>
          </w:p>
        </w:tc>
      </w:tr>
      <w:tr w:rsidR="003F50A4" w:rsidRPr="00FF510F" w14:paraId="2B98F0A3" w14:textId="77777777" w:rsidTr="003F50A4">
        <w:trPr>
          <w:trHeight w:val="300"/>
        </w:trPr>
        <w:tc>
          <w:tcPr>
            <w:tcW w:w="510" w:type="dxa"/>
            <w:shd w:val="clear" w:color="auto" w:fill="FFFFFF" w:themeFill="background1"/>
          </w:tcPr>
          <w:p w14:paraId="24404B70"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519ABFC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3.4 By 2030, reduce by one third premature mortality from non-communicable diseases through prevention and treatment and promote mental health and well-being</w:t>
            </w:r>
          </w:p>
        </w:tc>
        <w:tc>
          <w:tcPr>
            <w:tcW w:w="427" w:type="dxa"/>
            <w:tcBorders>
              <w:left w:val="single" w:sz="4" w:space="0" w:color="auto"/>
              <w:right w:val="single" w:sz="4" w:space="0" w:color="auto"/>
            </w:tcBorders>
            <w:shd w:val="clear" w:color="auto" w:fill="FFFFFF" w:themeFill="background1"/>
          </w:tcPr>
          <w:p w14:paraId="4FE3281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992" w:type="dxa"/>
            <w:tcBorders>
              <w:left w:val="single" w:sz="4" w:space="0" w:color="auto"/>
            </w:tcBorders>
            <w:shd w:val="clear" w:color="auto" w:fill="FFFFFF" w:themeFill="background1"/>
            <w:noWrap/>
            <w:hideMark/>
          </w:tcPr>
          <w:p w14:paraId="58851FF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3.4.1</w:t>
            </w:r>
          </w:p>
        </w:tc>
        <w:tc>
          <w:tcPr>
            <w:tcW w:w="2977" w:type="dxa"/>
            <w:tcBorders>
              <w:right w:val="single" w:sz="4" w:space="0" w:color="auto"/>
            </w:tcBorders>
            <w:shd w:val="clear" w:color="auto" w:fill="FFFFFF" w:themeFill="background1"/>
            <w:noWrap/>
            <w:hideMark/>
          </w:tcPr>
          <w:p w14:paraId="06292AD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Cardiovascular neoplasm diabetes and respiratory mortality (per 1,000 population)</w:t>
            </w:r>
          </w:p>
          <w:p w14:paraId="745E4715" w14:textId="77777777" w:rsidR="003F50A4" w:rsidRPr="00FF510F" w:rsidRDefault="003F50A4" w:rsidP="007F346F">
            <w:pPr>
              <w:spacing w:after="0"/>
              <w:rPr>
                <w:rFonts w:ascii="Corbel" w:hAnsi="Corbel" w:cstheme="minorHAnsi"/>
                <w:sz w:val="16"/>
                <w:szCs w:val="16"/>
                <w:lang w:val="en-US"/>
              </w:rPr>
            </w:pPr>
          </w:p>
        </w:tc>
        <w:tc>
          <w:tcPr>
            <w:tcW w:w="1276" w:type="dxa"/>
            <w:tcBorders>
              <w:left w:val="single" w:sz="4" w:space="0" w:color="auto"/>
            </w:tcBorders>
            <w:shd w:val="clear" w:color="auto" w:fill="FFFFFF" w:themeFill="background1"/>
          </w:tcPr>
          <w:p w14:paraId="5FD9F8E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All: 0.00417</w:t>
            </w:r>
          </w:p>
          <w:p w14:paraId="482F5F29" w14:textId="77777777" w:rsidR="003F50A4" w:rsidRPr="00FF510F" w:rsidRDefault="003F50A4" w:rsidP="007F346F">
            <w:pPr>
              <w:spacing w:after="0"/>
              <w:rPr>
                <w:rFonts w:ascii="Corbel" w:hAnsi="Corbel" w:cstheme="minorHAnsi"/>
                <w:sz w:val="16"/>
                <w:szCs w:val="16"/>
                <w:lang w:val="en-US"/>
              </w:rPr>
            </w:pPr>
          </w:p>
        </w:tc>
        <w:tc>
          <w:tcPr>
            <w:tcW w:w="1134" w:type="dxa"/>
            <w:shd w:val="clear" w:color="auto" w:fill="D9D9D9" w:themeFill="background1" w:themeFillShade="D9"/>
            <w:noWrap/>
            <w:hideMark/>
          </w:tcPr>
          <w:p w14:paraId="5C62712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0.00278</w:t>
            </w:r>
          </w:p>
          <w:p w14:paraId="479C978D" w14:textId="77777777" w:rsidR="003F50A4" w:rsidRPr="00FF510F" w:rsidRDefault="003F50A4" w:rsidP="007F346F">
            <w:pPr>
              <w:spacing w:after="0"/>
              <w:rPr>
                <w:rFonts w:ascii="Corbel" w:hAnsi="Corbel" w:cstheme="minorHAnsi"/>
                <w:sz w:val="16"/>
                <w:szCs w:val="16"/>
                <w:lang w:val="en-US"/>
              </w:rPr>
            </w:pPr>
          </w:p>
        </w:tc>
        <w:tc>
          <w:tcPr>
            <w:tcW w:w="1389" w:type="dxa"/>
            <w:shd w:val="clear" w:color="auto" w:fill="FFFFFF" w:themeFill="background1"/>
          </w:tcPr>
          <w:p w14:paraId="5D6ECBA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7E87677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3.4  is to reduce by 1/3 on baseline value by 2030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p>
        </w:tc>
      </w:tr>
      <w:tr w:rsidR="003F50A4" w:rsidRPr="00FF510F" w14:paraId="0B17DDCD" w14:textId="77777777" w:rsidTr="003F50A4">
        <w:trPr>
          <w:trHeight w:val="300"/>
        </w:trPr>
        <w:tc>
          <w:tcPr>
            <w:tcW w:w="510" w:type="dxa"/>
            <w:shd w:val="clear" w:color="auto" w:fill="FFFFFF" w:themeFill="background1"/>
          </w:tcPr>
          <w:p w14:paraId="25545DE1"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30A2513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3.6 By 2020, halve the number of global deaths and injuries from road traffic accidents</w:t>
            </w:r>
          </w:p>
        </w:tc>
        <w:tc>
          <w:tcPr>
            <w:tcW w:w="427" w:type="dxa"/>
            <w:tcBorders>
              <w:left w:val="single" w:sz="4" w:space="0" w:color="auto"/>
              <w:right w:val="single" w:sz="4" w:space="0" w:color="auto"/>
            </w:tcBorders>
            <w:shd w:val="clear" w:color="auto" w:fill="FFFFFF" w:themeFill="background1"/>
          </w:tcPr>
          <w:p w14:paraId="02373AC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992" w:type="dxa"/>
            <w:tcBorders>
              <w:left w:val="single" w:sz="4" w:space="0" w:color="auto"/>
            </w:tcBorders>
            <w:shd w:val="clear" w:color="auto" w:fill="FFFFFF" w:themeFill="background1"/>
            <w:noWrap/>
            <w:hideMark/>
          </w:tcPr>
          <w:p w14:paraId="1BD5772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3.6.1</w:t>
            </w:r>
          </w:p>
        </w:tc>
        <w:tc>
          <w:tcPr>
            <w:tcW w:w="2977" w:type="dxa"/>
            <w:tcBorders>
              <w:right w:val="single" w:sz="4" w:space="0" w:color="auto"/>
            </w:tcBorders>
            <w:shd w:val="clear" w:color="auto" w:fill="FFFFFF" w:themeFill="background1"/>
            <w:noWrap/>
            <w:hideMark/>
          </w:tcPr>
          <w:p w14:paraId="6748A46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Total road fatalities (number)</w:t>
            </w:r>
          </w:p>
        </w:tc>
        <w:tc>
          <w:tcPr>
            <w:tcW w:w="1276" w:type="dxa"/>
            <w:tcBorders>
              <w:left w:val="single" w:sz="4" w:space="0" w:color="auto"/>
            </w:tcBorders>
            <w:shd w:val="clear" w:color="auto" w:fill="FFFFFF" w:themeFill="background1"/>
          </w:tcPr>
          <w:p w14:paraId="68D7EBB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1471</w:t>
            </w:r>
          </w:p>
        </w:tc>
        <w:tc>
          <w:tcPr>
            <w:tcW w:w="1134" w:type="dxa"/>
            <w:shd w:val="clear" w:color="auto" w:fill="D9D9D9" w:themeFill="background1" w:themeFillShade="D9"/>
            <w:noWrap/>
            <w:hideMark/>
          </w:tcPr>
          <w:p w14:paraId="3E7AC5B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1176</w:t>
            </w:r>
          </w:p>
        </w:tc>
        <w:tc>
          <w:tcPr>
            <w:tcW w:w="1389" w:type="dxa"/>
            <w:shd w:val="clear" w:color="auto" w:fill="FFFFFF" w:themeFill="background1"/>
          </w:tcPr>
          <w:p w14:paraId="06FED49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792E950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3.6 is to halve global baseline value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Historic rate of improvement = ~16% since 1990.  Target set as 20% reduction by 2030.</w:t>
            </w:r>
          </w:p>
        </w:tc>
      </w:tr>
      <w:tr w:rsidR="003F50A4" w:rsidRPr="00FF510F" w14:paraId="3BD3FF6E" w14:textId="77777777" w:rsidTr="003F50A4">
        <w:trPr>
          <w:trHeight w:val="300"/>
        </w:trPr>
        <w:tc>
          <w:tcPr>
            <w:tcW w:w="510" w:type="dxa"/>
            <w:shd w:val="clear" w:color="auto" w:fill="FFFFFF" w:themeFill="background1"/>
          </w:tcPr>
          <w:p w14:paraId="2DA4B40D"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229C218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3.7 By 2030, ensure universal access to sexual and reproductive health-care services…</w:t>
            </w:r>
          </w:p>
        </w:tc>
        <w:tc>
          <w:tcPr>
            <w:tcW w:w="427" w:type="dxa"/>
            <w:tcBorders>
              <w:left w:val="single" w:sz="4" w:space="0" w:color="auto"/>
              <w:right w:val="single" w:sz="4" w:space="0" w:color="auto"/>
            </w:tcBorders>
            <w:shd w:val="clear" w:color="auto" w:fill="FFFFFF" w:themeFill="background1"/>
          </w:tcPr>
          <w:p w14:paraId="4877D9E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992" w:type="dxa"/>
            <w:tcBorders>
              <w:left w:val="single" w:sz="4" w:space="0" w:color="auto"/>
            </w:tcBorders>
            <w:shd w:val="clear" w:color="auto" w:fill="FFFFFF" w:themeFill="background1"/>
            <w:noWrap/>
            <w:hideMark/>
          </w:tcPr>
          <w:p w14:paraId="38EFB5A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3.7.2</w:t>
            </w:r>
          </w:p>
        </w:tc>
        <w:tc>
          <w:tcPr>
            <w:tcW w:w="2977" w:type="dxa"/>
            <w:tcBorders>
              <w:right w:val="single" w:sz="4" w:space="0" w:color="auto"/>
            </w:tcBorders>
            <w:shd w:val="clear" w:color="auto" w:fill="FFFFFF" w:themeFill="background1"/>
            <w:noWrap/>
            <w:hideMark/>
          </w:tcPr>
          <w:p w14:paraId="5F18CB1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Adolescent birth rate (per 1,000)</w:t>
            </w:r>
          </w:p>
        </w:tc>
        <w:tc>
          <w:tcPr>
            <w:tcW w:w="1276" w:type="dxa"/>
            <w:tcBorders>
              <w:left w:val="single" w:sz="4" w:space="0" w:color="auto"/>
            </w:tcBorders>
            <w:shd w:val="clear" w:color="auto" w:fill="FFFFFF" w:themeFill="background1"/>
          </w:tcPr>
          <w:p w14:paraId="5534221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15.8</w:t>
            </w:r>
          </w:p>
        </w:tc>
        <w:tc>
          <w:tcPr>
            <w:tcW w:w="1134" w:type="dxa"/>
            <w:shd w:val="clear" w:color="auto" w:fill="D9D9D9" w:themeFill="background1" w:themeFillShade="D9"/>
            <w:noWrap/>
            <w:hideMark/>
          </w:tcPr>
          <w:p w14:paraId="4C0DE74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11.9</w:t>
            </w:r>
          </w:p>
        </w:tc>
        <w:tc>
          <w:tcPr>
            <w:tcW w:w="1389" w:type="dxa"/>
            <w:shd w:val="clear" w:color="auto" w:fill="FFFFFF" w:themeFill="background1"/>
          </w:tcPr>
          <w:p w14:paraId="4C6DD3A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2C5E61A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as 25% improvement on baseline value by 2030; calibrated from historic data and BAU projection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&lt;EndNote&gt;&lt;Cite&gt;&lt;Author&gt;Australian Institute of Health &amp;amp; Welfare&lt;/Author&gt;&lt;Year&gt;2018&lt;/Year&gt;&lt;RecNum&gt;1062&lt;/RecNum&gt;&lt;DisplayText&gt;(Australian Institute of Health &amp;amp; Welfare, 2018, World Bank, 2022b)&lt;/DisplayText&gt;&lt;record&gt;&lt;rec-number&gt;1062&lt;/rec-number&gt;&lt;foreign-keys&gt;&lt;key app="EN" db-id="9vsrvaat7fadwtesfsrpw5w5t0x5v500ef25" timestamp="1565160985"&gt;1062&lt;/key&gt;&lt;/foreign-keys&gt;&lt;ref-type name="Report"&gt;27&lt;/ref-type&gt;&lt;contributors&gt;&lt;authors&gt;&lt;author&gt;Australian Institute of Health &amp;amp; Welfare,&lt;/author&gt;&lt;/authors&gt;&lt;tertiary-authors&gt;&lt;author&gt;Australian Government&lt;/author&gt;&lt;/tertiary-authors&gt;&lt;/contributors&gt;&lt;titles&gt;&lt;title&gt;Teenage mothers in Australia&lt;/title&gt;&lt;/titles&gt;&lt;dates&gt;&lt;year&gt;2018&lt;/year&gt;&lt;/dates&gt;&lt;pub-location&gt;Canberra, Australia&lt;/pub-location&gt;&lt;publisher&gt;Australian Government&lt;/publisher&gt;&lt;urls&gt;&lt;related-urls&gt;&lt;url&gt;https://www.aihw.gov.au/reports/mothers-babies/teenage-mothers-in-australia-2015/contents/table-of-contents&lt;/url&gt;&lt;/related-urls&gt;&lt;/urls&gt;&lt;/record&gt;&lt;/Cite&gt;&lt;Cite&gt;&lt;Author&gt;World Bank&lt;/Author&gt;&lt;Year&gt;2022&lt;/Year&gt;&lt;RecNum&gt;1061&lt;/RecNum&gt;&lt;record&gt;&lt;rec-number&gt;1061&lt;/rec-number&gt;&lt;foreign-keys&gt;&lt;key app="EN" db-id="9vsrvaat7fadwtesfsrpw5w5t0x5v500ef25" timestamp="1565160465"&gt;1061&lt;/key&gt;&lt;/foreign-keys&gt;&lt;ref-type name="Dataset"&gt;59&lt;/ref-type&gt;&lt;contributors&gt;&lt;authors&gt;&lt;author&gt;World Bank,&lt;/author&gt;&lt;/authors&gt;&lt;/contributors&gt;&lt;titles&gt;&lt;title&gt;World Development Indicators DataBank&lt;/title&gt;&lt;/titles&gt;&lt;dates&gt;&lt;year&gt;2022&lt;/year&gt;&lt;/dates&gt;&lt;pub-location&gt;Washington, USA&lt;/pub-location&gt;&lt;urls&gt;&lt;related-urls&gt;&lt;url&gt;https://data.worldbank.org/indicator/SP.DYN.CONU.ZS?view=chart&lt;/url&gt;&lt;/related-urls&gt;&lt;/urls&gt;&lt;access-date&gt;08/08/18&lt;/access-date&gt;&lt;/record&gt;&lt;/Cite&gt;&lt;/EndNote&gt;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(Australian Institute of Health &amp; Welfare, 2018, World Bank, 2022b)</w:t>
            </w:r>
            <w:r w:rsidRPr="00FF510F">
              <w:rPr>
                <w:rFonts w:ascii="Corbel" w:hAnsi="Corbel" w:cstheme="minorHAnsi"/>
                <w:sz w:val="16"/>
                <w:szCs w:val="16"/>
                <w:lang w:val="en-US"/>
              </w:rPr>
              <w:fldChar w:fldCharType="end"/>
            </w:r>
          </w:p>
        </w:tc>
      </w:tr>
      <w:tr w:rsidR="003F50A4" w:rsidRPr="00FF510F" w14:paraId="7B23F849" w14:textId="77777777" w:rsidTr="003F50A4">
        <w:trPr>
          <w:trHeight w:val="300"/>
        </w:trPr>
        <w:tc>
          <w:tcPr>
            <w:tcW w:w="510" w:type="dxa"/>
            <w:shd w:val="clear" w:color="auto" w:fill="FFFFFF" w:themeFill="background1"/>
          </w:tcPr>
          <w:p w14:paraId="4EFB03AA"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0EC86F6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3.8 Achieve universal health coverage</w:t>
            </w:r>
          </w:p>
        </w:tc>
        <w:tc>
          <w:tcPr>
            <w:tcW w:w="427" w:type="dxa"/>
            <w:tcBorders>
              <w:left w:val="single" w:sz="4" w:space="0" w:color="auto"/>
              <w:right w:val="single" w:sz="4" w:space="0" w:color="auto"/>
            </w:tcBorders>
            <w:shd w:val="clear" w:color="auto" w:fill="FFFFFF" w:themeFill="background1"/>
          </w:tcPr>
          <w:p w14:paraId="7EA4AD0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992" w:type="dxa"/>
            <w:tcBorders>
              <w:left w:val="single" w:sz="4" w:space="0" w:color="auto"/>
            </w:tcBorders>
            <w:shd w:val="clear" w:color="auto" w:fill="FFFFFF" w:themeFill="background1"/>
            <w:noWrap/>
            <w:hideMark/>
          </w:tcPr>
          <w:p w14:paraId="0E8DE59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3.8.1</w:t>
            </w:r>
          </w:p>
        </w:tc>
        <w:tc>
          <w:tcPr>
            <w:tcW w:w="2977" w:type="dxa"/>
            <w:tcBorders>
              <w:right w:val="single" w:sz="4" w:space="0" w:color="auto"/>
            </w:tcBorders>
            <w:shd w:val="clear" w:color="auto" w:fill="FFFFFF" w:themeFill="background1"/>
            <w:noWrap/>
            <w:hideMark/>
          </w:tcPr>
          <w:p w14:paraId="74ACBC3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Average access to basic health care (%)</w:t>
            </w:r>
          </w:p>
        </w:tc>
        <w:tc>
          <w:tcPr>
            <w:tcW w:w="1276" w:type="dxa"/>
            <w:tcBorders>
              <w:left w:val="single" w:sz="4" w:space="0" w:color="auto"/>
            </w:tcBorders>
            <w:shd w:val="clear" w:color="auto" w:fill="FFFFFF" w:themeFill="background1"/>
          </w:tcPr>
          <w:p w14:paraId="21BDBAA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0.99</w:t>
            </w:r>
          </w:p>
        </w:tc>
        <w:tc>
          <w:tcPr>
            <w:tcW w:w="1134" w:type="dxa"/>
            <w:shd w:val="clear" w:color="auto" w:fill="D9D9D9" w:themeFill="background1" w:themeFillShade="D9"/>
            <w:noWrap/>
            <w:hideMark/>
          </w:tcPr>
          <w:p w14:paraId="06AECB3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0.99</w:t>
            </w:r>
          </w:p>
        </w:tc>
        <w:tc>
          <w:tcPr>
            <w:tcW w:w="1389" w:type="dxa"/>
            <w:shd w:val="clear" w:color="auto" w:fill="FFFFFF" w:themeFill="background1"/>
          </w:tcPr>
          <w:p w14:paraId="7AB71DC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5DFE2D7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SDG Target 3.8 already achieved for Australia.  Maintain performance.</w:t>
            </w:r>
          </w:p>
        </w:tc>
      </w:tr>
      <w:tr w:rsidR="003F50A4" w:rsidRPr="00FF510F" w14:paraId="7BF1131C" w14:textId="77777777" w:rsidTr="003F50A4">
        <w:trPr>
          <w:trHeight w:val="54"/>
        </w:trPr>
        <w:tc>
          <w:tcPr>
            <w:tcW w:w="510" w:type="dxa"/>
            <w:shd w:val="clear" w:color="auto" w:fill="D9D9D9" w:themeFill="background1" w:themeFillShade="D9"/>
          </w:tcPr>
          <w:p w14:paraId="2DF90D98" w14:textId="77777777" w:rsidR="003F50A4" w:rsidRPr="00FF510F" w:rsidRDefault="003F50A4" w:rsidP="007F346F">
            <w:pPr>
              <w:spacing w:after="0"/>
              <w:rPr>
                <w:rFonts w:ascii="Corbel" w:hAnsi="Corbel" w:cstheme="minorHAnsi"/>
                <w:sz w:val="8"/>
                <w:szCs w:val="8"/>
                <w:lang w:val="en-US"/>
              </w:rPr>
            </w:pPr>
          </w:p>
        </w:tc>
        <w:tc>
          <w:tcPr>
            <w:tcW w:w="4195" w:type="dxa"/>
            <w:tcBorders>
              <w:right w:val="single" w:sz="4" w:space="0" w:color="auto"/>
            </w:tcBorders>
            <w:shd w:val="clear" w:color="auto" w:fill="D9D9D9" w:themeFill="background1" w:themeFillShade="D9"/>
          </w:tcPr>
          <w:p w14:paraId="468B4A79" w14:textId="77777777" w:rsidR="003F50A4" w:rsidRPr="00FF510F" w:rsidRDefault="003F50A4" w:rsidP="007F346F">
            <w:pPr>
              <w:spacing w:after="0"/>
              <w:rPr>
                <w:rFonts w:ascii="Corbel" w:hAnsi="Corbel" w:cstheme="minorHAnsi"/>
                <w:sz w:val="8"/>
                <w:szCs w:val="8"/>
                <w:lang w:val="en-US"/>
              </w:rPr>
            </w:pPr>
          </w:p>
        </w:tc>
        <w:tc>
          <w:tcPr>
            <w:tcW w:w="427" w:type="dxa"/>
            <w:tcBorders>
              <w:left w:val="single" w:sz="4" w:space="0" w:color="auto"/>
              <w:right w:val="single" w:sz="4" w:space="0" w:color="auto"/>
            </w:tcBorders>
            <w:shd w:val="clear" w:color="auto" w:fill="D9D9D9" w:themeFill="background1" w:themeFillShade="D9"/>
          </w:tcPr>
          <w:p w14:paraId="7DB64C64"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559D8BB7"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1805E132"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349CFC5A"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0589E396"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15ECB1A2"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346759E9" w14:textId="77777777" w:rsidR="003F50A4" w:rsidRPr="00FF510F" w:rsidRDefault="003F50A4" w:rsidP="007F346F">
            <w:pPr>
              <w:spacing w:after="0"/>
              <w:rPr>
                <w:rFonts w:ascii="Corbel" w:hAnsi="Corbel" w:cstheme="minorHAnsi"/>
                <w:sz w:val="8"/>
                <w:szCs w:val="8"/>
                <w:lang w:val="en-US"/>
              </w:rPr>
            </w:pPr>
          </w:p>
        </w:tc>
      </w:tr>
      <w:tr w:rsidR="003F50A4" w:rsidRPr="00FF510F" w14:paraId="31C35A4D" w14:textId="77777777" w:rsidTr="003F50A4">
        <w:trPr>
          <w:trHeight w:val="300"/>
        </w:trPr>
        <w:tc>
          <w:tcPr>
            <w:tcW w:w="510" w:type="dxa"/>
            <w:shd w:val="clear" w:color="auto" w:fill="FFFFFF" w:themeFill="background1"/>
          </w:tcPr>
          <w:p w14:paraId="6A7726B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w:t>
            </w:r>
          </w:p>
        </w:tc>
        <w:tc>
          <w:tcPr>
            <w:tcW w:w="4195" w:type="dxa"/>
            <w:tcBorders>
              <w:right w:val="single" w:sz="4" w:space="0" w:color="auto"/>
            </w:tcBorders>
            <w:shd w:val="clear" w:color="auto" w:fill="auto"/>
          </w:tcPr>
          <w:p w14:paraId="7814F29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4.1 By 2030, ensure that all girls and boys complete free, equitable and quality primary and secondary education leading to relevant and effective learning outcomes</w:t>
            </w:r>
          </w:p>
        </w:tc>
        <w:tc>
          <w:tcPr>
            <w:tcW w:w="427" w:type="dxa"/>
            <w:tcBorders>
              <w:left w:val="single" w:sz="4" w:space="0" w:color="auto"/>
              <w:right w:val="single" w:sz="4" w:space="0" w:color="auto"/>
            </w:tcBorders>
            <w:shd w:val="clear" w:color="auto" w:fill="FFFFFF" w:themeFill="background1"/>
          </w:tcPr>
          <w:p w14:paraId="19C9E876" w14:textId="35F256BB"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992" w:type="dxa"/>
            <w:tcBorders>
              <w:left w:val="single" w:sz="4" w:space="0" w:color="auto"/>
            </w:tcBorders>
            <w:shd w:val="clear" w:color="auto" w:fill="FFFFFF" w:themeFill="background1"/>
            <w:noWrap/>
            <w:hideMark/>
          </w:tcPr>
          <w:p w14:paraId="71E7B5F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4.1.1</w:t>
            </w:r>
          </w:p>
        </w:tc>
        <w:tc>
          <w:tcPr>
            <w:tcW w:w="2977" w:type="dxa"/>
            <w:tcBorders>
              <w:right w:val="single" w:sz="4" w:space="0" w:color="auto"/>
            </w:tcBorders>
            <w:shd w:val="clear" w:color="auto" w:fill="FFFFFF" w:themeFill="background1"/>
            <w:noWrap/>
            <w:hideMark/>
          </w:tcPr>
          <w:p w14:paraId="613C4F9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Proportion of population age 20 to 24 that has completed secondary school (%)</w:t>
            </w:r>
          </w:p>
        </w:tc>
        <w:tc>
          <w:tcPr>
            <w:tcW w:w="1276" w:type="dxa"/>
            <w:tcBorders>
              <w:left w:val="single" w:sz="4" w:space="0" w:color="auto"/>
            </w:tcBorders>
            <w:shd w:val="clear" w:color="auto" w:fill="FFFFFF" w:themeFill="background1"/>
          </w:tcPr>
          <w:p w14:paraId="61C6611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0.86 </w:t>
            </w:r>
          </w:p>
        </w:tc>
        <w:tc>
          <w:tcPr>
            <w:tcW w:w="1134" w:type="dxa"/>
            <w:shd w:val="clear" w:color="auto" w:fill="D9D9D9" w:themeFill="background1" w:themeFillShade="D9"/>
            <w:noWrap/>
            <w:hideMark/>
          </w:tcPr>
          <w:p w14:paraId="1287BE9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0.9</w:t>
            </w:r>
          </w:p>
        </w:tc>
        <w:tc>
          <w:tcPr>
            <w:tcW w:w="1389" w:type="dxa"/>
            <w:shd w:val="clear" w:color="auto" w:fill="FFFFFF" w:themeFill="background1"/>
          </w:tcPr>
          <w:p w14:paraId="7CA898A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0.92</w:t>
            </w:r>
          </w:p>
        </w:tc>
        <w:tc>
          <w:tcPr>
            <w:tcW w:w="2552" w:type="dxa"/>
            <w:shd w:val="clear" w:color="auto" w:fill="FFFFFF" w:themeFill="background1"/>
          </w:tcPr>
          <w:p w14:paraId="6AF41B2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4.1 is ‘universal completion’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Target level of 0.9 (90%) by 2030 set based on historic data and BAU projection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&lt;EndNote&gt;&lt;Cite&gt;&lt;Author&gt;World Bank&lt;/Author&gt;&lt;Year&gt;2022&lt;/Year&gt;&lt;RecNum&gt;1061&lt;/RecNum&gt;&lt;DisplayText&gt;(World Bank, 2022b, OECD, 2017a)&lt;/DisplayText&gt;&lt;record&gt;&lt;rec-number&gt;1061&lt;/rec-number&gt;&lt;foreign-keys&gt;&lt;key app="EN" db-id="9vsrvaat7fadwtesfsrpw5w5t0x5v500ef25" timestamp="1565160465"&gt;1061&lt;/key&gt;&lt;/foreign-keys&gt;&lt;ref-type name="Dataset"&gt;59&lt;/ref-type&gt;&lt;contributors&gt;&lt;authors&gt;&lt;author&gt;World Bank,&lt;/author&gt;&lt;/authors&gt;&lt;/contributors&gt;&lt;titles&gt;&lt;title&gt;World Development Indicators DataBank&lt;/title&gt;&lt;/titles&gt;&lt;dates&gt;&lt;year&gt;2022&lt;/year&gt;&lt;/dates&gt;&lt;pub-location&gt;Washington, USA&lt;/pub-location&gt;&lt;urls&gt;&lt;related-urls&gt;&lt;url&gt;https://data.worldbank.org/indicator/SP.DYN.CONU.ZS?view=chart&lt;/url&gt;&lt;/related-urls&gt;&lt;/urls&gt;&lt;access-date&gt;08/08/18&lt;/access-date&gt;&lt;/record&gt;&lt;/Cite&gt;&lt;Cite&gt;&lt;Author&gt;OECD&lt;/Author&gt;&lt;Year&gt;2017&lt;/Year&gt;&lt;RecNum&gt;1063&lt;/RecNum&gt;&lt;record&gt;&lt;rec-number&gt;1063&lt;/rec-number&gt;&lt;foreign-keys&gt;&lt;key app="EN" db-id="9vsrvaat7fadwtesfsrpw5w5t0x5v500ef25" timestamp="1565161799"&gt;1063&lt;/key&gt;&lt;/foreign-keys&gt;&lt;ref-type name="Dataset"&gt;59&lt;/ref-type&gt;&lt;contributors&gt;&lt;authors&gt;&lt;author&gt;OECD,&lt;/author&gt;&lt;/authors&gt;&lt;/contributors&gt;&lt;titles&gt;&lt;title&gt;Education Database - Education at a Glance&lt;/title&gt;&lt;/titles&gt;&lt;dates&gt;&lt;year&gt;2017&lt;/year&gt;&lt;/dates&gt;&lt;pub-location&gt;Paris, France&lt;/pub-location&gt;&lt;urls&gt;&lt;related-urls&gt;&lt;url&gt;https://data.oecd.org/students/enrolment-rate-in-secondary-and-tertiary-education.htm&lt;/url&gt;&lt;/related-urls&gt;&lt;/urls&gt;&lt;access-date&gt;03/03/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(World Bank, 2022b, OECD, 2017a)</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Increase to 92% by 2050.</w:t>
            </w:r>
          </w:p>
        </w:tc>
      </w:tr>
      <w:tr w:rsidR="003F50A4" w:rsidRPr="00FF510F" w14:paraId="6F85DE6A" w14:textId="77777777" w:rsidTr="003F50A4">
        <w:trPr>
          <w:trHeight w:val="300"/>
        </w:trPr>
        <w:tc>
          <w:tcPr>
            <w:tcW w:w="510" w:type="dxa"/>
            <w:shd w:val="clear" w:color="auto" w:fill="FFFFFF" w:themeFill="background1"/>
          </w:tcPr>
          <w:p w14:paraId="2E6C046E"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00F2BC3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4.3 By 2030, ensure equal access for all women and men to affordable and quality technical, </w:t>
            </w:r>
            <w:proofErr w:type="gramStart"/>
            <w:r w:rsidRPr="00FF510F">
              <w:rPr>
                <w:rFonts w:ascii="Corbel" w:hAnsi="Corbel" w:cstheme="minorHAnsi"/>
                <w:sz w:val="16"/>
                <w:szCs w:val="16"/>
                <w:lang w:val="en-US"/>
              </w:rPr>
              <w:t>vocational</w:t>
            </w:r>
            <w:proofErr w:type="gramEnd"/>
            <w:r w:rsidRPr="00FF510F">
              <w:rPr>
                <w:rFonts w:ascii="Corbel" w:hAnsi="Corbel" w:cstheme="minorHAnsi"/>
                <w:sz w:val="16"/>
                <w:szCs w:val="16"/>
                <w:lang w:val="en-US"/>
              </w:rPr>
              <w:t xml:space="preserve"> and tertiary education, including university</w:t>
            </w:r>
          </w:p>
        </w:tc>
        <w:tc>
          <w:tcPr>
            <w:tcW w:w="427" w:type="dxa"/>
            <w:tcBorders>
              <w:left w:val="single" w:sz="4" w:space="0" w:color="auto"/>
              <w:right w:val="single" w:sz="4" w:space="0" w:color="auto"/>
            </w:tcBorders>
            <w:shd w:val="clear" w:color="auto" w:fill="FFFFFF" w:themeFill="background1"/>
          </w:tcPr>
          <w:p w14:paraId="6C9B799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992" w:type="dxa"/>
            <w:tcBorders>
              <w:left w:val="single" w:sz="4" w:space="0" w:color="auto"/>
            </w:tcBorders>
            <w:shd w:val="clear" w:color="auto" w:fill="FFFFFF" w:themeFill="background1"/>
            <w:noWrap/>
            <w:hideMark/>
          </w:tcPr>
          <w:p w14:paraId="2395AB7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4.3.1</w:t>
            </w:r>
          </w:p>
        </w:tc>
        <w:tc>
          <w:tcPr>
            <w:tcW w:w="2977" w:type="dxa"/>
            <w:tcBorders>
              <w:right w:val="single" w:sz="4" w:space="0" w:color="auto"/>
            </w:tcBorders>
            <w:shd w:val="clear" w:color="auto" w:fill="FFFFFF" w:themeFill="background1"/>
            <w:noWrap/>
            <w:hideMark/>
          </w:tcPr>
          <w:p w14:paraId="3FDEF06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Proportion of population age 20 to 29 that has enrolled in tertiary education (%)</w:t>
            </w:r>
          </w:p>
        </w:tc>
        <w:tc>
          <w:tcPr>
            <w:tcW w:w="1276" w:type="dxa"/>
            <w:tcBorders>
              <w:left w:val="single" w:sz="4" w:space="0" w:color="auto"/>
            </w:tcBorders>
            <w:shd w:val="clear" w:color="auto" w:fill="FFFFFF" w:themeFill="background1"/>
          </w:tcPr>
          <w:p w14:paraId="66BA98C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0.5 </w:t>
            </w:r>
          </w:p>
        </w:tc>
        <w:tc>
          <w:tcPr>
            <w:tcW w:w="1134" w:type="dxa"/>
            <w:shd w:val="clear" w:color="auto" w:fill="D9D9D9" w:themeFill="background1" w:themeFillShade="D9"/>
            <w:noWrap/>
            <w:hideMark/>
          </w:tcPr>
          <w:p w14:paraId="1F831A6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0.75</w:t>
            </w:r>
          </w:p>
        </w:tc>
        <w:tc>
          <w:tcPr>
            <w:tcW w:w="1389" w:type="dxa"/>
            <w:shd w:val="clear" w:color="auto" w:fill="FFFFFF" w:themeFill="background1"/>
          </w:tcPr>
          <w:p w14:paraId="03999A2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36BC43E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as 50% improvement on baseline value; calibrated off historic data and BAU projection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&lt;EndNote&gt;&lt;Cite&gt;&lt;Author&gt;World Bank&lt;/Author&gt;&lt;Year&gt;2022&lt;/Year&gt;&lt;RecNum&gt;1061&lt;/RecNum&gt;&lt;DisplayText&gt;(World Bank, 2022b, OECD, 2017a)&lt;/DisplayText&gt;&lt;record&gt;&lt;rec-number&gt;1061&lt;/rec-number&gt;&lt;foreign-keys&gt;&lt;key app="EN" db-id="9vsrvaat7fadwtesfsrpw5w5t0x5v500ef25" timestamp="1565160465"&gt;1061&lt;/key&gt;&lt;/foreign-keys&gt;&lt;ref-type name="Dataset"&gt;59&lt;/ref-type&gt;&lt;contributors&gt;&lt;authors&gt;&lt;author&gt;World Bank,&lt;/author&gt;&lt;/authors&gt;&lt;/contributors&gt;&lt;titles&gt;&lt;title&gt;World Development Indicators DataBank&lt;/title&gt;&lt;/titles&gt;&lt;dates&gt;&lt;year&gt;2022&lt;/year&gt;&lt;/dates&gt;&lt;pub-location&gt;Washington, USA&lt;/pub-location&gt;&lt;urls&gt;&lt;related-urls&gt;&lt;url&gt;https://data.worldbank.org/indicator/SP.DYN.CONU.ZS?view=chart&lt;/url&gt;&lt;/related-urls&gt;&lt;/urls&gt;&lt;access-date&gt;08/08/18&lt;/access-date&gt;&lt;/record&gt;&lt;/Cite&gt;&lt;Cite&gt;&lt;Author&gt;OECD&lt;/Author&gt;&lt;Year&gt;2017&lt;/Year&gt;&lt;RecNum&gt;1063&lt;/RecNum&gt;&lt;record&gt;&lt;rec-number&gt;1063&lt;/rec-number&gt;&lt;foreign-keys&gt;&lt;key app="EN" db-id="9vsrvaat7fadwtesfsrpw5w5t0x5v500ef25" timestamp="1565161799"&gt;1063&lt;/key&gt;&lt;/foreign-keys&gt;&lt;ref-type name="Dataset"&gt;59&lt;/ref-type&gt;&lt;contributors&gt;&lt;authors&gt;&lt;author&gt;OECD,&lt;/author&gt;&lt;/authors&gt;&lt;/contributors&gt;&lt;titles&gt;&lt;title&gt;Education Database - Education at a Glance&lt;/title&gt;&lt;/titles&gt;&lt;dates&gt;&lt;year&gt;2017&lt;/year&gt;&lt;/dates&gt;&lt;pub-location&gt;Paris, France&lt;/pub-location&gt;&lt;urls&gt;&lt;related-urls&gt;&lt;url&gt;https://data.oecd.org/students/enrolment-rate-in-secondary-and-tertiary-education.htm&lt;/url&gt;&lt;/related-urls&gt;&lt;/urls&gt;&lt;access-date&gt;03/03/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(World Bank, 2022b, OECD, 2017a)</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4B4130D8" w14:textId="77777777" w:rsidTr="003F50A4">
        <w:trPr>
          <w:trHeight w:val="300"/>
        </w:trPr>
        <w:tc>
          <w:tcPr>
            <w:tcW w:w="510" w:type="dxa"/>
            <w:shd w:val="clear" w:color="auto" w:fill="FFFFFF" w:themeFill="background1"/>
          </w:tcPr>
          <w:p w14:paraId="7DB27F1E"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43C3906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4.3</w:t>
            </w:r>
          </w:p>
        </w:tc>
        <w:tc>
          <w:tcPr>
            <w:tcW w:w="427" w:type="dxa"/>
            <w:tcBorders>
              <w:left w:val="single" w:sz="4" w:space="0" w:color="auto"/>
              <w:right w:val="single" w:sz="4" w:space="0" w:color="auto"/>
            </w:tcBorders>
            <w:shd w:val="clear" w:color="auto" w:fill="FFFFFF" w:themeFill="background1"/>
          </w:tcPr>
          <w:p w14:paraId="439B46F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992" w:type="dxa"/>
            <w:tcBorders>
              <w:left w:val="single" w:sz="4" w:space="0" w:color="auto"/>
            </w:tcBorders>
            <w:shd w:val="clear" w:color="auto" w:fill="FFFFFF" w:themeFill="background1"/>
            <w:noWrap/>
          </w:tcPr>
          <w:p w14:paraId="36FE302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4.3.1.ALT</w:t>
            </w:r>
          </w:p>
        </w:tc>
        <w:tc>
          <w:tcPr>
            <w:tcW w:w="2977" w:type="dxa"/>
            <w:tcBorders>
              <w:right w:val="single" w:sz="4" w:space="0" w:color="auto"/>
            </w:tcBorders>
            <w:shd w:val="clear" w:color="auto" w:fill="FFFFFF" w:themeFill="background1"/>
            <w:noWrap/>
          </w:tcPr>
          <w:p w14:paraId="5089E10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Gender parity ratio in tertiary education (women proportion of total tertiary graduates)</w:t>
            </w:r>
          </w:p>
        </w:tc>
        <w:tc>
          <w:tcPr>
            <w:tcW w:w="1276" w:type="dxa"/>
            <w:tcBorders>
              <w:left w:val="single" w:sz="4" w:space="0" w:color="auto"/>
            </w:tcBorders>
            <w:shd w:val="clear" w:color="auto" w:fill="FFFFFF" w:themeFill="background1"/>
          </w:tcPr>
          <w:p w14:paraId="548B488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0.53</w:t>
            </w:r>
          </w:p>
        </w:tc>
        <w:tc>
          <w:tcPr>
            <w:tcW w:w="1134" w:type="dxa"/>
            <w:shd w:val="clear" w:color="auto" w:fill="D9D9D9" w:themeFill="background1" w:themeFillShade="D9"/>
            <w:noWrap/>
          </w:tcPr>
          <w:p w14:paraId="7E6A1B3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~0.5</w:t>
            </w:r>
          </w:p>
        </w:tc>
        <w:tc>
          <w:tcPr>
            <w:tcW w:w="1389" w:type="dxa"/>
            <w:shd w:val="clear" w:color="auto" w:fill="FFFFFF" w:themeFill="background1"/>
          </w:tcPr>
          <w:p w14:paraId="47A3D5D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734F7B7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4.3 is for ‘equal access’ or gender parity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Target set as maintain at ~50% (+/-0.03%).</w:t>
            </w:r>
          </w:p>
        </w:tc>
      </w:tr>
      <w:tr w:rsidR="003F50A4" w:rsidRPr="00FF510F" w14:paraId="2758BBA2" w14:textId="77777777" w:rsidTr="003F50A4">
        <w:trPr>
          <w:trHeight w:val="300"/>
        </w:trPr>
        <w:tc>
          <w:tcPr>
            <w:tcW w:w="510" w:type="dxa"/>
            <w:shd w:val="clear" w:color="auto" w:fill="FFFFFF" w:themeFill="background1"/>
          </w:tcPr>
          <w:p w14:paraId="1EFB9E6B"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35F9417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4.5 By 2030, eliminate gender disparities in education and ensure equal access to all levels of education and vocational training for the vulnerable, including persons with disabilities, indigenous </w:t>
            </w:r>
            <w:proofErr w:type="gramStart"/>
            <w:r w:rsidRPr="00FF510F">
              <w:rPr>
                <w:rFonts w:ascii="Corbel" w:hAnsi="Corbel" w:cstheme="minorHAnsi"/>
                <w:sz w:val="16"/>
                <w:szCs w:val="16"/>
                <w:lang w:val="en-US"/>
              </w:rPr>
              <w:t>peoples</w:t>
            </w:r>
            <w:proofErr w:type="gramEnd"/>
            <w:r w:rsidRPr="00FF510F">
              <w:rPr>
                <w:rFonts w:ascii="Corbel" w:hAnsi="Corbel" w:cstheme="minorHAnsi"/>
                <w:sz w:val="16"/>
                <w:szCs w:val="16"/>
                <w:lang w:val="en-US"/>
              </w:rPr>
              <w:t xml:space="preserve"> and children in vulnerable situations</w:t>
            </w:r>
          </w:p>
        </w:tc>
        <w:tc>
          <w:tcPr>
            <w:tcW w:w="427" w:type="dxa"/>
            <w:tcBorders>
              <w:left w:val="single" w:sz="4" w:space="0" w:color="auto"/>
              <w:right w:val="single" w:sz="4" w:space="0" w:color="auto"/>
            </w:tcBorders>
            <w:shd w:val="clear" w:color="auto" w:fill="FFFFFF" w:themeFill="background1"/>
          </w:tcPr>
          <w:p w14:paraId="4658E26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992" w:type="dxa"/>
            <w:tcBorders>
              <w:left w:val="single" w:sz="4" w:space="0" w:color="auto"/>
            </w:tcBorders>
            <w:shd w:val="clear" w:color="auto" w:fill="FFFFFF" w:themeFill="background1"/>
            <w:noWrap/>
            <w:hideMark/>
          </w:tcPr>
          <w:p w14:paraId="5AF1737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4.5.1</w:t>
            </w:r>
          </w:p>
        </w:tc>
        <w:tc>
          <w:tcPr>
            <w:tcW w:w="2977" w:type="dxa"/>
            <w:tcBorders>
              <w:right w:val="single" w:sz="4" w:space="0" w:color="auto"/>
            </w:tcBorders>
            <w:shd w:val="clear" w:color="auto" w:fill="FFFFFF" w:themeFill="background1"/>
            <w:noWrap/>
            <w:hideMark/>
          </w:tcPr>
          <w:p w14:paraId="7BE84A7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Adult literacy gender gap ratio</w:t>
            </w:r>
          </w:p>
        </w:tc>
        <w:tc>
          <w:tcPr>
            <w:tcW w:w="1276" w:type="dxa"/>
            <w:tcBorders>
              <w:left w:val="single" w:sz="4" w:space="0" w:color="auto"/>
            </w:tcBorders>
            <w:shd w:val="clear" w:color="auto" w:fill="FFFFFF" w:themeFill="background1"/>
          </w:tcPr>
          <w:p w14:paraId="197E939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0.01</w:t>
            </w:r>
          </w:p>
        </w:tc>
        <w:tc>
          <w:tcPr>
            <w:tcW w:w="1134" w:type="dxa"/>
            <w:shd w:val="clear" w:color="auto" w:fill="D9D9D9" w:themeFill="background1" w:themeFillShade="D9"/>
            <w:noWrap/>
            <w:hideMark/>
          </w:tcPr>
          <w:p w14:paraId="27F0331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0.01</w:t>
            </w:r>
          </w:p>
        </w:tc>
        <w:tc>
          <w:tcPr>
            <w:tcW w:w="1389" w:type="dxa"/>
            <w:shd w:val="clear" w:color="auto" w:fill="FFFFFF" w:themeFill="background1"/>
          </w:tcPr>
          <w:p w14:paraId="44E5A8A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3984666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4.5 is to ‘eliminate gender disparity’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Target set as maintain at ~0% (+/-0.03%).</w:t>
            </w:r>
          </w:p>
        </w:tc>
      </w:tr>
      <w:tr w:rsidR="003F50A4" w:rsidRPr="00FF510F" w14:paraId="44F68620" w14:textId="77777777" w:rsidTr="003F50A4">
        <w:trPr>
          <w:trHeight w:val="300"/>
        </w:trPr>
        <w:tc>
          <w:tcPr>
            <w:tcW w:w="510" w:type="dxa"/>
            <w:shd w:val="clear" w:color="auto" w:fill="FFFFFF" w:themeFill="background1"/>
          </w:tcPr>
          <w:p w14:paraId="1222FD43"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635AAAC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4.6 By 2030, ensure that all youth and a substantial proportion of adults, both men and women, achieve literacy and numeracy</w:t>
            </w:r>
          </w:p>
        </w:tc>
        <w:tc>
          <w:tcPr>
            <w:tcW w:w="427" w:type="dxa"/>
            <w:tcBorders>
              <w:left w:val="single" w:sz="4" w:space="0" w:color="auto"/>
              <w:right w:val="single" w:sz="4" w:space="0" w:color="auto"/>
            </w:tcBorders>
            <w:shd w:val="clear" w:color="auto" w:fill="FFFFFF" w:themeFill="background1"/>
          </w:tcPr>
          <w:p w14:paraId="24ACC02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992" w:type="dxa"/>
            <w:tcBorders>
              <w:left w:val="single" w:sz="4" w:space="0" w:color="auto"/>
            </w:tcBorders>
            <w:shd w:val="clear" w:color="auto" w:fill="FFFFFF" w:themeFill="background1"/>
            <w:noWrap/>
            <w:hideMark/>
          </w:tcPr>
          <w:p w14:paraId="1255606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4.6.1</w:t>
            </w:r>
          </w:p>
        </w:tc>
        <w:tc>
          <w:tcPr>
            <w:tcW w:w="2977" w:type="dxa"/>
            <w:tcBorders>
              <w:right w:val="single" w:sz="4" w:space="0" w:color="auto"/>
            </w:tcBorders>
            <w:shd w:val="clear" w:color="auto" w:fill="FFFFFF" w:themeFill="background1"/>
            <w:noWrap/>
            <w:hideMark/>
          </w:tcPr>
          <w:p w14:paraId="70612CE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Average adult literacy rate (%)</w:t>
            </w:r>
          </w:p>
        </w:tc>
        <w:tc>
          <w:tcPr>
            <w:tcW w:w="1276" w:type="dxa"/>
            <w:tcBorders>
              <w:left w:val="single" w:sz="4" w:space="0" w:color="auto"/>
            </w:tcBorders>
            <w:shd w:val="clear" w:color="auto" w:fill="FFFFFF" w:themeFill="background1"/>
          </w:tcPr>
          <w:p w14:paraId="5B03BA8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0.97</w:t>
            </w:r>
          </w:p>
        </w:tc>
        <w:tc>
          <w:tcPr>
            <w:tcW w:w="1134" w:type="dxa"/>
            <w:shd w:val="clear" w:color="auto" w:fill="D9D9D9" w:themeFill="background1" w:themeFillShade="D9"/>
            <w:noWrap/>
            <w:hideMark/>
          </w:tcPr>
          <w:p w14:paraId="3917EAE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0.97</w:t>
            </w:r>
          </w:p>
        </w:tc>
        <w:tc>
          <w:tcPr>
            <w:tcW w:w="1389" w:type="dxa"/>
            <w:shd w:val="clear" w:color="auto" w:fill="FFFFFF" w:themeFill="background1"/>
          </w:tcPr>
          <w:p w14:paraId="659C085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2DF9030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4.6 is a ‘substantial proportion’ of adults ’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Target already achieved for Australia.  Maintain performance.</w:t>
            </w:r>
          </w:p>
        </w:tc>
      </w:tr>
      <w:tr w:rsidR="003F50A4" w:rsidRPr="00FF510F" w14:paraId="1DF9DCBC" w14:textId="77777777" w:rsidTr="003F50A4">
        <w:trPr>
          <w:trHeight w:val="300"/>
        </w:trPr>
        <w:tc>
          <w:tcPr>
            <w:tcW w:w="510" w:type="dxa"/>
            <w:shd w:val="clear" w:color="auto" w:fill="FFFFFF" w:themeFill="background1"/>
          </w:tcPr>
          <w:p w14:paraId="40845E41"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3120BB4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4.6</w:t>
            </w:r>
          </w:p>
        </w:tc>
        <w:tc>
          <w:tcPr>
            <w:tcW w:w="427" w:type="dxa"/>
            <w:tcBorders>
              <w:left w:val="single" w:sz="4" w:space="0" w:color="auto"/>
              <w:right w:val="single" w:sz="4" w:space="0" w:color="auto"/>
            </w:tcBorders>
            <w:shd w:val="clear" w:color="auto" w:fill="FFFFFF" w:themeFill="background1"/>
          </w:tcPr>
          <w:p w14:paraId="33F9F22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992" w:type="dxa"/>
            <w:tcBorders>
              <w:left w:val="single" w:sz="4" w:space="0" w:color="auto"/>
            </w:tcBorders>
            <w:shd w:val="clear" w:color="auto" w:fill="FFFFFF" w:themeFill="background1"/>
            <w:noWrap/>
          </w:tcPr>
          <w:p w14:paraId="16CA78F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4.6.1alt</w:t>
            </w:r>
          </w:p>
        </w:tc>
        <w:tc>
          <w:tcPr>
            <w:tcW w:w="2977" w:type="dxa"/>
            <w:tcBorders>
              <w:right w:val="single" w:sz="4" w:space="0" w:color="auto"/>
            </w:tcBorders>
            <w:shd w:val="clear" w:color="auto" w:fill="FFFFFF" w:themeFill="background1"/>
            <w:noWrap/>
          </w:tcPr>
          <w:p w14:paraId="709040B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Total average years of schooling </w:t>
            </w:r>
          </w:p>
        </w:tc>
        <w:tc>
          <w:tcPr>
            <w:tcW w:w="1276" w:type="dxa"/>
            <w:tcBorders>
              <w:left w:val="single" w:sz="4" w:space="0" w:color="auto"/>
            </w:tcBorders>
            <w:shd w:val="clear" w:color="auto" w:fill="FFFFFF" w:themeFill="background1"/>
          </w:tcPr>
          <w:p w14:paraId="690EF51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11.73 </w:t>
            </w:r>
          </w:p>
        </w:tc>
        <w:tc>
          <w:tcPr>
            <w:tcW w:w="1134" w:type="dxa"/>
            <w:shd w:val="clear" w:color="auto" w:fill="D9D9D9" w:themeFill="background1" w:themeFillShade="D9"/>
            <w:noWrap/>
          </w:tcPr>
          <w:p w14:paraId="7DDE042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12.3</w:t>
            </w:r>
          </w:p>
        </w:tc>
        <w:tc>
          <w:tcPr>
            <w:tcW w:w="1389" w:type="dxa"/>
            <w:shd w:val="clear" w:color="auto" w:fill="FFFFFF" w:themeFill="background1"/>
          </w:tcPr>
          <w:p w14:paraId="4952CD0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13</w:t>
            </w:r>
          </w:p>
        </w:tc>
        <w:tc>
          <w:tcPr>
            <w:tcW w:w="2552" w:type="dxa"/>
            <w:shd w:val="clear" w:color="auto" w:fill="FFFFFF" w:themeFill="background1"/>
          </w:tcPr>
          <w:p w14:paraId="08902C2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calibrated from historic data and BAU projection and set at 12.3 by 2030 and 13 by 2050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&lt;EndNote&gt;&lt;Cite&gt;&lt;Author&gt;Barro&lt;/Author&gt;&lt;Year&gt;2013&lt;/Year&gt;&lt;RecNum&gt;1064&lt;/RecNum&gt;&lt;DisplayText&gt;(Barro and Lee, 2013)&lt;/DisplayText&gt;&lt;record&gt;&lt;rec-number&gt;1064&lt;/rec-number&gt;&lt;foreign-keys&gt;&lt;key app="EN" db-id="9vsrvaat7fadwtesfsrpw5w5t0x5v500ef25" timestamp="1565162795"&gt;1064&lt;/key&gt;&lt;/foreign-keys&gt;&lt;ref-type name="Journal Article"&gt;17&lt;/ref-type&gt;&lt;contributors&gt;&lt;authors&gt;&lt;author&gt;Barro, R&lt;/author&gt;&lt;author&gt;Lee, JW&lt;/author&gt;&lt;/authors&gt;&lt;/contributors&gt;&lt;titles&gt;&lt;title&gt;A New Data Set of Educational Attainment in the World, 1950-2010&lt;/title&gt;&lt;secondary-title&gt;Journal of Development Economics&lt;/secondary-title&gt;&lt;/titles&gt;&lt;periodical&gt;&lt;full-title&gt;Journal of Development Economics&lt;/full-title&gt;&lt;/periodical&gt;&lt;pages&gt;184-198&lt;/pages&gt;&lt;volume&gt;104&lt;/volume&gt;&lt;dates&gt;&lt;year&gt;2013&lt;/year&gt;&lt;/dates&gt;&lt;urls&gt;&lt;/urls&gt;&lt;electronic-resource-num&gt;https://doi.org/10.1016/j.jdeveco.2012.10.001&lt;/electronic-resource-num&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(Barro and Lee, 2013)</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6419E0B6" w14:textId="77777777" w:rsidTr="003F50A4">
        <w:trPr>
          <w:trHeight w:val="54"/>
        </w:trPr>
        <w:tc>
          <w:tcPr>
            <w:tcW w:w="510" w:type="dxa"/>
            <w:shd w:val="clear" w:color="auto" w:fill="D9D9D9" w:themeFill="background1" w:themeFillShade="D9"/>
          </w:tcPr>
          <w:p w14:paraId="1595DD9C" w14:textId="77777777" w:rsidR="003F50A4" w:rsidRPr="00FF510F" w:rsidRDefault="003F50A4" w:rsidP="007F346F">
            <w:pPr>
              <w:spacing w:after="0"/>
              <w:rPr>
                <w:rFonts w:ascii="Corbel" w:hAnsi="Corbel" w:cstheme="minorHAnsi"/>
                <w:sz w:val="8"/>
                <w:szCs w:val="8"/>
                <w:lang w:val="en-US"/>
              </w:rPr>
            </w:pPr>
          </w:p>
        </w:tc>
        <w:tc>
          <w:tcPr>
            <w:tcW w:w="4195" w:type="dxa"/>
            <w:tcBorders>
              <w:right w:val="single" w:sz="4" w:space="0" w:color="auto"/>
            </w:tcBorders>
            <w:shd w:val="clear" w:color="auto" w:fill="D9D9D9" w:themeFill="background1" w:themeFillShade="D9"/>
          </w:tcPr>
          <w:p w14:paraId="31635DD3" w14:textId="77777777" w:rsidR="003F50A4" w:rsidRPr="00FF510F" w:rsidRDefault="003F50A4" w:rsidP="007F346F">
            <w:pPr>
              <w:spacing w:after="0"/>
              <w:rPr>
                <w:rFonts w:ascii="Corbel" w:hAnsi="Corbel" w:cstheme="minorHAnsi"/>
                <w:sz w:val="8"/>
                <w:szCs w:val="8"/>
                <w:lang w:val="en-US"/>
              </w:rPr>
            </w:pPr>
          </w:p>
        </w:tc>
        <w:tc>
          <w:tcPr>
            <w:tcW w:w="427" w:type="dxa"/>
            <w:tcBorders>
              <w:left w:val="single" w:sz="4" w:space="0" w:color="auto"/>
              <w:right w:val="single" w:sz="4" w:space="0" w:color="auto"/>
            </w:tcBorders>
            <w:shd w:val="clear" w:color="auto" w:fill="D9D9D9" w:themeFill="background1" w:themeFillShade="D9"/>
          </w:tcPr>
          <w:p w14:paraId="167176BB"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19E48F2B"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7055370A"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102D7358"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3AAEC26C"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5D657FB3"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19E0E766" w14:textId="77777777" w:rsidR="003F50A4" w:rsidRPr="00FF510F" w:rsidRDefault="003F50A4" w:rsidP="007F346F">
            <w:pPr>
              <w:spacing w:after="0"/>
              <w:rPr>
                <w:rFonts w:ascii="Corbel" w:hAnsi="Corbel" w:cstheme="minorHAnsi"/>
                <w:sz w:val="8"/>
                <w:szCs w:val="8"/>
                <w:lang w:val="en-US"/>
              </w:rPr>
            </w:pPr>
          </w:p>
        </w:tc>
      </w:tr>
      <w:tr w:rsidR="003F50A4" w:rsidRPr="00FF510F" w14:paraId="6EBD3A22" w14:textId="77777777" w:rsidTr="003F50A4">
        <w:trPr>
          <w:trHeight w:val="300"/>
        </w:trPr>
        <w:tc>
          <w:tcPr>
            <w:tcW w:w="510" w:type="dxa"/>
            <w:shd w:val="clear" w:color="auto" w:fill="FFFFFF" w:themeFill="background1"/>
          </w:tcPr>
          <w:p w14:paraId="4FCE89D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w:t>
            </w:r>
          </w:p>
        </w:tc>
        <w:tc>
          <w:tcPr>
            <w:tcW w:w="4195" w:type="dxa"/>
            <w:tcBorders>
              <w:right w:val="single" w:sz="4" w:space="0" w:color="auto"/>
            </w:tcBorders>
            <w:shd w:val="clear" w:color="auto" w:fill="auto"/>
          </w:tcPr>
          <w:p w14:paraId="418B1A9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5.5 Ensure women’s full and effective participation and equal opportunities for leadership at all levels of decision-making in political, </w:t>
            </w:r>
            <w:proofErr w:type="gramStart"/>
            <w:r w:rsidRPr="00FF510F">
              <w:rPr>
                <w:rFonts w:ascii="Corbel" w:hAnsi="Corbel" w:cstheme="minorHAnsi"/>
                <w:sz w:val="16"/>
                <w:szCs w:val="16"/>
                <w:lang w:val="en-US"/>
              </w:rPr>
              <w:t>economic</w:t>
            </w:r>
            <w:proofErr w:type="gramEnd"/>
            <w:r w:rsidRPr="00FF510F">
              <w:rPr>
                <w:rFonts w:ascii="Corbel" w:hAnsi="Corbel" w:cstheme="minorHAnsi"/>
                <w:sz w:val="16"/>
                <w:szCs w:val="16"/>
                <w:lang w:val="en-US"/>
              </w:rPr>
              <w:t xml:space="preserve"> and public life</w:t>
            </w:r>
          </w:p>
        </w:tc>
        <w:tc>
          <w:tcPr>
            <w:tcW w:w="427" w:type="dxa"/>
            <w:tcBorders>
              <w:left w:val="single" w:sz="4" w:space="0" w:color="auto"/>
              <w:right w:val="single" w:sz="4" w:space="0" w:color="auto"/>
            </w:tcBorders>
            <w:shd w:val="clear" w:color="auto" w:fill="FFFFFF" w:themeFill="background1"/>
          </w:tcPr>
          <w:p w14:paraId="5F757E26" w14:textId="7981FF5B"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hideMark/>
          </w:tcPr>
          <w:p w14:paraId="3975656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5.5.1</w:t>
            </w:r>
          </w:p>
        </w:tc>
        <w:tc>
          <w:tcPr>
            <w:tcW w:w="2977" w:type="dxa"/>
            <w:tcBorders>
              <w:right w:val="single" w:sz="4" w:space="0" w:color="auto"/>
            </w:tcBorders>
            <w:shd w:val="clear" w:color="auto" w:fill="FFFFFF" w:themeFill="background1"/>
            <w:noWrap/>
            <w:hideMark/>
          </w:tcPr>
          <w:p w14:paraId="67C0D67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Proportion of female </w:t>
            </w:r>
            <w:proofErr w:type="gramStart"/>
            <w:r w:rsidRPr="00FF510F">
              <w:rPr>
                <w:rFonts w:ascii="Corbel" w:hAnsi="Corbel" w:cstheme="minorHAnsi"/>
                <w:sz w:val="16"/>
                <w:szCs w:val="16"/>
                <w:lang w:val="en-US"/>
              </w:rPr>
              <w:t>legislators</w:t>
            </w:r>
            <w:proofErr w:type="gramEnd"/>
            <w:r w:rsidRPr="00FF510F">
              <w:rPr>
                <w:rFonts w:ascii="Corbel" w:hAnsi="Corbel" w:cstheme="minorHAnsi"/>
                <w:sz w:val="16"/>
                <w:szCs w:val="16"/>
                <w:lang w:val="en-US"/>
              </w:rPr>
              <w:t xml:space="preserve"> senior officials and managers (%)</w:t>
            </w:r>
          </w:p>
        </w:tc>
        <w:tc>
          <w:tcPr>
            <w:tcW w:w="1276" w:type="dxa"/>
            <w:tcBorders>
              <w:left w:val="single" w:sz="4" w:space="0" w:color="auto"/>
            </w:tcBorders>
            <w:shd w:val="clear" w:color="auto" w:fill="FFFFFF" w:themeFill="background1"/>
          </w:tcPr>
          <w:p w14:paraId="6BF0AB8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0.37</w:t>
            </w:r>
          </w:p>
        </w:tc>
        <w:tc>
          <w:tcPr>
            <w:tcW w:w="1134" w:type="dxa"/>
            <w:shd w:val="clear" w:color="auto" w:fill="D9D9D9" w:themeFill="background1" w:themeFillShade="D9"/>
            <w:noWrap/>
            <w:hideMark/>
          </w:tcPr>
          <w:p w14:paraId="0AF2715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0.5</w:t>
            </w:r>
          </w:p>
        </w:tc>
        <w:tc>
          <w:tcPr>
            <w:tcW w:w="1389" w:type="dxa"/>
            <w:shd w:val="clear" w:color="auto" w:fill="FFFFFF" w:themeFill="background1"/>
          </w:tcPr>
          <w:p w14:paraId="11F372D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4388B60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5.5 is for ‘equal opportunity’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Target set as gender parity ~0.5.</w:t>
            </w:r>
          </w:p>
        </w:tc>
      </w:tr>
      <w:tr w:rsidR="003F50A4" w:rsidRPr="00FF510F" w14:paraId="63BAFAAE" w14:textId="77777777" w:rsidTr="003F50A4">
        <w:trPr>
          <w:trHeight w:val="300"/>
        </w:trPr>
        <w:tc>
          <w:tcPr>
            <w:tcW w:w="510" w:type="dxa"/>
            <w:shd w:val="clear" w:color="auto" w:fill="FFFFFF" w:themeFill="background1"/>
          </w:tcPr>
          <w:p w14:paraId="6C6C1EA3"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0AE04FD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5.5</w:t>
            </w:r>
          </w:p>
        </w:tc>
        <w:tc>
          <w:tcPr>
            <w:tcW w:w="427" w:type="dxa"/>
            <w:tcBorders>
              <w:left w:val="single" w:sz="4" w:space="0" w:color="auto"/>
              <w:right w:val="single" w:sz="4" w:space="0" w:color="auto"/>
            </w:tcBorders>
            <w:shd w:val="clear" w:color="auto" w:fill="FFFFFF" w:themeFill="background1"/>
          </w:tcPr>
          <w:p w14:paraId="24301002" w14:textId="09220BE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tcPr>
          <w:p w14:paraId="62E2D4D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5.5.1.ALT</w:t>
            </w:r>
          </w:p>
        </w:tc>
        <w:tc>
          <w:tcPr>
            <w:tcW w:w="2977" w:type="dxa"/>
            <w:tcBorders>
              <w:right w:val="single" w:sz="4" w:space="0" w:color="auto"/>
            </w:tcBorders>
            <w:shd w:val="clear" w:color="auto" w:fill="FFFFFF" w:themeFill="background1"/>
            <w:noWrap/>
          </w:tcPr>
          <w:p w14:paraId="330C648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Employment to population ratio (female/male parity)</w:t>
            </w:r>
          </w:p>
        </w:tc>
        <w:tc>
          <w:tcPr>
            <w:tcW w:w="1276" w:type="dxa"/>
            <w:tcBorders>
              <w:left w:val="single" w:sz="4" w:space="0" w:color="auto"/>
            </w:tcBorders>
            <w:shd w:val="clear" w:color="auto" w:fill="FFFFFF" w:themeFill="background1"/>
          </w:tcPr>
          <w:p w14:paraId="7D7A0EE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0.839</w:t>
            </w:r>
          </w:p>
        </w:tc>
        <w:tc>
          <w:tcPr>
            <w:tcW w:w="1134" w:type="dxa"/>
            <w:shd w:val="clear" w:color="auto" w:fill="D9D9D9" w:themeFill="background1" w:themeFillShade="D9"/>
            <w:noWrap/>
          </w:tcPr>
          <w:p w14:paraId="4E9B593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0.95-1.05</w:t>
            </w:r>
          </w:p>
        </w:tc>
        <w:tc>
          <w:tcPr>
            <w:tcW w:w="1389" w:type="dxa"/>
            <w:shd w:val="clear" w:color="auto" w:fill="FFFFFF" w:themeFill="background1"/>
          </w:tcPr>
          <w:p w14:paraId="38B95E2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3A5ED91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5.5 is for ‘equal opportunity’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Target set as gender parity = ~1.</w:t>
            </w:r>
          </w:p>
        </w:tc>
      </w:tr>
      <w:tr w:rsidR="003F50A4" w:rsidRPr="00FF510F" w14:paraId="1EA0EF08" w14:textId="77777777" w:rsidTr="003F50A4">
        <w:trPr>
          <w:trHeight w:val="300"/>
        </w:trPr>
        <w:tc>
          <w:tcPr>
            <w:tcW w:w="510" w:type="dxa"/>
            <w:shd w:val="clear" w:color="auto" w:fill="FFFFFF" w:themeFill="background1"/>
          </w:tcPr>
          <w:p w14:paraId="172FCF50"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2030EB5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5.6 Ensure universal access to sexual and reproductive health and reproductive rights…</w:t>
            </w:r>
          </w:p>
        </w:tc>
        <w:tc>
          <w:tcPr>
            <w:tcW w:w="427" w:type="dxa"/>
            <w:tcBorders>
              <w:left w:val="single" w:sz="4" w:space="0" w:color="auto"/>
              <w:right w:val="single" w:sz="4" w:space="0" w:color="auto"/>
            </w:tcBorders>
            <w:shd w:val="clear" w:color="auto" w:fill="FFFFFF" w:themeFill="background1"/>
          </w:tcPr>
          <w:p w14:paraId="76C51ADA" w14:textId="024BF9F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992" w:type="dxa"/>
            <w:tcBorders>
              <w:left w:val="single" w:sz="4" w:space="0" w:color="auto"/>
            </w:tcBorders>
            <w:shd w:val="clear" w:color="auto" w:fill="FFFFFF" w:themeFill="background1"/>
            <w:noWrap/>
            <w:hideMark/>
          </w:tcPr>
          <w:p w14:paraId="02A4126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5.6.1</w:t>
            </w:r>
          </w:p>
        </w:tc>
        <w:tc>
          <w:tcPr>
            <w:tcW w:w="2977" w:type="dxa"/>
            <w:tcBorders>
              <w:right w:val="single" w:sz="4" w:space="0" w:color="auto"/>
            </w:tcBorders>
            <w:shd w:val="clear" w:color="auto" w:fill="FFFFFF" w:themeFill="background1"/>
            <w:noWrap/>
            <w:hideMark/>
          </w:tcPr>
          <w:p w14:paraId="6B6216B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Contraceptive prevalence rate (%) </w:t>
            </w:r>
          </w:p>
        </w:tc>
        <w:tc>
          <w:tcPr>
            <w:tcW w:w="1276" w:type="dxa"/>
            <w:tcBorders>
              <w:left w:val="single" w:sz="4" w:space="0" w:color="auto"/>
            </w:tcBorders>
            <w:shd w:val="clear" w:color="auto" w:fill="FFFFFF" w:themeFill="background1"/>
          </w:tcPr>
          <w:p w14:paraId="2D0F220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0.72</w:t>
            </w:r>
          </w:p>
        </w:tc>
        <w:tc>
          <w:tcPr>
            <w:tcW w:w="1134" w:type="dxa"/>
            <w:shd w:val="clear" w:color="auto" w:fill="D9D9D9" w:themeFill="background1" w:themeFillShade="D9"/>
            <w:noWrap/>
            <w:hideMark/>
          </w:tcPr>
          <w:p w14:paraId="389987D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0.72</w:t>
            </w:r>
          </w:p>
        </w:tc>
        <w:tc>
          <w:tcPr>
            <w:tcW w:w="1389" w:type="dxa"/>
            <w:shd w:val="clear" w:color="auto" w:fill="FFFFFF" w:themeFill="background1"/>
          </w:tcPr>
          <w:p w14:paraId="74FE05E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50350F8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as ‘maintain’. Baseline value is comparably high compared with other developed countries (OECD average = 70.5)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&lt;EndNote&gt;&lt;Cite&gt;&lt;Author&gt;World Bank&lt;/Author&gt;&lt;Year&gt;2022&lt;/Year&gt;&lt;RecNum&gt;1061&lt;/RecNum&gt;&lt;DisplayText&gt;(World Bank, 2022b)&lt;/DisplayText&gt;&lt;record&gt;&lt;rec-number&gt;1061&lt;/rec-number&gt;&lt;foreign-keys&gt;&lt;key app="EN" db-id="9vsrvaat7fadwtesfsrpw5w5t0x5v500ef25" timestamp="1565160465"&gt;1061&lt;/key&gt;&lt;/foreign-keys&gt;&lt;ref-type name="Dataset"&gt;59&lt;/ref-type&gt;&lt;contributors&gt;&lt;authors&gt;&lt;author&gt;World Bank,&lt;/author&gt;&lt;/authors&gt;&lt;/contributors&gt;&lt;titles&gt;&lt;title&gt;World Development Indicators DataBank&lt;/title&gt;&lt;/titles&gt;&lt;dates&gt;&lt;year&gt;2022&lt;/year&gt;&lt;/dates&gt;&lt;pub-location&gt;Washington, USA&lt;/pub-location&gt;&lt;urls&gt;&lt;related-urls&gt;&lt;url&gt;https://data.worldbank.org/indicator/SP.DYN.CONU.ZS?view=chart&lt;/url&gt;&lt;/related-urls&gt;&lt;/urls&gt;&lt;access-date&gt;08/08/18&lt;/access-date&gt;&lt;/record&gt;&lt;/Cite&gt;&lt;/EndNote&gt;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(World Bank, 2022b)</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166C20DA" w14:textId="77777777" w:rsidTr="003F50A4">
        <w:trPr>
          <w:trHeight w:val="54"/>
        </w:trPr>
        <w:tc>
          <w:tcPr>
            <w:tcW w:w="510" w:type="dxa"/>
            <w:shd w:val="clear" w:color="auto" w:fill="D9D9D9" w:themeFill="background1" w:themeFillShade="D9"/>
          </w:tcPr>
          <w:p w14:paraId="1EFEC29A" w14:textId="77777777" w:rsidR="003F50A4" w:rsidRPr="00FF510F" w:rsidRDefault="003F50A4" w:rsidP="007F346F">
            <w:pPr>
              <w:spacing w:after="0"/>
              <w:rPr>
                <w:rFonts w:ascii="Corbel" w:hAnsi="Corbel" w:cstheme="minorHAnsi"/>
                <w:sz w:val="8"/>
                <w:szCs w:val="8"/>
                <w:lang w:val="en-US"/>
              </w:rPr>
            </w:pPr>
          </w:p>
        </w:tc>
        <w:tc>
          <w:tcPr>
            <w:tcW w:w="4195" w:type="dxa"/>
            <w:tcBorders>
              <w:right w:val="single" w:sz="4" w:space="0" w:color="auto"/>
            </w:tcBorders>
            <w:shd w:val="clear" w:color="auto" w:fill="D9D9D9" w:themeFill="background1" w:themeFillShade="D9"/>
          </w:tcPr>
          <w:p w14:paraId="2E7C465E" w14:textId="77777777" w:rsidR="003F50A4" w:rsidRPr="00FF510F" w:rsidRDefault="003F50A4" w:rsidP="007F346F">
            <w:pPr>
              <w:spacing w:after="0"/>
              <w:rPr>
                <w:rFonts w:ascii="Corbel" w:hAnsi="Corbel" w:cstheme="minorHAnsi"/>
                <w:sz w:val="8"/>
                <w:szCs w:val="8"/>
                <w:lang w:val="en-US"/>
              </w:rPr>
            </w:pPr>
          </w:p>
        </w:tc>
        <w:tc>
          <w:tcPr>
            <w:tcW w:w="427" w:type="dxa"/>
            <w:tcBorders>
              <w:left w:val="single" w:sz="4" w:space="0" w:color="auto"/>
              <w:right w:val="single" w:sz="4" w:space="0" w:color="auto"/>
            </w:tcBorders>
            <w:shd w:val="clear" w:color="auto" w:fill="D9D9D9" w:themeFill="background1" w:themeFillShade="D9"/>
          </w:tcPr>
          <w:p w14:paraId="6B6BF374"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2767902B"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4B12922B"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227E5F94"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65257014"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68499BC2"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6AE96247" w14:textId="77777777" w:rsidR="003F50A4" w:rsidRPr="00FF510F" w:rsidRDefault="003F50A4" w:rsidP="007F346F">
            <w:pPr>
              <w:spacing w:after="0"/>
              <w:rPr>
                <w:rFonts w:ascii="Corbel" w:hAnsi="Corbel" w:cstheme="minorHAnsi"/>
                <w:sz w:val="8"/>
                <w:szCs w:val="8"/>
                <w:lang w:val="en-US"/>
              </w:rPr>
            </w:pPr>
          </w:p>
        </w:tc>
      </w:tr>
      <w:tr w:rsidR="003F50A4" w:rsidRPr="00FF510F" w14:paraId="68E0A7CD" w14:textId="77777777" w:rsidTr="003F50A4">
        <w:trPr>
          <w:trHeight w:val="300"/>
        </w:trPr>
        <w:tc>
          <w:tcPr>
            <w:tcW w:w="510" w:type="dxa"/>
            <w:shd w:val="clear" w:color="auto" w:fill="FFFFFF" w:themeFill="background1"/>
          </w:tcPr>
          <w:p w14:paraId="4D3503C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w:t>
            </w:r>
          </w:p>
        </w:tc>
        <w:tc>
          <w:tcPr>
            <w:tcW w:w="4195" w:type="dxa"/>
            <w:tcBorders>
              <w:right w:val="single" w:sz="4" w:space="0" w:color="auto"/>
            </w:tcBorders>
            <w:shd w:val="clear" w:color="auto" w:fill="auto"/>
          </w:tcPr>
          <w:p w14:paraId="05DE555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6.1 By 2030, achieve universal and equitable access to safe and affordable drinking water for all</w:t>
            </w:r>
          </w:p>
        </w:tc>
        <w:tc>
          <w:tcPr>
            <w:tcW w:w="427" w:type="dxa"/>
            <w:tcBorders>
              <w:left w:val="single" w:sz="4" w:space="0" w:color="auto"/>
              <w:right w:val="single" w:sz="4" w:space="0" w:color="auto"/>
            </w:tcBorders>
            <w:shd w:val="clear" w:color="auto" w:fill="FFFFFF" w:themeFill="background1"/>
          </w:tcPr>
          <w:p w14:paraId="1735E2C0" w14:textId="08624396"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w:t>
            </w:r>
          </w:p>
        </w:tc>
        <w:tc>
          <w:tcPr>
            <w:tcW w:w="992" w:type="dxa"/>
            <w:tcBorders>
              <w:left w:val="single" w:sz="4" w:space="0" w:color="auto"/>
            </w:tcBorders>
            <w:shd w:val="clear" w:color="auto" w:fill="FFFFFF" w:themeFill="background1"/>
            <w:noWrap/>
            <w:hideMark/>
          </w:tcPr>
          <w:p w14:paraId="0948A23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6.1.1</w:t>
            </w:r>
          </w:p>
        </w:tc>
        <w:tc>
          <w:tcPr>
            <w:tcW w:w="2977" w:type="dxa"/>
            <w:tcBorders>
              <w:right w:val="single" w:sz="4" w:space="0" w:color="auto"/>
            </w:tcBorders>
            <w:shd w:val="clear" w:color="auto" w:fill="FFFFFF" w:themeFill="background1"/>
            <w:noWrap/>
            <w:hideMark/>
          </w:tcPr>
          <w:p w14:paraId="4283CFE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Average access to improved water source (%)</w:t>
            </w:r>
          </w:p>
        </w:tc>
        <w:tc>
          <w:tcPr>
            <w:tcW w:w="1276" w:type="dxa"/>
            <w:tcBorders>
              <w:left w:val="single" w:sz="4" w:space="0" w:color="auto"/>
            </w:tcBorders>
            <w:shd w:val="clear" w:color="auto" w:fill="FFFFFF" w:themeFill="background1"/>
          </w:tcPr>
          <w:p w14:paraId="55CAB18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1134" w:type="dxa"/>
            <w:shd w:val="clear" w:color="auto" w:fill="D9D9D9" w:themeFill="background1" w:themeFillShade="D9"/>
            <w:noWrap/>
            <w:hideMark/>
          </w:tcPr>
          <w:p w14:paraId="5C0A144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1389" w:type="dxa"/>
            <w:shd w:val="clear" w:color="auto" w:fill="FFFFFF" w:themeFill="background1"/>
          </w:tcPr>
          <w:p w14:paraId="09B918D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1CFB1EF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SDG Target 6.1 already achieved for Australia.  Maintain performance.</w:t>
            </w:r>
          </w:p>
        </w:tc>
      </w:tr>
      <w:tr w:rsidR="003F50A4" w:rsidRPr="00FF510F" w14:paraId="5E049A01" w14:textId="77777777" w:rsidTr="003F50A4">
        <w:trPr>
          <w:trHeight w:val="300"/>
        </w:trPr>
        <w:tc>
          <w:tcPr>
            <w:tcW w:w="510" w:type="dxa"/>
            <w:shd w:val="clear" w:color="auto" w:fill="FFFFFF" w:themeFill="background1"/>
          </w:tcPr>
          <w:p w14:paraId="0D923FCA"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3EA5D37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6.2 By 2030, achieve access to adequate and equitable sanitation and hygiene for all</w:t>
            </w:r>
          </w:p>
        </w:tc>
        <w:tc>
          <w:tcPr>
            <w:tcW w:w="427" w:type="dxa"/>
            <w:tcBorders>
              <w:left w:val="single" w:sz="4" w:space="0" w:color="auto"/>
              <w:right w:val="single" w:sz="4" w:space="0" w:color="auto"/>
            </w:tcBorders>
            <w:shd w:val="clear" w:color="auto" w:fill="FFFFFF" w:themeFill="background1"/>
          </w:tcPr>
          <w:p w14:paraId="0FB544DB" w14:textId="4FE2B1A2"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w:t>
            </w:r>
          </w:p>
        </w:tc>
        <w:tc>
          <w:tcPr>
            <w:tcW w:w="992" w:type="dxa"/>
            <w:tcBorders>
              <w:left w:val="single" w:sz="4" w:space="0" w:color="auto"/>
            </w:tcBorders>
            <w:shd w:val="clear" w:color="auto" w:fill="FFFFFF" w:themeFill="background1"/>
            <w:noWrap/>
            <w:hideMark/>
          </w:tcPr>
          <w:p w14:paraId="381F504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6.2.1</w:t>
            </w:r>
          </w:p>
        </w:tc>
        <w:tc>
          <w:tcPr>
            <w:tcW w:w="2977" w:type="dxa"/>
            <w:tcBorders>
              <w:right w:val="single" w:sz="4" w:space="0" w:color="auto"/>
            </w:tcBorders>
            <w:shd w:val="clear" w:color="auto" w:fill="FFFFFF" w:themeFill="background1"/>
            <w:noWrap/>
            <w:hideMark/>
          </w:tcPr>
          <w:p w14:paraId="2456F7D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Average access to improved sanitation facility (%)</w:t>
            </w:r>
          </w:p>
        </w:tc>
        <w:tc>
          <w:tcPr>
            <w:tcW w:w="1276" w:type="dxa"/>
            <w:tcBorders>
              <w:left w:val="single" w:sz="4" w:space="0" w:color="auto"/>
            </w:tcBorders>
            <w:shd w:val="clear" w:color="auto" w:fill="FFFFFF" w:themeFill="background1"/>
          </w:tcPr>
          <w:p w14:paraId="376F340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1134" w:type="dxa"/>
            <w:shd w:val="clear" w:color="auto" w:fill="D9D9D9" w:themeFill="background1" w:themeFillShade="D9"/>
            <w:noWrap/>
            <w:hideMark/>
          </w:tcPr>
          <w:p w14:paraId="402C7FA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1389" w:type="dxa"/>
            <w:shd w:val="clear" w:color="auto" w:fill="FFFFFF" w:themeFill="background1"/>
          </w:tcPr>
          <w:p w14:paraId="06294A7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7919635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SDG Target 6.2 already achieved for Australia.  Maintain performance.</w:t>
            </w:r>
          </w:p>
        </w:tc>
      </w:tr>
      <w:tr w:rsidR="003F50A4" w:rsidRPr="00FF510F" w14:paraId="7ADA8F7D" w14:textId="77777777" w:rsidTr="003F50A4">
        <w:trPr>
          <w:trHeight w:val="300"/>
        </w:trPr>
        <w:tc>
          <w:tcPr>
            <w:tcW w:w="510" w:type="dxa"/>
            <w:shd w:val="clear" w:color="auto" w:fill="FFFFFF" w:themeFill="background1"/>
          </w:tcPr>
          <w:p w14:paraId="71950861"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7D6F604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6.4 By 2030, substantially increase water-use efficiency across all sectors and ensure sustainable withdrawals and supply of freshwater…</w:t>
            </w:r>
          </w:p>
        </w:tc>
        <w:tc>
          <w:tcPr>
            <w:tcW w:w="427" w:type="dxa"/>
            <w:tcBorders>
              <w:left w:val="single" w:sz="4" w:space="0" w:color="auto"/>
              <w:right w:val="single" w:sz="4" w:space="0" w:color="auto"/>
            </w:tcBorders>
            <w:shd w:val="clear" w:color="auto" w:fill="FFFFFF" w:themeFill="background1"/>
          </w:tcPr>
          <w:p w14:paraId="4C6D1273" w14:textId="1ED193B1"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hideMark/>
          </w:tcPr>
          <w:p w14:paraId="0F69B00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6.4.1</w:t>
            </w:r>
          </w:p>
        </w:tc>
        <w:tc>
          <w:tcPr>
            <w:tcW w:w="2977" w:type="dxa"/>
            <w:tcBorders>
              <w:right w:val="single" w:sz="4" w:space="0" w:color="auto"/>
            </w:tcBorders>
            <w:shd w:val="clear" w:color="auto" w:fill="FFFFFF" w:themeFill="background1"/>
            <w:noWrap/>
            <w:hideMark/>
          </w:tcPr>
          <w:p w14:paraId="6492C5B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Total water withdrawal per unit of GDP (m3/$real GDP)</w:t>
            </w:r>
          </w:p>
        </w:tc>
        <w:tc>
          <w:tcPr>
            <w:tcW w:w="1276" w:type="dxa"/>
            <w:tcBorders>
              <w:left w:val="single" w:sz="4" w:space="0" w:color="auto"/>
            </w:tcBorders>
            <w:shd w:val="clear" w:color="auto" w:fill="FFFFFF" w:themeFill="background1"/>
          </w:tcPr>
          <w:p w14:paraId="6DB91BF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0.011 </w:t>
            </w:r>
          </w:p>
        </w:tc>
        <w:tc>
          <w:tcPr>
            <w:tcW w:w="1134" w:type="dxa"/>
            <w:shd w:val="clear" w:color="auto" w:fill="D9D9D9" w:themeFill="background1" w:themeFillShade="D9"/>
            <w:noWrap/>
            <w:hideMark/>
          </w:tcPr>
          <w:p w14:paraId="7173661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0.008</w:t>
            </w:r>
          </w:p>
          <w:p w14:paraId="73206E92" w14:textId="77777777" w:rsidR="003F50A4" w:rsidRPr="00FF510F" w:rsidRDefault="003F50A4" w:rsidP="007F346F">
            <w:pPr>
              <w:spacing w:after="0"/>
              <w:rPr>
                <w:rFonts w:ascii="Corbel" w:hAnsi="Corbel" w:cstheme="minorHAnsi"/>
                <w:sz w:val="16"/>
                <w:szCs w:val="16"/>
                <w:lang w:val="en-US"/>
              </w:rPr>
            </w:pPr>
          </w:p>
        </w:tc>
        <w:tc>
          <w:tcPr>
            <w:tcW w:w="1389" w:type="dxa"/>
            <w:shd w:val="clear" w:color="auto" w:fill="FFFFFF" w:themeFill="background1"/>
          </w:tcPr>
          <w:p w14:paraId="3E3EDEB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0.0055</w:t>
            </w:r>
          </w:p>
        </w:tc>
        <w:tc>
          <w:tcPr>
            <w:tcW w:w="2552" w:type="dxa"/>
            <w:shd w:val="clear" w:color="auto" w:fill="FFFFFF" w:themeFill="background1"/>
          </w:tcPr>
          <w:p w14:paraId="0CF3AA5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6.4 is for a ‘substantial increase’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Target set as 30% improvement on baseline value by 2030; calibrated from </w:t>
            </w:r>
            <w:r w:rsidRPr="00FF510F">
              <w:rPr>
                <w:rFonts w:ascii="Corbel" w:hAnsi="Corbel" w:cstheme="minorHAnsi"/>
                <w:sz w:val="16"/>
                <w:szCs w:val="16"/>
                <w:lang w:val="en-US"/>
              </w:rPr>
              <w:lastRenderedPageBreak/>
              <w:t xml:space="preserve">historic trend data, BAU projection and global trend and outlook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&lt;EndNote&gt;&lt;Cite&gt;&lt;Author&gt;ABS&lt;/Author&gt;&lt;Year&gt;2017&lt;/Year&gt;&lt;RecNum&gt;1065&lt;/RecNum&gt;&lt;DisplayText&gt;(ABS, 2017b, FAO, 2018, OECD, 2012)&lt;/DisplayText&gt;&lt;record&gt;&lt;rec-number&gt;1065&lt;/rec-number&gt;&lt;foreign-keys&gt;&lt;key app="EN" db-id="9vsrvaat7fadwtesfsrpw5w5t0x5v500ef25" timestamp="1565163501"&gt;1065&lt;/key&gt;&lt;/foreign-keys&gt;&lt;ref-type name="Dataset"&gt;59&lt;/ref-type&gt;&lt;contributors&gt;&lt;authors&gt;&lt;author&gt;ABS,&lt;/author&gt;&lt;/authors&gt;&lt;/contributors&gt;&lt;titles&gt;&lt;title&gt;4610.0 - Water Account, Australia&lt;/title&gt;&lt;/titles&gt;&lt;dates&gt;&lt;year&gt;2017&lt;/year&gt;&lt;/dates&gt;&lt;pub-location&gt;Canberra, Australia&lt;/pub-location&gt;&lt;publisher&gt;Australian Bureau of Statistics&lt;/publisher&gt;&lt;urls&gt;&lt;related-urls&gt;&lt;url&gt;https://www.abs.gov.au/AUSSTATS/abs@.nsf/DetailsPage/4610.02015-16&lt;/url&gt;&lt;/related-urls&gt;&lt;/urls&gt;&lt;access-date&gt;21/02/18&lt;/access-date&gt;&lt;/record&gt;&lt;/Cite&gt;&lt;Cite&gt;&lt;Author&gt;FAO&lt;/Author&gt;&lt;Year&gt;2018&lt;/Year&gt;&lt;RecNum&gt;1066&lt;/RecNum&gt;&lt;record&gt;&lt;rec-number&gt;1066&lt;/rec-number&gt;&lt;foreign-keys&gt;&lt;key app="EN" db-id="9vsrvaat7fadwtesfsrpw5w5t0x5v500ef25" timestamp="1565163605"&gt;1066&lt;/key&gt;&lt;/foreign-keys&gt;&lt;ref-type name="Online Database"&gt;45&lt;/ref-type&gt;&lt;contributors&gt;&lt;authors&gt;&lt;author&gt;FAO,&lt;/author&gt;&lt;/authors&gt;&lt;/contributors&gt;&lt;titles&gt;&lt;title&gt;AQUASTAT&lt;/title&gt;&lt;/titles&gt;&lt;dates&gt;&lt;year&gt;2018&lt;/year&gt;&lt;pub-dates&gt;&lt;date&gt;21/02/18&lt;/date&gt;&lt;/pub-dates&gt;&lt;/dates&gt;&lt;pub-location&gt;Rome, Italy&lt;/pub-location&gt;&lt;publisher&gt;Food and Agriculture Organisation of the United Nations&lt;/publisher&gt;&lt;urls&gt;&lt;related-urls&gt;&lt;url&gt;http://www.fao.org/aquastat/en/&lt;/url&gt;&lt;/related-urls&gt;&lt;/urls&gt;&lt;/record&gt;&lt;/Cite&gt;&lt;Cite&gt;&lt;Author&gt;OECD&lt;/Author&gt;&lt;Year&gt;2012&lt;/Year&gt;&lt;RecNum&gt;886&lt;/RecNum&gt;&lt;record&gt;&lt;rec-number&gt;886&lt;/rec-number&gt;&lt;foreign-keys&gt;&lt;key app="EN" db-id="9vsrvaat7fadwtesfsrpw5w5t0x5v500ef25" timestamp="1542428002"&gt;886&lt;/key&gt;&lt;/foreign-keys&gt;&lt;ref-type name="Generic"&gt;13&lt;/ref-type&gt;&lt;contributors&gt;&lt;authors&gt;&lt;author&gt;OECD,&lt;/author&gt;&lt;/authors&gt;&lt;/contributors&gt;&lt;titles&gt;&lt;title&gt;OECD Environmental Outlook to 2050: The consequences of inaction&lt;/title&gt;&lt;/titles&gt;&lt;dates&gt;&lt;year&gt;2012&lt;/year&gt;&lt;/dates&gt;&lt;pub-location&gt;Paris&lt;/pub-location&gt;&lt;publisher&gt;Organisation for Economic Cooperation and Development&lt;/publisher&gt;&lt;urls&gt;&lt;/urls&gt;&lt;/record&gt;&lt;/Cite&gt;&lt;/EndNote&gt;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(ABS, 2017b, FAO, 2018, OECD, 2012)</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&lt;EndNote&gt;&lt;Cite&gt;&lt;Author&gt;ABS&lt;/Author&gt;&lt;Year&gt;2017&lt;/Year&gt;&lt;RecNum&gt;1051&lt;/RecNum&gt;&lt;DisplayText&gt;(ABS, 2017c)&lt;/DisplayText&gt;&lt;record&gt;&lt;rec-number&gt;1051&lt;/rec-number&gt;&lt;foreign-keys&gt;&lt;key app="EN" db-id="9vsrvaat7fadwtesfsrpw5w5t0x5v500ef25" timestamp="1565085982"&gt;1051&lt;/key&gt;&lt;/foreign-keys&gt;&lt;ref-type name="Dataset"&gt;59&lt;/ref-type&gt;&lt;contributors&gt;&lt;authors&gt;&lt;author&gt;ABS,&lt;/author&gt;&lt;/authors&gt;&lt;/contributors&gt;&lt;titles&gt;&lt;title&gt;5204.0 - Australian System of National Accounts&lt;/title&gt;&lt;/titles&gt;&lt;dates&gt;&lt;year&gt;2017&lt;/year&gt;&lt;/dates&gt;&lt;pub-location&gt;Canberra, Australia&lt;/pub-location&gt;&lt;publisher&gt;Australian Bureau of Statistics&lt;/publisher&gt;&lt;urls&gt;&lt;related-urls&gt;&lt;url&gt;https://www.abs.gov.au/AUSSTATS/abs@.nsf/allprimarymainfeatures/D287F7C09246B5BDCA258331000C3A24?opendocument&lt;/url&gt;&lt;/related-urls&gt;&lt;/urls&gt;&lt;access-date&gt;18/02/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(ABS, 2017c)</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Increased to 40% reduction by 2050.</w:t>
            </w:r>
          </w:p>
        </w:tc>
      </w:tr>
      <w:tr w:rsidR="003F50A4" w:rsidRPr="00FF510F" w14:paraId="1BA24D80" w14:textId="77777777" w:rsidTr="003F50A4">
        <w:trPr>
          <w:trHeight w:val="300"/>
        </w:trPr>
        <w:tc>
          <w:tcPr>
            <w:tcW w:w="510" w:type="dxa"/>
            <w:shd w:val="clear" w:color="auto" w:fill="FFFFFF" w:themeFill="background1"/>
          </w:tcPr>
          <w:p w14:paraId="2DBF9DFB"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2B1C6B7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6.4</w:t>
            </w:r>
          </w:p>
        </w:tc>
        <w:tc>
          <w:tcPr>
            <w:tcW w:w="427" w:type="dxa"/>
            <w:tcBorders>
              <w:left w:val="single" w:sz="4" w:space="0" w:color="auto"/>
              <w:right w:val="single" w:sz="4" w:space="0" w:color="auto"/>
            </w:tcBorders>
            <w:shd w:val="clear" w:color="auto" w:fill="FFFFFF" w:themeFill="background1"/>
          </w:tcPr>
          <w:p w14:paraId="54D6298B" w14:textId="655B13CC"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w:t>
            </w:r>
          </w:p>
        </w:tc>
        <w:tc>
          <w:tcPr>
            <w:tcW w:w="992" w:type="dxa"/>
            <w:tcBorders>
              <w:left w:val="single" w:sz="4" w:space="0" w:color="auto"/>
            </w:tcBorders>
            <w:shd w:val="clear" w:color="auto" w:fill="FFFFFF" w:themeFill="background1"/>
            <w:noWrap/>
          </w:tcPr>
          <w:p w14:paraId="3704943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6.4.</w:t>
            </w:r>
            <w:proofErr w:type="gramStart"/>
            <w:r w:rsidRPr="00FF510F">
              <w:rPr>
                <w:rFonts w:ascii="Corbel" w:hAnsi="Corbel" w:cstheme="minorHAnsi"/>
                <w:sz w:val="16"/>
                <w:szCs w:val="16"/>
                <w:lang w:val="en-US"/>
              </w:rPr>
              <w:t>1.ALT</w:t>
            </w:r>
            <w:proofErr w:type="gramEnd"/>
            <w:r w:rsidRPr="00FF510F">
              <w:rPr>
                <w:rFonts w:ascii="Corbel" w:hAnsi="Corbel" w:cstheme="minorHAnsi"/>
                <w:sz w:val="16"/>
                <w:szCs w:val="16"/>
                <w:lang w:val="en-US"/>
              </w:rPr>
              <w:t>1</w:t>
            </w:r>
          </w:p>
        </w:tc>
        <w:tc>
          <w:tcPr>
            <w:tcW w:w="2977" w:type="dxa"/>
            <w:tcBorders>
              <w:right w:val="single" w:sz="4" w:space="0" w:color="auto"/>
            </w:tcBorders>
            <w:shd w:val="clear" w:color="auto" w:fill="FFFFFF" w:themeFill="background1"/>
            <w:noWrap/>
          </w:tcPr>
          <w:p w14:paraId="45B79A5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Water consumption per capita (m3/capita)</w:t>
            </w:r>
          </w:p>
        </w:tc>
        <w:tc>
          <w:tcPr>
            <w:tcW w:w="1276" w:type="dxa"/>
            <w:tcBorders>
              <w:left w:val="single" w:sz="4" w:space="0" w:color="auto"/>
            </w:tcBorders>
            <w:shd w:val="clear" w:color="auto" w:fill="FFFFFF" w:themeFill="background1"/>
          </w:tcPr>
          <w:p w14:paraId="2FA9B01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761.2</w:t>
            </w:r>
          </w:p>
        </w:tc>
        <w:tc>
          <w:tcPr>
            <w:tcW w:w="1134" w:type="dxa"/>
            <w:shd w:val="clear" w:color="auto" w:fill="D9D9D9" w:themeFill="background1" w:themeFillShade="D9"/>
            <w:noWrap/>
          </w:tcPr>
          <w:p w14:paraId="1BD50EB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571</w:t>
            </w:r>
          </w:p>
        </w:tc>
        <w:tc>
          <w:tcPr>
            <w:tcW w:w="1389" w:type="dxa"/>
            <w:shd w:val="clear" w:color="auto" w:fill="FFFFFF" w:themeFill="background1"/>
          </w:tcPr>
          <w:p w14:paraId="57A24A5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080AA68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6.4 is for a ‘substantial increase’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Target set as 25% improvement on baseline by 2030; calibrated off historic trend and timeseries data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&lt;EndNote&gt;&lt;Cite&gt;&lt;Author&gt;ABS&lt;/Author&gt;&lt;Year&gt;2017&lt;/Year&gt;&lt;RecNum&gt;1065&lt;/RecNum&gt;&lt;DisplayText&gt;(ABS, 2017b, ABS, 2017a)&lt;/DisplayText&gt;&lt;record&gt;&lt;rec-number&gt;1065&lt;/rec-number&gt;&lt;foreign-keys&gt;&lt;key app="EN" db-id="9vsrvaat7fadwtesfsrpw5w5t0x5v500ef25" timestamp="1565163501"&gt;1065&lt;/key&gt;&lt;/foreign-keys&gt;&lt;ref-type name="Dataset"&gt;59&lt;/ref-type&gt;&lt;contributors&gt;&lt;authors&gt;&lt;author&gt;ABS,&lt;/author&gt;&lt;/authors&gt;&lt;/contributors&gt;&lt;titles&gt;&lt;title&gt;4610.0 - Water Account, Australia&lt;/title&gt;&lt;/titles&gt;&lt;dates&gt;&lt;year&gt;2017&lt;/year&gt;&lt;/dates&gt;&lt;pub-location&gt;Canberra, Australia&lt;/pub-location&gt;&lt;publisher&gt;Australian Bureau of Statistics&lt;/publisher&gt;&lt;urls&gt;&lt;related-urls&gt;&lt;url&gt;https://www.abs.gov.au/AUSSTATS/abs@.nsf/DetailsPage/4610.02015-16&lt;/url&gt;&lt;/related-urls&gt;&lt;/urls&gt;&lt;access-date&gt;21/02/18&lt;/access-date&gt;&lt;/record&gt;&lt;/Cite&gt;&lt;Cite&gt;&lt;Author&gt;ABS&lt;/Author&gt;&lt;Year&gt;2017&lt;/Year&gt;&lt;RecNum&gt;1067&lt;/RecNum&gt;&lt;record&gt;&lt;rec-number&gt;1067&lt;/rec-number&gt;&lt;foreign-keys&gt;&lt;key app="EN" db-id="9vsrvaat7fadwtesfsrpw5w5t0x5v500ef25" timestamp="1565164036"&gt;1067&lt;/key&gt;&lt;/foreign-keys&gt;&lt;ref-type name="Dataset"&gt;59&lt;/ref-type&gt;&lt;contributors&gt;&lt;authors&gt;&lt;author&gt;ABS,&lt;/author&gt;&lt;/authors&gt;&lt;/contributors&gt;&lt;titles&gt;&lt;title&gt;3101.0 - Australian Demographic Statistics&lt;/title&gt;&lt;/titles&gt;&lt;dates&gt;&lt;year&gt;2017&lt;/year&gt;&lt;/dates&gt;&lt;pub-location&gt;Canberra, Australia&lt;/pub-location&gt;&lt;publisher&gt;Australian Bureau of Statistics&lt;/publisher&gt;&lt;urls&gt;&lt;related-urls&gt;&lt;url&gt;https://www.abs.gov.au/AUSSTATS/abs@.nsf/mf/3101.0&lt;/url&gt;&lt;/related-urls&gt;&lt;/urls&gt;&lt;access-date&gt;12/12/17&lt;/access-date&gt;&lt;/record&gt;&lt;/Cite&gt;&lt;/EndNote&gt;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(ABS, 2017b, ABS, 2017a)</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By 2050, maintain below planetary boundary of 574 m3 per capita per year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&lt;EndNote&gt;&lt;Cite&gt;&lt;Author&gt;O’Neill&lt;/Author&gt;&lt;Year&gt;2018&lt;/Year&gt;&lt;RecNum&gt;1213&lt;/RecNum&gt;&lt;DisplayText&gt;(O’Neill et al., 2018)&lt;/DisplayText&gt;&lt;record&gt;&lt;rec-number&gt;1213&lt;/rec-number&gt;&lt;foreign-keys&gt;&lt;key app="EN" db-id="9vsrvaat7fadwtesfsrpw5w5t0x5v500ef25" timestamp="1578984484"&gt;1213&lt;/key&gt;&lt;/foreign-keys&gt;&lt;ref-type name="Journal Article"&gt;17&lt;/ref-type&gt;&lt;contributors&gt;&lt;authors&gt;&lt;author&gt;O’Neill, Daniel W&lt;/author&gt;&lt;author&gt;Fanning, Andrew L&lt;/author&gt;&lt;author&gt;Lamb, William F&lt;/author&gt;&lt;author&gt;Steinberger, Julia K&lt;/author&gt;&lt;/authors&gt;&lt;/contributors&gt;&lt;titles&gt;&lt;title&gt;A good life for all within planetary boundaries&lt;/title&gt;&lt;secondary-title&gt;Nature Sustainability&lt;/secondary-title&gt;&lt;/titles&gt;&lt;periodical&gt;&lt;full-title&gt;Nature Sustainability&lt;/full-title&gt;&lt;/periodical&gt;&lt;pages&gt;88&lt;/pages&gt;&lt;volume&gt;1&lt;/volume&gt;&lt;number&gt;2&lt;/number&gt;&lt;dates&gt;&lt;year&gt;2018&lt;/year&gt;&lt;/dates&gt;&lt;isbn&gt;2398-9629&lt;/isbn&gt;&lt;urls&gt;&lt;/urls&gt;&lt;electronic-resource-num&gt;https://doi.org/10.1038/s41893-018-0021-4&lt;/electronic-resource-num&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(O’Neill et al., 2018)</w:t>
            </w:r>
            <w:r w:rsidRPr="00FF510F">
              <w:rPr>
                <w:rFonts w:ascii="Corbel" w:hAnsi="Corbel" w:cstheme="minorHAnsi"/>
                <w:sz w:val="16"/>
                <w:szCs w:val="16"/>
                <w:lang w:val="en-US"/>
              </w:rPr>
              <w:fldChar w:fldCharType="end"/>
            </w:r>
          </w:p>
        </w:tc>
      </w:tr>
      <w:tr w:rsidR="003F50A4" w:rsidRPr="00FF510F" w14:paraId="446617A4" w14:textId="77777777" w:rsidTr="003F50A4">
        <w:trPr>
          <w:trHeight w:val="300"/>
        </w:trPr>
        <w:tc>
          <w:tcPr>
            <w:tcW w:w="510" w:type="dxa"/>
            <w:shd w:val="clear" w:color="auto" w:fill="FFFFFF" w:themeFill="background1"/>
          </w:tcPr>
          <w:p w14:paraId="3C83E88A"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2B7CC31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6.4</w:t>
            </w:r>
          </w:p>
        </w:tc>
        <w:tc>
          <w:tcPr>
            <w:tcW w:w="427" w:type="dxa"/>
            <w:tcBorders>
              <w:left w:val="single" w:sz="4" w:space="0" w:color="auto"/>
              <w:right w:val="single" w:sz="4" w:space="0" w:color="auto"/>
            </w:tcBorders>
            <w:shd w:val="clear" w:color="auto" w:fill="FFFFFF" w:themeFill="background1"/>
          </w:tcPr>
          <w:p w14:paraId="10D68730" w14:textId="6D9B00D5"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w:t>
            </w:r>
          </w:p>
        </w:tc>
        <w:tc>
          <w:tcPr>
            <w:tcW w:w="992" w:type="dxa"/>
            <w:tcBorders>
              <w:left w:val="single" w:sz="4" w:space="0" w:color="auto"/>
            </w:tcBorders>
            <w:shd w:val="clear" w:color="auto" w:fill="FFFFFF" w:themeFill="background1"/>
            <w:noWrap/>
          </w:tcPr>
          <w:p w14:paraId="110CF0A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6.4.</w:t>
            </w:r>
            <w:proofErr w:type="gramStart"/>
            <w:r w:rsidRPr="00FF510F">
              <w:rPr>
                <w:rFonts w:ascii="Corbel" w:hAnsi="Corbel" w:cstheme="minorHAnsi"/>
                <w:sz w:val="16"/>
                <w:szCs w:val="16"/>
                <w:lang w:val="en-US"/>
              </w:rPr>
              <w:t>1.ALT</w:t>
            </w:r>
            <w:proofErr w:type="gramEnd"/>
            <w:r w:rsidRPr="00FF510F">
              <w:rPr>
                <w:rFonts w:ascii="Corbel" w:hAnsi="Corbel" w:cstheme="minorHAnsi"/>
                <w:sz w:val="16"/>
                <w:szCs w:val="16"/>
                <w:lang w:val="en-US"/>
              </w:rPr>
              <w:t>2</w:t>
            </w:r>
          </w:p>
        </w:tc>
        <w:tc>
          <w:tcPr>
            <w:tcW w:w="2977" w:type="dxa"/>
            <w:tcBorders>
              <w:right w:val="single" w:sz="4" w:space="0" w:color="auto"/>
            </w:tcBorders>
            <w:shd w:val="clear" w:color="auto" w:fill="FFFFFF" w:themeFill="background1"/>
            <w:noWrap/>
          </w:tcPr>
          <w:p w14:paraId="3879746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Agricultural consumption of water and gross value added by irrigated agricultural production (L/$ real GVIAP)</w:t>
            </w:r>
          </w:p>
        </w:tc>
        <w:tc>
          <w:tcPr>
            <w:tcW w:w="1276" w:type="dxa"/>
            <w:tcBorders>
              <w:left w:val="single" w:sz="4" w:space="0" w:color="auto"/>
            </w:tcBorders>
            <w:shd w:val="clear" w:color="auto" w:fill="FFFFFF" w:themeFill="background1"/>
          </w:tcPr>
          <w:p w14:paraId="2672D08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0.52</w:t>
            </w:r>
          </w:p>
        </w:tc>
        <w:tc>
          <w:tcPr>
            <w:tcW w:w="1134" w:type="dxa"/>
            <w:shd w:val="clear" w:color="auto" w:fill="D9D9D9" w:themeFill="background1" w:themeFillShade="D9"/>
            <w:noWrap/>
          </w:tcPr>
          <w:p w14:paraId="1DB5DD3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0.39</w:t>
            </w:r>
          </w:p>
        </w:tc>
        <w:tc>
          <w:tcPr>
            <w:tcW w:w="1389" w:type="dxa"/>
            <w:shd w:val="clear" w:color="auto" w:fill="FFFFFF" w:themeFill="background1"/>
          </w:tcPr>
          <w:p w14:paraId="64F3BC6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0.34</w:t>
            </w:r>
          </w:p>
        </w:tc>
        <w:tc>
          <w:tcPr>
            <w:tcW w:w="2552" w:type="dxa"/>
            <w:shd w:val="clear" w:color="auto" w:fill="FFFFFF" w:themeFill="background1"/>
          </w:tcPr>
          <w:p w14:paraId="759085B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6.4 is for a ‘substantial increase’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Target set as 25% improvement on baseline by 2030; calibrated off historic trend and timeseries data  </w:t>
            </w:r>
            <w:r w:rsidRPr="00FF510F">
              <w:rPr>
                <w:rFonts w:ascii="Corbel" w:hAnsi="Corbel" w:cstheme="minorHAnsi"/>
                <w:sz w:val="16"/>
                <w:szCs w:val="16"/>
                <w:lang w:val="en-US"/>
              </w:rPr>
              <w:fldChar w:fldCharType="begin">
                <w:fldData xml:space="preserve">PEVuZE5vdGU+PENpdGU+PEF1dGhvcj5BQlM8L0F1dGhvcj48WWVhcj4yMDE3PC9ZZWFyPjxSZWNO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</w:fldData>
              </w:fldChar>
            </w:r>
            <w:r w:rsidRPr="00FF510F">
              <w:rPr>
                <w:rFonts w:ascii="Corbel" w:hAnsi="Corbel" w:cstheme="minorHAnsi"/>
                <w:sz w:val="16"/>
                <w:szCs w:val="16"/>
                <w:lang w:val="en-US"/>
              </w:rPr>
              <w:instrText xml:space="preserve"> ADDIN EN.CITE </w:instrText>
            </w:r>
            <w:r w:rsidRPr="00FF510F">
              <w:rPr>
                <w:rFonts w:ascii="Corbel" w:hAnsi="Corbel" w:cstheme="minorHAnsi"/>
                <w:sz w:val="16"/>
                <w:szCs w:val="16"/>
                <w:lang w:val="en-US"/>
              </w:rPr>
              <w:fldChar w:fldCharType="begin">
                <w:fldData xml:space="preserve">PEVuZE5vdGU+PENpdGU+PEF1dGhvcj5BQlM8L0F1dGhvcj48WWVhcj4yMDE3PC9ZZWFyPjxSZWNO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</w:fldData>
              </w:fldChar>
            </w:r>
            <w:r w:rsidRPr="00FF510F">
              <w:rPr>
                <w:rFonts w:ascii="Corbel" w:hAnsi="Corbel" w:cstheme="minorHAnsi"/>
                <w:sz w:val="16"/>
                <w:szCs w:val="16"/>
                <w:lang w:val="en-US"/>
              </w:rPr>
              <w:instrText xml:space="preserve"> ADDIN EN.CITE.DATA </w:instrText>
            </w:r>
            <w:r w:rsidRPr="00FF510F">
              <w:rPr>
                <w:rFonts w:ascii="Corbel" w:hAnsi="Corbel" w:cstheme="minorHAnsi"/>
                <w:sz w:val="16"/>
                <w:szCs w:val="16"/>
                <w:lang w:val="en-US"/>
              </w:rPr>
            </w:r>
            <w:r w:rsidRPr="00FF510F">
              <w:rPr>
                <w:rFonts w:ascii="Corbel" w:hAnsi="Corbel" w:cstheme="minorHAnsi"/>
                <w:sz w:val="16"/>
                <w:szCs w:val="16"/>
                <w:lang w:val="en-US"/>
              </w:rPr>
              <w:fldChar w:fldCharType="end"/>
            </w:r>
            <w:r w:rsidRPr="00FF510F">
              <w:rPr>
                <w:rFonts w:ascii="Corbel" w:hAnsi="Corbel" w:cstheme="minorHAnsi"/>
                <w:sz w:val="16"/>
                <w:szCs w:val="16"/>
                <w:lang w:val="en-US"/>
              </w:rPr>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(ABS, 2017b, ABS, 2017a, FAO, 2018)</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Increase to 35% by 2050.</w:t>
            </w:r>
          </w:p>
        </w:tc>
      </w:tr>
      <w:tr w:rsidR="003F50A4" w:rsidRPr="00FF510F" w14:paraId="7D7CBC94" w14:textId="77777777" w:rsidTr="003F50A4">
        <w:trPr>
          <w:trHeight w:val="300"/>
        </w:trPr>
        <w:tc>
          <w:tcPr>
            <w:tcW w:w="510" w:type="dxa"/>
            <w:shd w:val="clear" w:color="auto" w:fill="FFFFFF" w:themeFill="background1"/>
          </w:tcPr>
          <w:p w14:paraId="1BA5D2E9" w14:textId="77777777" w:rsidR="003F50A4" w:rsidRPr="00FF510F" w:rsidRDefault="003F50A4" w:rsidP="007F346F">
            <w:pPr>
              <w:spacing w:after="0"/>
              <w:rPr>
                <w:rFonts w:ascii="Corbel" w:hAnsi="Corbel" w:cstheme="minorHAnsi"/>
                <w:sz w:val="16"/>
                <w:szCs w:val="16"/>
              </w:rPr>
            </w:pPr>
          </w:p>
        </w:tc>
        <w:tc>
          <w:tcPr>
            <w:tcW w:w="4195" w:type="dxa"/>
            <w:tcBorders>
              <w:right w:val="single" w:sz="4" w:space="0" w:color="auto"/>
            </w:tcBorders>
            <w:shd w:val="clear" w:color="auto" w:fill="auto"/>
          </w:tcPr>
          <w:p w14:paraId="4398F070" w14:textId="77777777" w:rsidR="003F50A4" w:rsidRPr="00FF510F" w:rsidRDefault="003F50A4" w:rsidP="007F346F">
            <w:pPr>
              <w:spacing w:after="0"/>
              <w:rPr>
                <w:rFonts w:ascii="Corbel" w:hAnsi="Corbel" w:cstheme="minorHAnsi"/>
                <w:sz w:val="16"/>
                <w:szCs w:val="16"/>
              </w:rPr>
            </w:pPr>
            <w:r w:rsidRPr="00FF510F">
              <w:rPr>
                <w:rFonts w:ascii="Corbel" w:hAnsi="Corbel" w:cstheme="minorHAnsi"/>
                <w:sz w:val="16"/>
                <w:szCs w:val="16"/>
              </w:rPr>
              <w:t>6.4</w:t>
            </w:r>
          </w:p>
        </w:tc>
        <w:tc>
          <w:tcPr>
            <w:tcW w:w="427" w:type="dxa"/>
            <w:tcBorders>
              <w:left w:val="single" w:sz="4" w:space="0" w:color="auto"/>
              <w:right w:val="single" w:sz="4" w:space="0" w:color="auto"/>
            </w:tcBorders>
            <w:shd w:val="clear" w:color="auto" w:fill="FFFFFF" w:themeFill="background1"/>
          </w:tcPr>
          <w:p w14:paraId="66EA9A13" w14:textId="1E357C7D"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w:t>
            </w:r>
          </w:p>
        </w:tc>
        <w:tc>
          <w:tcPr>
            <w:tcW w:w="992" w:type="dxa"/>
            <w:tcBorders>
              <w:left w:val="single" w:sz="4" w:space="0" w:color="auto"/>
            </w:tcBorders>
            <w:shd w:val="clear" w:color="auto" w:fill="FFFFFF" w:themeFill="background1"/>
            <w:noWrap/>
            <w:hideMark/>
          </w:tcPr>
          <w:p w14:paraId="5125C2B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6.4.2</w:t>
            </w:r>
          </w:p>
        </w:tc>
        <w:tc>
          <w:tcPr>
            <w:tcW w:w="2977" w:type="dxa"/>
            <w:tcBorders>
              <w:right w:val="single" w:sz="4" w:space="0" w:color="auto"/>
            </w:tcBorders>
            <w:shd w:val="clear" w:color="auto" w:fill="FFFFFF" w:themeFill="background1"/>
            <w:noWrap/>
            <w:hideMark/>
          </w:tcPr>
          <w:p w14:paraId="30ABAAF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Water resources vulnerability index (%)</w:t>
            </w:r>
          </w:p>
        </w:tc>
        <w:tc>
          <w:tcPr>
            <w:tcW w:w="1276" w:type="dxa"/>
            <w:tcBorders>
              <w:left w:val="single" w:sz="4" w:space="0" w:color="auto"/>
            </w:tcBorders>
            <w:shd w:val="clear" w:color="auto" w:fill="FFFFFF" w:themeFill="background1"/>
          </w:tcPr>
          <w:p w14:paraId="44CAA05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0.037</w:t>
            </w:r>
          </w:p>
        </w:tc>
        <w:tc>
          <w:tcPr>
            <w:tcW w:w="1134" w:type="dxa"/>
            <w:shd w:val="clear" w:color="auto" w:fill="D9D9D9" w:themeFill="background1" w:themeFillShade="D9"/>
            <w:noWrap/>
            <w:hideMark/>
          </w:tcPr>
          <w:p w14:paraId="2C75346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&lt;=0.05</w:t>
            </w:r>
          </w:p>
        </w:tc>
        <w:tc>
          <w:tcPr>
            <w:tcW w:w="1389" w:type="dxa"/>
            <w:shd w:val="clear" w:color="auto" w:fill="FFFFFF" w:themeFill="background1"/>
          </w:tcPr>
          <w:p w14:paraId="2768C36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791D8B7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6.4 is for ‘sustainable withdrawal and supply’. Index score is low for Australia.  </w:t>
            </w:r>
            <w:r w:rsidRPr="00FF510F">
              <w:rPr>
                <w:sz w:val="16"/>
                <w:szCs w:val="16"/>
              </w:rPr>
              <w:t>A country is considered water scarce if annual withdrawals are between 20 and 40% of annual supply, and severely water scarce if withdrawals exceed 40% (</w:t>
            </w:r>
            <w:proofErr w:type="spellStart"/>
            <w:r w:rsidRPr="00FF510F">
              <w:rPr>
                <w:sz w:val="16"/>
                <w:szCs w:val="16"/>
              </w:rPr>
              <w:t>Raskin</w:t>
            </w:r>
            <w:proofErr w:type="spellEnd"/>
            <w:r w:rsidRPr="00FF510F">
              <w:rPr>
                <w:sz w:val="16"/>
                <w:szCs w:val="16"/>
              </w:rPr>
              <w:t xml:space="preserve"> et al., 1997).</w:t>
            </w:r>
            <w:r w:rsidRPr="00FF510F">
              <w:rPr>
                <w:rFonts w:ascii="Corbel" w:hAnsi="Corbel" w:cstheme="minorHAnsi"/>
                <w:sz w:val="16"/>
                <w:szCs w:val="16"/>
                <w:lang w:val="en-US"/>
              </w:rPr>
              <w:t xml:space="preserve">Target set as maintain at 0.05 or below; calibrated based on historic timeseries data and BAU projection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&lt;EndNote&gt;&lt;Cite&gt;&lt;Author&gt;FAO&lt;/Author&gt;&lt;Year&gt;2018&lt;/Year&gt;&lt;RecNum&gt;1066&lt;/RecNum&gt;&lt;DisplayText&gt;(FAO, 2018, ABS, 2017b)&lt;/DisplayText&gt;&lt;record&gt;&lt;rec-number&gt;1066&lt;/rec-number&gt;&lt;foreign-keys&gt;&lt;key app="EN" db-id="9vsrvaat7fadwtesfsrpw5w5t0x5v500ef25" timestamp="1565163605"&gt;1066&lt;/key&gt;&lt;/foreign-keys&gt;&lt;ref-type name="Online Database"&gt;45&lt;/ref-type&gt;&lt;contributors&gt;&lt;authors&gt;&lt;author&gt;FAO,&lt;/author&gt;&lt;/authors&gt;&lt;/contributors&gt;&lt;titles&gt;&lt;title&gt;AQUASTAT&lt;/title&gt;&lt;/titles&gt;&lt;dates&gt;&lt;year&gt;2018&lt;/year&gt;&lt;pub-dates&gt;&lt;date&gt;21/02/18&lt;/date&gt;&lt;/pub-dates&gt;&lt;/dates&gt;&lt;pub-location&gt;Rome, Italy&lt;/pub-location&gt;&lt;publisher&gt;Food and Agriculture Organisation of the United Nations&lt;/publisher&gt;&lt;urls&gt;&lt;related-urls&gt;&lt;url&gt;http://www.fao.org/aquastat/en/&lt;/url&gt;&lt;/related-urls&gt;&lt;/urls&gt;&lt;/record&gt;&lt;/Cite&gt;&lt;Cite&gt;&lt;Author&gt;ABS&lt;/Author&gt;&lt;Year&gt;2017&lt;/Year&gt;&lt;RecNum&gt;1065&lt;/RecNum&gt;&lt;record&gt;&lt;rec-number&gt;1065&lt;/rec-number&gt;&lt;foreign-keys&gt;&lt;key app="EN" db-id="9vsrvaat7fadwtesfsrpw5w5t0x5v500ef25" timestamp="1565163501"&gt;1065&lt;/key&gt;&lt;/foreign-keys&gt;&lt;ref-type name="Dataset"&gt;59&lt;/ref-type&gt;&lt;contributors&gt;&lt;authors&gt;&lt;author&gt;ABS,&lt;/author&gt;&lt;/authors&gt;&lt;/contributors&gt;&lt;titles&gt;&lt;title&gt;4610.0 - Water Account, Australia&lt;/title&gt;&lt;/titles&gt;&lt;dates&gt;&lt;year&gt;2017&lt;/year&gt;&lt;/dates&gt;&lt;pub-location&gt;Canberra, Australia&lt;/pub-location&gt;&lt;publisher&gt;Australian Bureau of Statistics&lt;/publisher&gt;&lt;urls&gt;&lt;related-urls&gt;&lt;url&gt;https://www.abs.gov.au/AUSSTATS/abs@.nsf/DetailsPage/4610.02015-16&lt;/url&gt;&lt;/related-urls&gt;&lt;/urls&gt;&lt;access-date&gt;21/02/18&lt;/access-date&gt;&lt;/record&gt;&lt;/Cite&gt;&lt;/EndNote&gt;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(FAO, 2018, ABS, 2017b)</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0CB880E2" w14:textId="77777777" w:rsidTr="003F50A4">
        <w:trPr>
          <w:trHeight w:val="54"/>
        </w:trPr>
        <w:tc>
          <w:tcPr>
            <w:tcW w:w="510" w:type="dxa"/>
            <w:shd w:val="clear" w:color="auto" w:fill="D9D9D9" w:themeFill="background1" w:themeFillShade="D9"/>
          </w:tcPr>
          <w:p w14:paraId="355B844F" w14:textId="77777777" w:rsidR="003F50A4" w:rsidRPr="00FF510F" w:rsidRDefault="003F50A4" w:rsidP="007F346F">
            <w:pPr>
              <w:spacing w:after="0"/>
              <w:rPr>
                <w:rFonts w:ascii="Corbel" w:hAnsi="Corbel" w:cstheme="minorHAnsi"/>
                <w:sz w:val="8"/>
                <w:szCs w:val="8"/>
              </w:rPr>
            </w:pPr>
          </w:p>
        </w:tc>
        <w:tc>
          <w:tcPr>
            <w:tcW w:w="4195" w:type="dxa"/>
            <w:tcBorders>
              <w:right w:val="single" w:sz="4" w:space="0" w:color="auto"/>
            </w:tcBorders>
            <w:shd w:val="clear" w:color="auto" w:fill="D9D9D9" w:themeFill="background1" w:themeFillShade="D9"/>
          </w:tcPr>
          <w:p w14:paraId="12EF9EFF" w14:textId="77777777" w:rsidR="003F50A4" w:rsidRPr="00FF510F" w:rsidRDefault="003F50A4" w:rsidP="007F346F">
            <w:pPr>
              <w:spacing w:after="0"/>
              <w:rPr>
                <w:rFonts w:ascii="Corbel" w:hAnsi="Corbel" w:cstheme="minorHAnsi"/>
                <w:sz w:val="8"/>
                <w:szCs w:val="8"/>
              </w:rPr>
            </w:pPr>
          </w:p>
        </w:tc>
        <w:tc>
          <w:tcPr>
            <w:tcW w:w="427" w:type="dxa"/>
            <w:tcBorders>
              <w:left w:val="single" w:sz="4" w:space="0" w:color="auto"/>
              <w:right w:val="single" w:sz="4" w:space="0" w:color="auto"/>
            </w:tcBorders>
            <w:shd w:val="clear" w:color="auto" w:fill="D9D9D9" w:themeFill="background1" w:themeFillShade="D9"/>
          </w:tcPr>
          <w:p w14:paraId="35120351"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0F16134B"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5CEEE80E"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544949AF"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1A9CAE4B"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07D7466C"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68B5422C" w14:textId="77777777" w:rsidR="003F50A4" w:rsidRPr="00FF510F" w:rsidRDefault="003F50A4" w:rsidP="007F346F">
            <w:pPr>
              <w:spacing w:after="0"/>
              <w:rPr>
                <w:rFonts w:ascii="Corbel" w:hAnsi="Corbel" w:cstheme="minorHAnsi"/>
                <w:sz w:val="8"/>
                <w:szCs w:val="8"/>
                <w:lang w:val="en-US"/>
              </w:rPr>
            </w:pPr>
          </w:p>
        </w:tc>
      </w:tr>
      <w:tr w:rsidR="003F50A4" w:rsidRPr="00FF510F" w14:paraId="795063FF" w14:textId="77777777" w:rsidTr="003F50A4">
        <w:trPr>
          <w:trHeight w:val="300"/>
        </w:trPr>
        <w:tc>
          <w:tcPr>
            <w:tcW w:w="510" w:type="dxa"/>
            <w:shd w:val="clear" w:color="auto" w:fill="auto"/>
          </w:tcPr>
          <w:p w14:paraId="1D350AF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7</w:t>
            </w:r>
          </w:p>
        </w:tc>
        <w:tc>
          <w:tcPr>
            <w:tcW w:w="4195" w:type="dxa"/>
            <w:tcBorders>
              <w:right w:val="single" w:sz="4" w:space="0" w:color="auto"/>
            </w:tcBorders>
            <w:shd w:val="clear" w:color="auto" w:fill="auto"/>
          </w:tcPr>
          <w:p w14:paraId="16F337D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7.1 By 2030, ensure universal access to affordable, </w:t>
            </w:r>
            <w:proofErr w:type="gramStart"/>
            <w:r w:rsidRPr="00FF510F">
              <w:rPr>
                <w:rFonts w:ascii="Corbel" w:hAnsi="Corbel" w:cstheme="minorHAnsi"/>
                <w:sz w:val="16"/>
                <w:szCs w:val="16"/>
                <w:lang w:val="en-US"/>
              </w:rPr>
              <w:t>reliable</w:t>
            </w:r>
            <w:proofErr w:type="gramEnd"/>
            <w:r w:rsidRPr="00FF510F">
              <w:rPr>
                <w:rFonts w:ascii="Corbel" w:hAnsi="Corbel" w:cstheme="minorHAnsi"/>
                <w:sz w:val="16"/>
                <w:szCs w:val="16"/>
                <w:lang w:val="en-US"/>
              </w:rPr>
              <w:t xml:space="preserve"> and modern energy services</w:t>
            </w:r>
          </w:p>
        </w:tc>
        <w:tc>
          <w:tcPr>
            <w:tcW w:w="427" w:type="dxa"/>
            <w:tcBorders>
              <w:left w:val="single" w:sz="4" w:space="0" w:color="auto"/>
              <w:right w:val="single" w:sz="4" w:space="0" w:color="auto"/>
            </w:tcBorders>
            <w:shd w:val="clear" w:color="auto" w:fill="FFFFFF" w:themeFill="background1"/>
          </w:tcPr>
          <w:p w14:paraId="28B2A1A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w:t>
            </w:r>
          </w:p>
        </w:tc>
        <w:tc>
          <w:tcPr>
            <w:tcW w:w="992" w:type="dxa"/>
            <w:tcBorders>
              <w:left w:val="single" w:sz="4" w:space="0" w:color="auto"/>
            </w:tcBorders>
            <w:shd w:val="clear" w:color="auto" w:fill="FFFFFF" w:themeFill="background1"/>
            <w:noWrap/>
            <w:hideMark/>
          </w:tcPr>
          <w:p w14:paraId="67F02C0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7.1.1</w:t>
            </w:r>
          </w:p>
        </w:tc>
        <w:tc>
          <w:tcPr>
            <w:tcW w:w="2977" w:type="dxa"/>
            <w:tcBorders>
              <w:right w:val="single" w:sz="4" w:space="0" w:color="auto"/>
            </w:tcBorders>
            <w:shd w:val="clear" w:color="auto" w:fill="FFFFFF" w:themeFill="background1"/>
            <w:noWrap/>
            <w:hideMark/>
          </w:tcPr>
          <w:p w14:paraId="03D6EB4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Percentage of population with access to electricity (%)</w:t>
            </w:r>
          </w:p>
        </w:tc>
        <w:tc>
          <w:tcPr>
            <w:tcW w:w="1276" w:type="dxa"/>
            <w:tcBorders>
              <w:left w:val="single" w:sz="4" w:space="0" w:color="auto"/>
            </w:tcBorders>
            <w:shd w:val="clear" w:color="auto" w:fill="FFFFFF" w:themeFill="background1"/>
          </w:tcPr>
          <w:p w14:paraId="670BF21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100</w:t>
            </w:r>
          </w:p>
        </w:tc>
        <w:tc>
          <w:tcPr>
            <w:tcW w:w="1134" w:type="dxa"/>
            <w:shd w:val="clear" w:color="auto" w:fill="D9D9D9" w:themeFill="background1" w:themeFillShade="D9"/>
            <w:noWrap/>
            <w:hideMark/>
          </w:tcPr>
          <w:p w14:paraId="5053D95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100</w:t>
            </w:r>
          </w:p>
        </w:tc>
        <w:tc>
          <w:tcPr>
            <w:tcW w:w="1389" w:type="dxa"/>
            <w:shd w:val="clear" w:color="auto" w:fill="FFFFFF" w:themeFill="background1"/>
          </w:tcPr>
          <w:p w14:paraId="3BC4B44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0445801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SDG Target 7.1 already achieved for Australia.  Maintain performance.</w:t>
            </w:r>
          </w:p>
        </w:tc>
      </w:tr>
      <w:tr w:rsidR="003F50A4" w:rsidRPr="00FF510F" w14:paraId="4FABF95D" w14:textId="77777777" w:rsidTr="003F50A4">
        <w:trPr>
          <w:trHeight w:val="300"/>
        </w:trPr>
        <w:tc>
          <w:tcPr>
            <w:tcW w:w="510" w:type="dxa"/>
            <w:shd w:val="clear" w:color="auto" w:fill="auto"/>
          </w:tcPr>
          <w:p w14:paraId="1C1925D3"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0BCCD09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7.2 By 2030, increase substantially the share of renewable energy in the global energy mix</w:t>
            </w:r>
          </w:p>
        </w:tc>
        <w:tc>
          <w:tcPr>
            <w:tcW w:w="427" w:type="dxa"/>
            <w:tcBorders>
              <w:left w:val="single" w:sz="4" w:space="0" w:color="auto"/>
              <w:right w:val="single" w:sz="4" w:space="0" w:color="auto"/>
            </w:tcBorders>
            <w:shd w:val="clear" w:color="auto" w:fill="FFFFFF" w:themeFill="background1"/>
          </w:tcPr>
          <w:p w14:paraId="09CA931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w:t>
            </w:r>
          </w:p>
        </w:tc>
        <w:tc>
          <w:tcPr>
            <w:tcW w:w="992" w:type="dxa"/>
            <w:tcBorders>
              <w:left w:val="single" w:sz="4" w:space="0" w:color="auto"/>
            </w:tcBorders>
            <w:shd w:val="clear" w:color="auto" w:fill="FFFFFF" w:themeFill="background1"/>
            <w:noWrap/>
            <w:hideMark/>
          </w:tcPr>
          <w:p w14:paraId="3B7A37B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7.2.1</w:t>
            </w:r>
          </w:p>
        </w:tc>
        <w:tc>
          <w:tcPr>
            <w:tcW w:w="2977" w:type="dxa"/>
            <w:tcBorders>
              <w:right w:val="single" w:sz="4" w:space="0" w:color="auto"/>
            </w:tcBorders>
            <w:shd w:val="clear" w:color="auto" w:fill="FFFFFF" w:themeFill="background1"/>
            <w:noWrap/>
            <w:hideMark/>
          </w:tcPr>
          <w:p w14:paraId="5AB9520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Renewable share in total final energy consumption (%)</w:t>
            </w:r>
          </w:p>
        </w:tc>
        <w:tc>
          <w:tcPr>
            <w:tcW w:w="1276" w:type="dxa"/>
            <w:tcBorders>
              <w:left w:val="single" w:sz="4" w:space="0" w:color="auto"/>
            </w:tcBorders>
            <w:shd w:val="clear" w:color="auto" w:fill="FFFFFF" w:themeFill="background1"/>
          </w:tcPr>
          <w:p w14:paraId="128DE1B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0.094</w:t>
            </w:r>
          </w:p>
        </w:tc>
        <w:tc>
          <w:tcPr>
            <w:tcW w:w="1134" w:type="dxa"/>
            <w:shd w:val="clear" w:color="auto" w:fill="D9D9D9" w:themeFill="background1" w:themeFillShade="D9"/>
            <w:noWrap/>
            <w:hideMark/>
          </w:tcPr>
          <w:p w14:paraId="6819024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0.3</w:t>
            </w:r>
          </w:p>
        </w:tc>
        <w:tc>
          <w:tcPr>
            <w:tcW w:w="1389" w:type="dxa"/>
            <w:shd w:val="clear" w:color="auto" w:fill="FFFFFF" w:themeFill="background1"/>
          </w:tcPr>
          <w:p w14:paraId="2278F44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0.6</w:t>
            </w:r>
          </w:p>
        </w:tc>
        <w:tc>
          <w:tcPr>
            <w:tcW w:w="2552" w:type="dxa"/>
            <w:shd w:val="clear" w:color="auto" w:fill="FFFFFF" w:themeFill="background1"/>
          </w:tcPr>
          <w:p w14:paraId="153FE7CA" w14:textId="0AF4C381"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based on National Sustainable Development Council (NSDC) target of 30% by 2030 </w:t>
            </w:r>
            <w:r w:rsidRPr="00FF510F">
              <w:rPr>
                <w:rFonts w:ascii="Corbel" w:hAnsi="Corbel" w:cstheme="minorHAnsi"/>
                <w:sz w:val="16"/>
                <w:szCs w:val="16"/>
                <w:lang w:val="en-US"/>
              </w:rPr>
              <w:fldChar w:fldCharType="begin"/>
            </w:r>
            <w:r w:rsidR="006E27EC">
              <w:rPr>
                <w:rFonts w:ascii="Corbel" w:hAnsi="Corbel" w:cstheme="minorHAnsi"/>
                <w:sz w:val="16"/>
                <w:szCs w:val="16"/>
                <w:lang w:val="en-US"/>
              </w:rPr>
              <w:instrText xml:space="preserve"> ADDIN EN.CITE &lt;EndNote&gt;&lt;Cite&gt;&lt;Author&gt;Allen&lt;/Author&gt;&lt;Year&gt;2019&lt;/Year&gt;&lt;RecNum&gt;835&lt;/RecNum&gt;&lt;DisplayText&gt;(Allen et al., 2019, MSDI, 2020)&lt;/DisplayText&gt;&lt;record&gt;&lt;rec-number&gt;835&lt;/rec-number&gt;&lt;foreign-keys&gt;&lt;key app="EN" db-id="9vsrvaat7fadwtesfsrpw5w5t0x5v500ef25" timestamp="1539009388"&gt;835&lt;/key&gt;&lt;/foreign-keys&gt;&lt;ref-type name="Journal Article"&gt;17&lt;/ref-type&gt;&lt;contributors&gt;&lt;authors&gt;&lt;author&gt;Allen, C&lt;/author&gt;&lt;author&gt;Reid, M&lt;/author&gt;&lt;author&gt;Thwaites, JW&lt;/author&gt;&lt;author&gt;Glover, R&lt;/author&gt;&lt;author&gt;Kestin, T&lt;/author&gt;&lt;/authors&gt;&lt;/contributors&gt;&lt;titles&gt;&lt;title&gt;Assessing national progress and priorities for the Sustainable Development Goals (SDGs): experience from Australia&lt;/title&gt;&lt;secondary-title&gt;Sustainability Science&lt;/secondary-title&gt;&lt;/titles&gt;&lt;periodical&gt;&lt;full-title&gt;Sustainability science&lt;/full-title&gt;&lt;/periodical&gt;&lt;pages&gt;521-538&lt;/pages&gt;&lt;volume&gt;15&lt;/volume&gt;&lt;dates&gt;&lt;year&gt;2019&lt;/year&gt;&lt;/dates&gt;&lt;urls&gt;&lt;/urls&gt;&lt;electronic-resource-num&gt;https://doi.org/10.1007/s11625-019-00711-x&lt;/electronic-resource-num&gt;&lt;/record&gt;&lt;/Cite&gt;&lt;Cite&gt;&lt;Author&gt;MSDI&lt;/Author&gt;&lt;Year&gt;2020&lt;/Year&gt;&lt;RecNum&gt;1713&lt;/RecNum&gt;&lt;record&gt;&lt;rec-number&gt;1713&lt;/rec-number&gt;&lt;foreign-keys&gt;&lt;key app="EN" db-id="9vsrvaat7fadwtesfsrpw5w5t0x5v500ef25" timestamp="1609189914"&gt;1713&lt;/key&gt;&lt;/foreign-keys&gt;&lt;ref-type name="Generic"&gt;13&lt;/ref-type&gt;&lt;contributors&gt;&lt;authors&gt;&lt;author&gt;MSDI,&lt;/author&gt;&lt;/authors&gt;&lt;/contributors&gt;&lt;titles&gt;&lt;title&gt;Transforming Australia 2020 Update&lt;/title&gt;&lt;/titles&gt;&lt;dates&gt;&lt;year&gt;2020&lt;/year&gt;&lt;/dates&gt;&lt;pub-location&gt;Melbourne&lt;/pub-location&gt;&lt;publisher&gt;Monash Sustainable Development Institute&lt;/publisher&gt;&lt;urls&gt;&lt;/urls&gt;&lt;electronic-resource-num&gt;https://www.sdgtransformingaustralia.com/&lt;/electronic-resource-num&gt;&lt;/record&gt;&lt;/Cite&gt;&lt;/EndNote&gt;</w:instrText>
            </w:r>
            <w:r w:rsidRPr="00FF510F">
              <w:rPr>
                <w:rFonts w:ascii="Corbel" w:hAnsi="Corbel" w:cstheme="minorHAnsi"/>
                <w:sz w:val="16"/>
                <w:szCs w:val="16"/>
                <w:lang w:val="en-US"/>
              </w:rPr>
              <w:fldChar w:fldCharType="separate"/>
            </w:r>
            <w:r w:rsidR="006E27EC">
              <w:rPr>
                <w:rFonts w:ascii="Corbel" w:hAnsi="Corbel" w:cstheme="minorHAnsi"/>
                <w:noProof/>
                <w:sz w:val="16"/>
                <w:szCs w:val="16"/>
                <w:lang w:val="en-US"/>
              </w:rPr>
              <w:t>(Allen et al., 2019, MSDI, 2020)</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Increase to </w:t>
            </w:r>
            <w:r w:rsidRPr="00FF510F">
              <w:rPr>
                <w:rFonts w:ascii="Corbel" w:hAnsi="Corbel" w:cstheme="minorHAnsi"/>
                <w:sz w:val="16"/>
                <w:szCs w:val="16"/>
                <w:lang w:val="en-US"/>
              </w:rPr>
              <w:lastRenderedPageBreak/>
              <w:t xml:space="preserve">60% by 2050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&lt;EndNote&gt;&lt;Cite&gt;&lt;Author&gt;ClimateWorks Australia&lt;/Author&gt;&lt;Year&gt;2020&lt;/Year&gt;&lt;RecNum&gt;1484&lt;/RecNum&gt;&lt;DisplayText&gt;(ClimateWorks Australia, 2020)&lt;/DisplayText&gt;&lt;record&gt;&lt;rec-number&gt;1484&lt;/rec-number&gt;&lt;foreign-keys&gt;&lt;key app="EN" db-id="9vsrvaat7fadwtesfsrpw5w5t0x5v500ef25" timestamp="1600963142"&gt;1484&lt;/key&gt;&lt;/foreign-keys&gt;&lt;ref-type name="Generic"&gt;13&lt;/ref-type&gt;&lt;contributors&gt;&lt;authors&gt;&lt;author&gt;ClimateWorks Australia,&lt;/author&gt;&lt;/authors&gt;&lt;/contributors&gt;&lt;titles&gt;&lt;title&gt;Decarbonisation Futures: Solutions, actions and benchmarks for a net zero emissions Australia&lt;/title&gt;&lt;/titles&gt;&lt;dates&gt;&lt;year&gt;2020&lt;/year&gt;&lt;/dates&gt;&lt;pub-location&gt;Melbourne&lt;/pub-location&gt;&lt;publisher&gt;ClimateWorks&lt;/publisher&gt;&lt;urls&gt;&lt;/urls&gt;&lt;/record&gt;&lt;/Cite&gt;&lt;/EndNote&gt;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(ClimateWorks Australia, 2020)</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3085C084" w14:textId="77777777" w:rsidTr="003F50A4">
        <w:trPr>
          <w:trHeight w:val="300"/>
        </w:trPr>
        <w:tc>
          <w:tcPr>
            <w:tcW w:w="510" w:type="dxa"/>
            <w:shd w:val="clear" w:color="auto" w:fill="auto"/>
          </w:tcPr>
          <w:p w14:paraId="138A3B7B"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3918973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7.2</w:t>
            </w:r>
          </w:p>
        </w:tc>
        <w:tc>
          <w:tcPr>
            <w:tcW w:w="427" w:type="dxa"/>
            <w:tcBorders>
              <w:left w:val="single" w:sz="4" w:space="0" w:color="auto"/>
              <w:right w:val="single" w:sz="4" w:space="0" w:color="auto"/>
            </w:tcBorders>
            <w:shd w:val="clear" w:color="auto" w:fill="FFFFFF" w:themeFill="background1"/>
          </w:tcPr>
          <w:p w14:paraId="4C284C3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w:t>
            </w:r>
          </w:p>
        </w:tc>
        <w:tc>
          <w:tcPr>
            <w:tcW w:w="992" w:type="dxa"/>
            <w:tcBorders>
              <w:left w:val="single" w:sz="4" w:space="0" w:color="auto"/>
            </w:tcBorders>
            <w:shd w:val="clear" w:color="auto" w:fill="FFFFFF" w:themeFill="background1"/>
            <w:noWrap/>
          </w:tcPr>
          <w:p w14:paraId="410079F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7.2.1.ALT</w:t>
            </w:r>
          </w:p>
        </w:tc>
        <w:tc>
          <w:tcPr>
            <w:tcW w:w="2977" w:type="dxa"/>
            <w:tcBorders>
              <w:right w:val="single" w:sz="4" w:space="0" w:color="auto"/>
            </w:tcBorders>
            <w:shd w:val="clear" w:color="auto" w:fill="FFFFFF" w:themeFill="background1"/>
            <w:noWrap/>
          </w:tcPr>
          <w:p w14:paraId="4A5434C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Renewable share in electricity (%)</w:t>
            </w:r>
          </w:p>
        </w:tc>
        <w:tc>
          <w:tcPr>
            <w:tcW w:w="1276" w:type="dxa"/>
            <w:tcBorders>
              <w:left w:val="single" w:sz="4" w:space="0" w:color="auto"/>
            </w:tcBorders>
            <w:shd w:val="clear" w:color="auto" w:fill="FFFFFF" w:themeFill="background1"/>
          </w:tcPr>
          <w:p w14:paraId="1B7A732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0.13</w:t>
            </w:r>
          </w:p>
        </w:tc>
        <w:tc>
          <w:tcPr>
            <w:tcW w:w="1134" w:type="dxa"/>
            <w:shd w:val="clear" w:color="auto" w:fill="D9D9D9" w:themeFill="background1" w:themeFillShade="D9"/>
            <w:noWrap/>
          </w:tcPr>
          <w:p w14:paraId="43A0F22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0.55</w:t>
            </w:r>
          </w:p>
        </w:tc>
        <w:tc>
          <w:tcPr>
            <w:tcW w:w="1389" w:type="dxa"/>
            <w:shd w:val="clear" w:color="auto" w:fill="FFFFFF" w:themeFill="background1"/>
          </w:tcPr>
          <w:p w14:paraId="1077224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0.95</w:t>
            </w:r>
          </w:p>
        </w:tc>
        <w:tc>
          <w:tcPr>
            <w:tcW w:w="2552" w:type="dxa"/>
            <w:shd w:val="clear" w:color="auto" w:fill="FFFFFF" w:themeFill="background1"/>
          </w:tcPr>
          <w:p w14:paraId="456AE2A5" w14:textId="60A74FF5"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based on National Sustainable Development  Council (NSDC) target of 55% by 2030 </w:t>
            </w:r>
            <w:r w:rsidRPr="00FF510F">
              <w:rPr>
                <w:rFonts w:ascii="Corbel" w:hAnsi="Corbel" w:cstheme="minorHAnsi"/>
                <w:sz w:val="16"/>
                <w:szCs w:val="16"/>
                <w:lang w:val="en-US"/>
              </w:rPr>
              <w:fldChar w:fldCharType="begin"/>
            </w:r>
            <w:r w:rsidR="006E27EC">
              <w:rPr>
                <w:rFonts w:ascii="Corbel" w:hAnsi="Corbel" w:cstheme="minorHAnsi"/>
                <w:sz w:val="16"/>
                <w:szCs w:val="16"/>
                <w:lang w:val="en-US"/>
              </w:rPr>
              <w:instrText xml:space="preserve"> ADDIN EN.CITE &lt;EndNote&gt;&lt;Cite&gt;&lt;Author&gt;Allen&lt;/Author&gt;&lt;Year&gt;2019&lt;/Year&gt;&lt;RecNum&gt;835&lt;/RecNum&gt;&lt;DisplayText&gt;(Allen et al., 2019)&lt;/DisplayText&gt;&lt;record&gt;&lt;rec-number&gt;835&lt;/rec-number&gt;&lt;foreign-keys&gt;&lt;key app="EN" db-id="9vsrvaat7fadwtesfsrpw5w5t0x5v500ef25" timestamp="1539009388"&gt;835&lt;/key&gt;&lt;/foreign-keys&gt;&lt;ref-type name="Journal Article"&gt;17&lt;/ref-type&gt;&lt;contributors&gt;&lt;authors&gt;&lt;author&gt;Allen, C&lt;/author&gt;&lt;author&gt;Reid, M&lt;/author&gt;&lt;author&gt;Thwaites, JW&lt;/author&gt;&lt;author&gt;Glover, R&lt;/author&gt;&lt;author&gt;Kestin, T&lt;/author&gt;&lt;/authors&gt;&lt;/contributors&gt;&lt;titles&gt;&lt;title&gt;Assessing national progress and priorities for the Sustainable Development Goals (SDGs): experience from Australia&lt;/title&gt;&lt;secondary-title&gt;Sustainability Science&lt;/secondary-title&gt;&lt;/titles&gt;&lt;periodical&gt;&lt;full-title&gt;Sustainability science&lt;/full-title&gt;&lt;/periodical&gt;&lt;pages&gt;521-538&lt;/pages&gt;&lt;volume&gt;15&lt;/volume&gt;&lt;dates&gt;&lt;year&gt;2019&lt;/year&gt;&lt;/dates&gt;&lt;urls&gt;&lt;/urls&gt;&lt;electronic-resource-num&gt;https://doi.org/10.1007/s11625-019-00711-x&lt;/electronic-resource-num&gt;&lt;/record&gt;&lt;/Cite&gt;&lt;/EndNote&gt;</w:instrText>
            </w:r>
            <w:r w:rsidRPr="00FF510F">
              <w:rPr>
                <w:rFonts w:ascii="Corbel" w:hAnsi="Corbel" w:cstheme="minorHAnsi"/>
                <w:sz w:val="16"/>
                <w:szCs w:val="16"/>
                <w:lang w:val="en-US"/>
              </w:rPr>
              <w:fldChar w:fldCharType="separate"/>
            </w:r>
            <w:r w:rsidR="006E27EC">
              <w:rPr>
                <w:rFonts w:ascii="Corbel" w:hAnsi="Corbel" w:cstheme="minorHAnsi"/>
                <w:noProof/>
                <w:sz w:val="16"/>
                <w:szCs w:val="16"/>
                <w:lang w:val="en-US"/>
              </w:rPr>
              <w:t>(Allen et al., 2019)</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Increase to at least 95% by 2050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&lt;EndNote&gt;&lt;Cite&gt;&lt;Author&gt;ClimateWorks Australia&lt;/Author&gt;&lt;Year&gt;2020&lt;/Year&gt;&lt;RecNum&gt;1484&lt;/RecNum&gt;&lt;DisplayText&gt;(ClimateWorks Australia, 2020)&lt;/DisplayText&gt;&lt;record&gt;&lt;rec-number&gt;1484&lt;/rec-number&gt;&lt;foreign-keys&gt;&lt;key app="EN" db-id="9vsrvaat7fadwtesfsrpw5w5t0x5v500ef25" timestamp="1600963142"&gt;1484&lt;/key&gt;&lt;/foreign-keys&gt;&lt;ref-type name="Generic"&gt;13&lt;/ref-type&gt;&lt;contributors&gt;&lt;authors&gt;&lt;author&gt;ClimateWorks Australia,&lt;/author&gt;&lt;/authors&gt;&lt;/contributors&gt;&lt;titles&gt;&lt;title&gt;Decarbonisation Futures: Solutions, actions and benchmarks for a net zero emissions Australia&lt;/title&gt;&lt;/titles&gt;&lt;dates&gt;&lt;year&gt;2020&lt;/year&gt;&lt;/dates&gt;&lt;pub-location&gt;Melbourne&lt;/pub-location&gt;&lt;publisher&gt;ClimateWorks&lt;/publisher&gt;&lt;urls&gt;&lt;/urls&gt;&lt;/record&gt;&lt;/Cite&gt;&lt;/EndNote&gt;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(ClimateWorks Australia, 2020)</w:t>
            </w:r>
            <w:r w:rsidRPr="00FF510F">
              <w:rPr>
                <w:rFonts w:ascii="Corbel" w:hAnsi="Corbel" w:cstheme="minorHAnsi"/>
                <w:sz w:val="16"/>
                <w:szCs w:val="16"/>
                <w:lang w:val="en-US"/>
              </w:rPr>
              <w:fldChar w:fldCharType="end"/>
            </w:r>
          </w:p>
        </w:tc>
      </w:tr>
      <w:tr w:rsidR="003F50A4" w:rsidRPr="00FF510F" w14:paraId="49463293" w14:textId="77777777" w:rsidTr="003F50A4">
        <w:trPr>
          <w:trHeight w:val="300"/>
        </w:trPr>
        <w:tc>
          <w:tcPr>
            <w:tcW w:w="510" w:type="dxa"/>
            <w:shd w:val="clear" w:color="auto" w:fill="auto"/>
          </w:tcPr>
          <w:p w14:paraId="16374300"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61120F9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7.3 By 2030, double the global rate of improvement in energy efficiency</w:t>
            </w:r>
          </w:p>
        </w:tc>
        <w:tc>
          <w:tcPr>
            <w:tcW w:w="427" w:type="dxa"/>
            <w:tcBorders>
              <w:left w:val="single" w:sz="4" w:space="0" w:color="auto"/>
              <w:right w:val="single" w:sz="4" w:space="0" w:color="auto"/>
            </w:tcBorders>
            <w:shd w:val="clear" w:color="auto" w:fill="FFFFFF" w:themeFill="background1"/>
          </w:tcPr>
          <w:p w14:paraId="5C74F93A" w14:textId="5A8ED015"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hideMark/>
          </w:tcPr>
          <w:p w14:paraId="0E8A0DC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7.3.1</w:t>
            </w:r>
          </w:p>
        </w:tc>
        <w:tc>
          <w:tcPr>
            <w:tcW w:w="2977" w:type="dxa"/>
            <w:tcBorders>
              <w:right w:val="single" w:sz="4" w:space="0" w:color="auto"/>
            </w:tcBorders>
            <w:shd w:val="clear" w:color="auto" w:fill="FFFFFF" w:themeFill="background1"/>
            <w:noWrap/>
            <w:hideMark/>
          </w:tcPr>
          <w:p w14:paraId="613F276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Energy intensity level of primary energy (MJ/USD11)</w:t>
            </w:r>
          </w:p>
        </w:tc>
        <w:tc>
          <w:tcPr>
            <w:tcW w:w="1276" w:type="dxa"/>
            <w:tcBorders>
              <w:left w:val="single" w:sz="4" w:space="0" w:color="auto"/>
            </w:tcBorders>
            <w:shd w:val="clear" w:color="auto" w:fill="FFFFFF" w:themeFill="background1"/>
          </w:tcPr>
          <w:p w14:paraId="4ED7059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5.06</w:t>
            </w:r>
          </w:p>
        </w:tc>
        <w:tc>
          <w:tcPr>
            <w:tcW w:w="1134" w:type="dxa"/>
            <w:shd w:val="clear" w:color="auto" w:fill="D9D9D9" w:themeFill="background1" w:themeFillShade="D9"/>
            <w:noWrap/>
            <w:hideMark/>
          </w:tcPr>
          <w:p w14:paraId="29FE38A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3.04</w:t>
            </w:r>
          </w:p>
        </w:tc>
        <w:tc>
          <w:tcPr>
            <w:tcW w:w="1389" w:type="dxa"/>
            <w:shd w:val="clear" w:color="auto" w:fill="FFFFFF" w:themeFill="background1"/>
          </w:tcPr>
          <w:p w14:paraId="18D09E3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2.02</w:t>
            </w:r>
          </w:p>
        </w:tc>
        <w:tc>
          <w:tcPr>
            <w:tcW w:w="2552" w:type="dxa"/>
            <w:shd w:val="clear" w:color="auto" w:fill="FFFFFF" w:themeFill="background1"/>
          </w:tcPr>
          <w:p w14:paraId="1651556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7.3 is to double the rate of improvement; calibrated from historic timeseries data (equates to target of 3.7%pa; or ~50% total)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&lt;EndNote&gt;&lt;Cite&gt;&lt;Author&gt;DEE&lt;/Author&gt;&lt;Year&gt;2019&lt;/Year&gt;&lt;RecNum&gt;1068&lt;/RecNum&gt;&lt;DisplayText&gt;(DEE, 2019, ABS, 2018a)&lt;/DisplayText&gt;&lt;record&gt;&lt;rec-number&gt;1068&lt;/rec-number&gt;&lt;foreign-keys&gt;&lt;key app="EN" db-id="9vsrvaat7fadwtesfsrpw5w5t0x5v500ef25" timestamp="1565164810"&gt;1068&lt;/key&gt;&lt;/foreign-keys&gt;&lt;ref-type name="Dataset"&gt;59&lt;/ref-type&gt;&lt;contributors&gt;&lt;authors&gt;&lt;author&gt;DEE,&lt;/author&gt;&lt;/authors&gt;&lt;/contributors&gt;&lt;titles&gt;&lt;title&gt;Australian Energy Statistics&lt;/title&gt;&lt;/titles&gt;&lt;dates&gt;&lt;year&gt;2019&lt;/year&gt;&lt;/dates&gt;&lt;pub-location&gt;Canberra, Australia&lt;/pub-location&gt;&lt;publisher&gt;Australian Government&lt;/publisher&gt;&lt;urls&gt;&lt;related-urls&gt;&lt;url&gt;https://www.energy.gov.au/government-priorities/energy-data/australian-energy-statistics&lt;/url&gt;&lt;/related-urls&gt;&lt;/urls&gt;&lt;access-date&gt;06/02/18&lt;/access-date&gt;&lt;/record&gt;&lt;/Cite&gt;&lt;Cite&gt;&lt;Author&gt;ABS&lt;/Author&gt;&lt;Year&gt;2018&lt;/Year&gt;&lt;RecNum&gt;1070&lt;/RecNum&gt;&lt;record&gt;&lt;rec-number&gt;1070&lt;/rec-number&gt;&lt;foreign-keys&gt;&lt;key app="EN" db-id="9vsrvaat7fadwtesfsrpw5w5t0x5v500ef25" timestamp="1565165221"&gt;1070&lt;/key&gt;&lt;/foreign-keys&gt;&lt;ref-type name="Dataset"&gt;59&lt;/ref-type&gt;&lt;contributors&gt;&lt;authors&gt;&lt;author&gt;ABS,&lt;/author&gt;&lt;/authors&gt;&lt;/contributors&gt;&lt;titles&gt;&lt;title&gt;4604.0 - Energy Account, Australia&lt;/title&gt;&lt;/titles&gt;&lt;dates&gt;&lt;year&gt;2018&lt;/year&gt;&lt;/dates&gt;&lt;pub-location&gt;Canberra, Australia&lt;/pub-location&gt;&lt;publisher&gt;Australian Bureau of Statistics&lt;/publisher&gt;&lt;urls&gt;&lt;related-urls&gt;&lt;url&gt;https://www.abs.gov.au/ausstats/abs@.nsf/mf/4604.0&lt;/url&gt;&lt;/related-urls&gt;&lt;/urls&gt;&lt;access-date&gt;20/03/18&lt;/access-date&gt;&lt;/record&gt;&lt;/Cite&gt;&lt;/EndNote&gt;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(DEE, 2019, ABS, 2018a)</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w:t>
            </w:r>
            <w:r w:rsidRPr="00FF510F">
              <w:rPr>
                <w:rFonts w:ascii="Corbel" w:hAnsi="Corbel"/>
                <w:sz w:val="16"/>
                <w:szCs w:val="16"/>
              </w:rPr>
              <w:t xml:space="preserve">COAG NEPP target is 40% increase in energy productivity 2015 to 2030 (~2.67%pa) </w:t>
            </w:r>
            <w:r w:rsidRPr="00FF510F">
              <w:rPr>
                <w:rFonts w:ascii="Corbel" w:hAnsi="Corbel"/>
                <w:sz w:val="16"/>
                <w:szCs w:val="16"/>
              </w:rPr>
              <w:fldChar w:fldCharType="begin"/>
            </w:r>
            <w:r w:rsidRPr="00FF510F">
              <w:rPr>
                <w:rFonts w:ascii="Corbel" w:hAnsi="Corbel"/>
                <w:sz w:val="16"/>
                <w:szCs w:val="16"/>
              </w:rPr>
              <w:instrText xml:space="preserve"> ADDIN EN.CITE &lt;EndNote&gt;&lt;Cite&gt;&lt;Author&gt;Council of Australian Governments&lt;/Author&gt;&lt;Year&gt;2015&lt;/Year&gt;&lt;RecNum&gt;1069&lt;/RecNum&gt;&lt;DisplayText&gt;(Council of Australian Governments, 2015)&lt;/DisplayText&gt;&lt;record&gt;&lt;rec-number&gt;1069&lt;/rec-number&gt;&lt;foreign-keys&gt;&lt;key app="EN" db-id="9vsrvaat7fadwtesfsrpw5w5t0x5v500ef25" timestamp="1565165022"&gt;1069&lt;/key&gt;&lt;/foreign-keys&gt;&lt;ref-type name="Report"&gt;27&lt;/ref-type&gt;&lt;contributors&gt;&lt;authors&gt;&lt;author&gt;Council of Australian Governments,&lt;/author&gt;&lt;/authors&gt;&lt;/contributors&gt;&lt;titles&gt;&lt;title&gt;National Energy Productivity Plan 2015-2030&lt;/title&gt;&lt;/titles&gt;&lt;dates&gt;&lt;year&gt;2015&lt;/year&gt;&lt;/dates&gt;&lt;pub-location&gt;Canberra, Australia&lt;/pub-location&gt;&lt;urls&gt;&lt;related-urls&gt;&lt;url&gt;http://www.coagenergycouncil.gov.au/publications/national-energy-productivity-plan-2015-2030&lt;/url&gt;&lt;/related-urls&gt;&lt;/urls&gt;&lt;/record&gt;&lt;/Cite&gt;&lt;/EndNote&gt;</w:instrText>
            </w:r>
            <w:r w:rsidRPr="00FF510F">
              <w:rPr>
                <w:rFonts w:ascii="Corbel" w:hAnsi="Corbel"/>
                <w:sz w:val="16"/>
                <w:szCs w:val="16"/>
              </w:rPr>
              <w:fldChar w:fldCharType="separate"/>
            </w:r>
            <w:r w:rsidRPr="00FF510F">
              <w:rPr>
                <w:rFonts w:ascii="Corbel" w:hAnsi="Corbel"/>
                <w:noProof/>
                <w:sz w:val="16"/>
                <w:szCs w:val="16"/>
              </w:rPr>
              <w:t>(Council of Australian Governments, 2015)</w:t>
            </w:r>
            <w:r w:rsidRPr="00FF510F">
              <w:rPr>
                <w:rFonts w:ascii="Corbel" w:hAnsi="Corbel"/>
                <w:sz w:val="16"/>
                <w:szCs w:val="16"/>
              </w:rPr>
              <w:fldChar w:fldCharType="end"/>
            </w:r>
            <w:r w:rsidRPr="00FF510F">
              <w:rPr>
                <w:rFonts w:ascii="Corbel" w:hAnsi="Corbel"/>
                <w:sz w:val="16"/>
                <w:szCs w:val="16"/>
              </w:rPr>
              <w:t>. Target set at reduce by 40% by 2050, and 60% by 2050.</w:t>
            </w:r>
          </w:p>
        </w:tc>
      </w:tr>
      <w:tr w:rsidR="003F50A4" w:rsidRPr="00FF510F" w14:paraId="5140175C" w14:textId="77777777" w:rsidTr="003F50A4">
        <w:trPr>
          <w:trHeight w:val="54"/>
        </w:trPr>
        <w:tc>
          <w:tcPr>
            <w:tcW w:w="510" w:type="dxa"/>
            <w:shd w:val="clear" w:color="auto" w:fill="D9D9D9" w:themeFill="background1" w:themeFillShade="D9"/>
          </w:tcPr>
          <w:p w14:paraId="250F094C" w14:textId="77777777" w:rsidR="003F50A4" w:rsidRPr="00FF510F" w:rsidRDefault="003F50A4" w:rsidP="007F346F">
            <w:pPr>
              <w:spacing w:after="0"/>
              <w:rPr>
                <w:rFonts w:ascii="Corbel" w:hAnsi="Corbel" w:cstheme="minorHAnsi"/>
                <w:sz w:val="8"/>
                <w:szCs w:val="8"/>
                <w:lang w:val="en-US"/>
              </w:rPr>
            </w:pPr>
          </w:p>
        </w:tc>
        <w:tc>
          <w:tcPr>
            <w:tcW w:w="4195" w:type="dxa"/>
            <w:tcBorders>
              <w:right w:val="single" w:sz="4" w:space="0" w:color="auto"/>
            </w:tcBorders>
            <w:shd w:val="clear" w:color="auto" w:fill="D9D9D9" w:themeFill="background1" w:themeFillShade="D9"/>
          </w:tcPr>
          <w:p w14:paraId="4CE45E8F" w14:textId="77777777" w:rsidR="003F50A4" w:rsidRPr="00FF510F" w:rsidRDefault="003F50A4" w:rsidP="007F346F">
            <w:pPr>
              <w:spacing w:after="0"/>
              <w:rPr>
                <w:rFonts w:ascii="Corbel" w:hAnsi="Corbel" w:cstheme="minorHAnsi"/>
                <w:sz w:val="8"/>
                <w:szCs w:val="8"/>
                <w:lang w:val="en-US"/>
              </w:rPr>
            </w:pPr>
          </w:p>
        </w:tc>
        <w:tc>
          <w:tcPr>
            <w:tcW w:w="427" w:type="dxa"/>
            <w:tcBorders>
              <w:left w:val="single" w:sz="4" w:space="0" w:color="auto"/>
              <w:right w:val="single" w:sz="4" w:space="0" w:color="auto"/>
            </w:tcBorders>
            <w:shd w:val="clear" w:color="auto" w:fill="D9D9D9" w:themeFill="background1" w:themeFillShade="D9"/>
          </w:tcPr>
          <w:p w14:paraId="269ABE8B"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198C8EE0"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4051D994"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1F14D111"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7CA54BE5"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6C5D7E69"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59C7637A" w14:textId="77777777" w:rsidR="003F50A4" w:rsidRPr="00FF510F" w:rsidRDefault="003F50A4" w:rsidP="007F346F">
            <w:pPr>
              <w:spacing w:after="0"/>
              <w:rPr>
                <w:rFonts w:ascii="Corbel" w:hAnsi="Corbel" w:cstheme="minorHAnsi"/>
                <w:sz w:val="8"/>
                <w:szCs w:val="8"/>
                <w:lang w:val="en-US"/>
              </w:rPr>
            </w:pPr>
          </w:p>
        </w:tc>
      </w:tr>
      <w:tr w:rsidR="003F50A4" w:rsidRPr="00FF510F" w14:paraId="1DC651AA" w14:textId="77777777" w:rsidTr="003F50A4">
        <w:trPr>
          <w:trHeight w:val="300"/>
        </w:trPr>
        <w:tc>
          <w:tcPr>
            <w:tcW w:w="510" w:type="dxa"/>
            <w:shd w:val="clear" w:color="auto" w:fill="auto"/>
          </w:tcPr>
          <w:p w14:paraId="22CD0EA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8</w:t>
            </w:r>
          </w:p>
        </w:tc>
        <w:tc>
          <w:tcPr>
            <w:tcW w:w="4195" w:type="dxa"/>
            <w:tcBorders>
              <w:right w:val="single" w:sz="4" w:space="0" w:color="auto"/>
            </w:tcBorders>
            <w:shd w:val="clear" w:color="auto" w:fill="auto"/>
          </w:tcPr>
          <w:p w14:paraId="2FB8A5B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8.1 Sustain per capita economic growth in accordance with national circumstances…</w:t>
            </w:r>
          </w:p>
        </w:tc>
        <w:tc>
          <w:tcPr>
            <w:tcW w:w="427" w:type="dxa"/>
            <w:tcBorders>
              <w:left w:val="single" w:sz="4" w:space="0" w:color="auto"/>
              <w:right w:val="single" w:sz="4" w:space="0" w:color="auto"/>
            </w:tcBorders>
            <w:shd w:val="clear" w:color="auto" w:fill="FFFFFF" w:themeFill="background1"/>
          </w:tcPr>
          <w:p w14:paraId="32542751" w14:textId="7EC97A6A" w:rsidR="003F50A4" w:rsidRPr="00FF510F" w:rsidRDefault="003F50A4" w:rsidP="007F346F">
            <w:pPr>
              <w:spacing w:after="0"/>
              <w:rPr>
                <w:rFonts w:ascii="Corbel" w:hAnsi="Corbel" w:cstheme="minorHAnsi"/>
                <w:sz w:val="16"/>
                <w:szCs w:val="16"/>
                <w:lang w:val="en-US"/>
              </w:rPr>
            </w:pPr>
          </w:p>
        </w:tc>
        <w:tc>
          <w:tcPr>
            <w:tcW w:w="992" w:type="dxa"/>
            <w:tcBorders>
              <w:left w:val="single" w:sz="4" w:space="0" w:color="auto"/>
            </w:tcBorders>
            <w:shd w:val="clear" w:color="auto" w:fill="FFFFFF" w:themeFill="background1"/>
            <w:noWrap/>
            <w:hideMark/>
          </w:tcPr>
          <w:p w14:paraId="6175163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8.1.1</w:t>
            </w:r>
          </w:p>
        </w:tc>
        <w:tc>
          <w:tcPr>
            <w:tcW w:w="2977" w:type="dxa"/>
            <w:tcBorders>
              <w:right w:val="single" w:sz="4" w:space="0" w:color="auto"/>
            </w:tcBorders>
            <w:shd w:val="clear" w:color="auto" w:fill="FFFFFF" w:themeFill="background1"/>
            <w:noWrap/>
            <w:hideMark/>
          </w:tcPr>
          <w:p w14:paraId="63E1C98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Real pc GDP growth rate 5-year average (% pa) </w:t>
            </w:r>
          </w:p>
        </w:tc>
        <w:tc>
          <w:tcPr>
            <w:tcW w:w="1276" w:type="dxa"/>
            <w:tcBorders>
              <w:left w:val="single" w:sz="4" w:space="0" w:color="auto"/>
            </w:tcBorders>
            <w:shd w:val="clear" w:color="auto" w:fill="FFFFFF" w:themeFill="background1"/>
          </w:tcPr>
          <w:p w14:paraId="67FDAE9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0.007</w:t>
            </w:r>
          </w:p>
        </w:tc>
        <w:tc>
          <w:tcPr>
            <w:tcW w:w="1134" w:type="dxa"/>
            <w:shd w:val="clear" w:color="auto" w:fill="D9D9D9" w:themeFill="background1" w:themeFillShade="D9"/>
            <w:noWrap/>
            <w:hideMark/>
          </w:tcPr>
          <w:p w14:paraId="0A20A41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0.005</w:t>
            </w:r>
          </w:p>
        </w:tc>
        <w:tc>
          <w:tcPr>
            <w:tcW w:w="1389" w:type="dxa"/>
            <w:shd w:val="clear" w:color="auto" w:fill="FFFFFF" w:themeFill="background1"/>
          </w:tcPr>
          <w:p w14:paraId="2142CA4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1A572F8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8.1 is to ‘sustain’ per capita growth. Target set at 0.5% pa; calibrated from timeseries data and BAU projection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&lt;EndNote&gt;&lt;Cite&gt;&lt;Author&gt;ABS&lt;/Author&gt;&lt;Year&gt;2017&lt;/Year&gt;&lt;RecNum&gt;1051&lt;/RecNum&gt;&lt;DisplayText&gt;(ABS, 2017c)&lt;/DisplayText&gt;&lt;record&gt;&lt;rec-number&gt;1051&lt;/rec-number&gt;&lt;foreign-keys&gt;&lt;key app="EN" db-id="9vsrvaat7fadwtesfsrpw5w5t0x5v500ef25" timestamp="1565085982"&gt;1051&lt;/key&gt;&lt;/foreign-keys&gt;&lt;ref-type name="Dataset"&gt;59&lt;/ref-type&gt;&lt;contributors&gt;&lt;authors&gt;&lt;author&gt;ABS,&lt;/author&gt;&lt;/authors&gt;&lt;/contributors&gt;&lt;titles&gt;&lt;title&gt;5204.0 - Australian System of National Accounts&lt;/title&gt;&lt;/titles&gt;&lt;dates&gt;&lt;year&gt;2017&lt;/year&gt;&lt;/dates&gt;&lt;pub-location&gt;Canberra, Australia&lt;/pub-location&gt;&lt;publisher&gt;Australian Bureau of Statistics&lt;/publisher&gt;&lt;urls&gt;&lt;related-urls&gt;&lt;url&gt;https://www.abs.gov.au/AUSSTATS/abs@.nsf/allprimarymainfeatures/D287F7C09246B5BDCA258331000C3A24?opendocument&lt;/url&gt;&lt;/related-urls&gt;&lt;/urls&gt;&lt;access-date&gt;18/02/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(ABS, 2017c)</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4B695718" w14:textId="77777777" w:rsidTr="003F50A4">
        <w:trPr>
          <w:trHeight w:val="300"/>
        </w:trPr>
        <w:tc>
          <w:tcPr>
            <w:tcW w:w="510" w:type="dxa"/>
            <w:shd w:val="clear" w:color="auto" w:fill="auto"/>
          </w:tcPr>
          <w:p w14:paraId="5C37AC84"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5EE221E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8.1</w:t>
            </w:r>
          </w:p>
        </w:tc>
        <w:tc>
          <w:tcPr>
            <w:tcW w:w="427" w:type="dxa"/>
            <w:tcBorders>
              <w:left w:val="single" w:sz="4" w:space="0" w:color="auto"/>
              <w:right w:val="single" w:sz="4" w:space="0" w:color="auto"/>
            </w:tcBorders>
            <w:shd w:val="clear" w:color="auto" w:fill="FFFFFF" w:themeFill="background1"/>
          </w:tcPr>
          <w:p w14:paraId="27F29040" w14:textId="09853FC0"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tcPr>
          <w:p w14:paraId="1F94A3B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8.1.</w:t>
            </w:r>
            <w:proofErr w:type="gramStart"/>
            <w:r w:rsidRPr="00FF510F">
              <w:rPr>
                <w:rFonts w:ascii="Corbel" w:hAnsi="Corbel" w:cstheme="minorHAnsi"/>
                <w:sz w:val="16"/>
                <w:szCs w:val="16"/>
                <w:lang w:val="en-US"/>
              </w:rPr>
              <w:t>1.ALT</w:t>
            </w:r>
            <w:proofErr w:type="gramEnd"/>
            <w:r w:rsidRPr="00FF510F">
              <w:rPr>
                <w:rFonts w:ascii="Corbel" w:hAnsi="Corbel" w:cstheme="minorHAnsi"/>
                <w:sz w:val="16"/>
                <w:szCs w:val="16"/>
                <w:lang w:val="en-US"/>
              </w:rPr>
              <w:t>2</w:t>
            </w:r>
          </w:p>
        </w:tc>
        <w:tc>
          <w:tcPr>
            <w:tcW w:w="2977" w:type="dxa"/>
            <w:tcBorders>
              <w:right w:val="single" w:sz="4" w:space="0" w:color="auto"/>
            </w:tcBorders>
            <w:shd w:val="clear" w:color="auto" w:fill="FFFFFF" w:themeFill="background1"/>
            <w:noWrap/>
          </w:tcPr>
          <w:p w14:paraId="245993B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Per capita real disposable income </w:t>
            </w:r>
            <w:r w:rsidRPr="00FF510F">
              <w:rPr>
                <w:rFonts w:ascii="Corbel" w:hAnsi="Corbel" w:cstheme="minorHAnsi"/>
                <w:sz w:val="16"/>
                <w:szCs w:val="16"/>
              </w:rPr>
              <w:t>(real $/person/year)</w:t>
            </w:r>
          </w:p>
        </w:tc>
        <w:tc>
          <w:tcPr>
            <w:tcW w:w="1276" w:type="dxa"/>
            <w:tcBorders>
              <w:left w:val="single" w:sz="4" w:space="0" w:color="auto"/>
            </w:tcBorders>
            <w:shd w:val="clear" w:color="auto" w:fill="FFFFFF" w:themeFill="background1"/>
          </w:tcPr>
          <w:p w14:paraId="1B84FDC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55,908</w:t>
            </w:r>
          </w:p>
        </w:tc>
        <w:tc>
          <w:tcPr>
            <w:tcW w:w="1134" w:type="dxa"/>
            <w:shd w:val="clear" w:color="auto" w:fill="D9D9D9" w:themeFill="background1" w:themeFillShade="D9"/>
            <w:noWrap/>
          </w:tcPr>
          <w:p w14:paraId="5809299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61,500</w:t>
            </w:r>
          </w:p>
        </w:tc>
        <w:tc>
          <w:tcPr>
            <w:tcW w:w="1389" w:type="dxa"/>
            <w:shd w:val="clear" w:color="auto" w:fill="FFFFFF" w:themeFill="background1"/>
          </w:tcPr>
          <w:p w14:paraId="728C6AD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0FEB27F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as 10% improvement on baseline value by 2030; calibrated from timeseries data and BAU projection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&lt;EndNote&gt;&lt;Cite&gt;&lt;Author&gt;ABS&lt;/Author&gt;&lt;Year&gt;2020&lt;/Year&gt;&lt;RecNum&gt;1071&lt;/RecNum&gt;&lt;DisplayText&gt;(ABS, 2020a)&lt;/DisplayText&gt;&lt;record&gt;&lt;rec-number&gt;1071&lt;/rec-number&gt;&lt;foreign-keys&gt;&lt;key app="EN" db-id="9vsrvaat7fadwtesfsrpw5w5t0x5v500ef25" timestamp="1565171205"&gt;1071&lt;/key&gt;&lt;/foreign-keys&gt;&lt;ref-type name="Dataset"&gt;59&lt;/ref-type&gt;&lt;contributors&gt;&lt;authors&gt;&lt;author&gt;ABS,&lt;/author&gt;&lt;/authors&gt;&lt;/contributors&gt;&lt;titles&gt;&lt;title&gt;5206.0 - Australian National Accounts: National Income, Expenditure and Product&lt;/title&gt;&lt;/titles&gt;&lt;dates&gt;&lt;year&gt;2020&lt;/year&gt;&lt;/dates&gt;&lt;pub-location&gt;Canberra, Australia&lt;/pub-location&gt;&lt;publisher&gt;Australian Bureau of Statistics&lt;/publisher&gt;&lt;urls&gt;&lt;related-urls&gt;&lt;url&gt;https://www.abs.gov.au/ausstats/abs@.nsf/mf/5206.0&lt;/url&gt;&lt;/related-urls&gt;&lt;/urls&gt;&lt;access-date&gt;11/02/18&lt;/access-date&gt;&lt;/record&gt;&lt;/Cite&gt;&lt;/EndNote&gt;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(ABS, 2020a)</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6D51AB06" w14:textId="77777777" w:rsidTr="003F50A4">
        <w:trPr>
          <w:trHeight w:val="300"/>
        </w:trPr>
        <w:tc>
          <w:tcPr>
            <w:tcW w:w="510" w:type="dxa"/>
            <w:shd w:val="clear" w:color="auto" w:fill="auto"/>
          </w:tcPr>
          <w:p w14:paraId="233F132E"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45CF8EE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8.2 Achieve higher levels of economic productivity through diversification, technological upgrading and innovation, including through a focus on </w:t>
            </w:r>
            <w:proofErr w:type="gramStart"/>
            <w:r w:rsidRPr="00FF510F">
              <w:rPr>
                <w:rFonts w:ascii="Corbel" w:hAnsi="Corbel" w:cstheme="minorHAnsi"/>
                <w:sz w:val="16"/>
                <w:szCs w:val="16"/>
                <w:lang w:val="en-US"/>
              </w:rPr>
              <w:t>high-value</w:t>
            </w:r>
            <w:proofErr w:type="gramEnd"/>
            <w:r w:rsidRPr="00FF510F">
              <w:rPr>
                <w:rFonts w:ascii="Corbel" w:hAnsi="Corbel" w:cstheme="minorHAnsi"/>
                <w:sz w:val="16"/>
                <w:szCs w:val="16"/>
                <w:lang w:val="en-US"/>
              </w:rPr>
              <w:t xml:space="preserve"> added and </w:t>
            </w:r>
            <w:proofErr w:type="spellStart"/>
            <w:r w:rsidRPr="00FF510F">
              <w:rPr>
                <w:rFonts w:ascii="Corbel" w:hAnsi="Corbel" w:cstheme="minorHAnsi"/>
                <w:sz w:val="16"/>
                <w:szCs w:val="16"/>
                <w:lang w:val="en-US"/>
              </w:rPr>
              <w:t>labour-intensive</w:t>
            </w:r>
            <w:proofErr w:type="spellEnd"/>
            <w:r w:rsidRPr="00FF510F">
              <w:rPr>
                <w:rFonts w:ascii="Corbel" w:hAnsi="Corbel" w:cstheme="minorHAnsi"/>
                <w:sz w:val="16"/>
                <w:szCs w:val="16"/>
                <w:lang w:val="en-US"/>
              </w:rPr>
              <w:t xml:space="preserve"> sectors</w:t>
            </w:r>
          </w:p>
        </w:tc>
        <w:tc>
          <w:tcPr>
            <w:tcW w:w="427" w:type="dxa"/>
            <w:tcBorders>
              <w:left w:val="single" w:sz="4" w:space="0" w:color="auto"/>
              <w:right w:val="single" w:sz="4" w:space="0" w:color="auto"/>
            </w:tcBorders>
            <w:shd w:val="clear" w:color="auto" w:fill="FFFFFF" w:themeFill="background1"/>
          </w:tcPr>
          <w:p w14:paraId="2138B69A" w14:textId="7E7409C0"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hideMark/>
          </w:tcPr>
          <w:p w14:paraId="17C2021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8.2.1</w:t>
            </w:r>
          </w:p>
        </w:tc>
        <w:tc>
          <w:tcPr>
            <w:tcW w:w="2977" w:type="dxa"/>
            <w:tcBorders>
              <w:right w:val="single" w:sz="4" w:space="0" w:color="auto"/>
            </w:tcBorders>
            <w:shd w:val="clear" w:color="auto" w:fill="FFFFFF" w:themeFill="background1"/>
            <w:noWrap/>
            <w:hideMark/>
          </w:tcPr>
          <w:p w14:paraId="08D8206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GDP per employed person growth rate (%)</w:t>
            </w:r>
          </w:p>
        </w:tc>
        <w:tc>
          <w:tcPr>
            <w:tcW w:w="1276" w:type="dxa"/>
            <w:tcBorders>
              <w:left w:val="single" w:sz="4" w:space="0" w:color="auto"/>
            </w:tcBorders>
            <w:shd w:val="clear" w:color="auto" w:fill="FFFFFF" w:themeFill="background1"/>
          </w:tcPr>
          <w:p w14:paraId="665ED6C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0.01</w:t>
            </w:r>
          </w:p>
        </w:tc>
        <w:tc>
          <w:tcPr>
            <w:tcW w:w="1134" w:type="dxa"/>
            <w:shd w:val="clear" w:color="auto" w:fill="D9D9D9" w:themeFill="background1" w:themeFillShade="D9"/>
            <w:noWrap/>
            <w:hideMark/>
          </w:tcPr>
          <w:p w14:paraId="5F63145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0.01</w:t>
            </w:r>
          </w:p>
        </w:tc>
        <w:tc>
          <w:tcPr>
            <w:tcW w:w="1389" w:type="dxa"/>
            <w:shd w:val="clear" w:color="auto" w:fill="FFFFFF" w:themeFill="background1"/>
          </w:tcPr>
          <w:p w14:paraId="7711463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6CBEC32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8.2 is higher productivity. Target set as 1% pa; calibrated from timeseries data and BAU projections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&lt;EndNote&gt;&lt;Cite&gt;&lt;Author&gt;ABS&lt;/Author&gt;&lt;Year&gt;2017&lt;/Year&gt;&lt;RecNum&gt;1051&lt;/RecNum&gt;&lt;DisplayText&gt;(ABS, 2017c, ABS, 2017d)&lt;/DisplayText&gt;&lt;record&gt;&lt;rec-number&gt;1051&lt;/rec-number&gt;&lt;foreign-keys&gt;&lt;key app="EN" db-id="9vsrvaat7fadwtesfsrpw5w5t0x5v500ef25" timestamp="1565085982"&gt;1051&lt;/key&gt;&lt;/foreign-keys&gt;&lt;ref-type name="Dataset"&gt;59&lt;/ref-type&gt;&lt;contributors&gt;&lt;authors&gt;&lt;author&gt;ABS,&lt;/author&gt;&lt;/authors&gt;&lt;/contributors&gt;&lt;titles&gt;&lt;title&gt;5204.0 - Australian System of National Accounts&lt;/title&gt;&lt;/titles&gt;&lt;dates&gt;&lt;year&gt;2017&lt;/year&gt;&lt;/dates&gt;&lt;pub-location&gt;Canberra, Australia&lt;/pub-location&gt;&lt;publisher&gt;Australian Bureau of Statistics&lt;/publisher&gt;&lt;urls&gt;&lt;related-urls&gt;&lt;url&gt;https://www.abs.gov.au/AUSSTATS/abs@.nsf/allprimarymainfeatures/D287F7C09246B5BDCA258331000C3A24?opendocument&lt;/url&gt;&lt;/related-urls&gt;&lt;/urls&gt;&lt;access-date&gt;18/02/18&lt;/access-date&gt;&lt;/record&gt;&lt;/Cite&gt;&lt;Cite&gt;&lt;Author&gt;ABS&lt;/Author&gt;&lt;Year&gt;2017&lt;/Year&gt;&lt;RecNum&gt;1055&lt;/RecNum&gt;&lt;record&gt;&lt;rec-number&gt;1055&lt;/rec-number&gt;&lt;foreign-keys&gt;&lt;key app="EN" db-id="9vsrvaat7fadwtesfsrpw5w5t0x5v500ef25" timestamp="1565088270"&gt;1055&lt;/key&gt;&lt;/foreign-keys&gt;&lt;ref-type name="Dataset"&gt;59&lt;/ref-type&gt;&lt;contributors&gt;&lt;authors&gt;&lt;author&gt;ABS&lt;/author&gt;&lt;/authors&gt;&lt;/contributors&gt;&lt;titles&gt;&lt;title&gt;6202.0 - Labour Force, Australia&lt;/title&gt;&lt;/titles&gt;&lt;dates&gt;&lt;year&gt;2017&lt;/year&gt;&lt;/dates&gt;&lt;pub-location&gt;Canberra, Australia&lt;/pub-location&gt;&lt;publisher&gt;Australian Bureau of Statistics&lt;/publisher&gt;&lt;urls&gt;&lt;related-urls&gt;&lt;url&gt;https://www.abs.gov.au/AUSSTATS/abs@.nsf/allprimarymainfeatures/DAFD6C38CD421642CA25819A0013343A?opendocument&lt;/url&gt;&lt;/related-urls&gt;&lt;/urls&gt;&lt;access-date&gt;20/08/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(ABS, 2017c, ABS, 2017d)</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752C66E6" w14:textId="77777777" w:rsidTr="003F50A4">
        <w:trPr>
          <w:trHeight w:val="300"/>
        </w:trPr>
        <w:tc>
          <w:tcPr>
            <w:tcW w:w="510" w:type="dxa"/>
            <w:shd w:val="clear" w:color="auto" w:fill="auto"/>
          </w:tcPr>
          <w:p w14:paraId="711AE8C2"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306043C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8.4 Improve progressively, through 2030, global resource efficiency in consumption and production and endeavor to decouple economic growth from environmental degradation</w:t>
            </w:r>
          </w:p>
        </w:tc>
        <w:tc>
          <w:tcPr>
            <w:tcW w:w="427" w:type="dxa"/>
            <w:tcBorders>
              <w:left w:val="single" w:sz="4" w:space="0" w:color="auto"/>
              <w:right w:val="single" w:sz="4" w:space="0" w:color="auto"/>
            </w:tcBorders>
            <w:shd w:val="clear" w:color="auto" w:fill="FFFFFF" w:themeFill="background1"/>
          </w:tcPr>
          <w:p w14:paraId="321882D2" w14:textId="58E2F2CC"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hideMark/>
          </w:tcPr>
          <w:p w14:paraId="715F7CD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8.4.1c</w:t>
            </w:r>
          </w:p>
        </w:tc>
        <w:tc>
          <w:tcPr>
            <w:tcW w:w="2977" w:type="dxa"/>
            <w:tcBorders>
              <w:right w:val="single" w:sz="4" w:space="0" w:color="auto"/>
            </w:tcBorders>
            <w:shd w:val="clear" w:color="auto" w:fill="FFFFFF" w:themeFill="background1"/>
            <w:noWrap/>
            <w:hideMark/>
          </w:tcPr>
          <w:p w14:paraId="77453A0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Material footprint per unit of output (kg/USD11)</w:t>
            </w:r>
          </w:p>
        </w:tc>
        <w:tc>
          <w:tcPr>
            <w:tcW w:w="1276" w:type="dxa"/>
            <w:tcBorders>
              <w:left w:val="single" w:sz="4" w:space="0" w:color="auto"/>
            </w:tcBorders>
            <w:shd w:val="clear" w:color="auto" w:fill="FFFFFF" w:themeFill="background1"/>
          </w:tcPr>
          <w:p w14:paraId="35D08E3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0.82</w:t>
            </w:r>
          </w:p>
        </w:tc>
        <w:tc>
          <w:tcPr>
            <w:tcW w:w="1134" w:type="dxa"/>
            <w:shd w:val="clear" w:color="auto" w:fill="D9D9D9" w:themeFill="background1" w:themeFillShade="D9"/>
            <w:noWrap/>
            <w:hideMark/>
          </w:tcPr>
          <w:p w14:paraId="1CED96B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0.58</w:t>
            </w:r>
          </w:p>
        </w:tc>
        <w:tc>
          <w:tcPr>
            <w:tcW w:w="1389" w:type="dxa"/>
            <w:shd w:val="clear" w:color="auto" w:fill="FFFFFF" w:themeFill="background1"/>
          </w:tcPr>
          <w:p w14:paraId="61BB110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0.041</w:t>
            </w:r>
          </w:p>
        </w:tc>
        <w:tc>
          <w:tcPr>
            <w:tcW w:w="2552" w:type="dxa"/>
            <w:shd w:val="clear" w:color="auto" w:fill="FFFFFF" w:themeFill="background1"/>
          </w:tcPr>
          <w:p w14:paraId="6088A4F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at 30% total improvement on baseline by 2030; calibrated from global data and BAU projection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&lt;EndNote&gt;&lt;Cite&gt;&lt;Author&gt;West&lt;/Author&gt;&lt;Year&gt;2018&lt;/Year&gt;&lt;RecNum&gt;1048&lt;/RecNum&gt;&lt;DisplayText&gt;(West and Lieber, 2018)&lt;/DisplayText&gt;&lt;record&gt;&lt;rec-number&gt;1048&lt;/rec-number&gt;&lt;foreign-keys&gt;&lt;key app="EN" db-id="9vsrvaat7fadwtesfsrpw5w5t0x5v500ef25" timestamp="1565085299"&gt;1048&lt;/key&gt;&lt;/foreign-keys&gt;&lt;ref-type name="Dataset"&gt;59&lt;/ref-type&gt;&lt;contributors&gt;&lt;authors&gt;&lt;author&gt;West, J&lt;/author&gt;&lt;author&gt;Lieber, M&lt;/author&gt;&lt;/authors&gt;&lt;/contributors&gt;&lt;titles&gt;&lt;title&gt;Global Material Flows Database&lt;/title&gt;&lt;/titles&gt;&lt;dates&gt;&lt;year&gt;2018&lt;/year&gt;&lt;/dates&gt;&lt;pub-location&gt;Paris, France&lt;/pub-location&gt;&lt;urls&gt;&lt;related-urls&gt;&lt;url&gt;https://www.resourcepanel.org/global-material-flows-database&lt;/url&gt;&lt;/related-urls&gt;&lt;/urls&gt;&lt;access-date&gt;10/02/18&lt;/access-date&gt;&lt;/record&gt;&lt;/Cite&gt;&lt;/EndNote&gt;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(West and Lieber, 2018)</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Increased to 50% reduction by 2050.</w:t>
            </w:r>
          </w:p>
        </w:tc>
      </w:tr>
      <w:tr w:rsidR="003F50A4" w:rsidRPr="00FF510F" w14:paraId="39125724" w14:textId="77777777" w:rsidTr="003F50A4">
        <w:trPr>
          <w:trHeight w:val="300"/>
        </w:trPr>
        <w:tc>
          <w:tcPr>
            <w:tcW w:w="510" w:type="dxa"/>
            <w:shd w:val="clear" w:color="auto" w:fill="auto"/>
          </w:tcPr>
          <w:p w14:paraId="43746BFB"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645F61B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8.4</w:t>
            </w:r>
          </w:p>
        </w:tc>
        <w:tc>
          <w:tcPr>
            <w:tcW w:w="427" w:type="dxa"/>
            <w:tcBorders>
              <w:left w:val="single" w:sz="4" w:space="0" w:color="auto"/>
              <w:right w:val="single" w:sz="4" w:space="0" w:color="auto"/>
            </w:tcBorders>
            <w:shd w:val="clear" w:color="auto" w:fill="FFFFFF" w:themeFill="background1"/>
          </w:tcPr>
          <w:p w14:paraId="06940C88" w14:textId="53EC17D5"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hideMark/>
          </w:tcPr>
          <w:p w14:paraId="78B1795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8.4.2c</w:t>
            </w:r>
          </w:p>
        </w:tc>
        <w:tc>
          <w:tcPr>
            <w:tcW w:w="2977" w:type="dxa"/>
            <w:tcBorders>
              <w:right w:val="single" w:sz="4" w:space="0" w:color="auto"/>
            </w:tcBorders>
            <w:shd w:val="clear" w:color="auto" w:fill="FFFFFF" w:themeFill="background1"/>
            <w:noWrap/>
            <w:hideMark/>
          </w:tcPr>
          <w:p w14:paraId="4B89312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Domestic material consumption per unit of output (kg/USD11)</w:t>
            </w:r>
          </w:p>
        </w:tc>
        <w:tc>
          <w:tcPr>
            <w:tcW w:w="1276" w:type="dxa"/>
            <w:tcBorders>
              <w:left w:val="single" w:sz="4" w:space="0" w:color="auto"/>
            </w:tcBorders>
            <w:shd w:val="clear" w:color="auto" w:fill="FFFFFF" w:themeFill="background1"/>
          </w:tcPr>
          <w:p w14:paraId="692FC60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0.77</w:t>
            </w:r>
          </w:p>
        </w:tc>
        <w:tc>
          <w:tcPr>
            <w:tcW w:w="1134" w:type="dxa"/>
            <w:shd w:val="clear" w:color="auto" w:fill="D9D9D9" w:themeFill="background1" w:themeFillShade="D9"/>
            <w:noWrap/>
            <w:hideMark/>
          </w:tcPr>
          <w:p w14:paraId="68CD46C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0.46</w:t>
            </w:r>
          </w:p>
        </w:tc>
        <w:tc>
          <w:tcPr>
            <w:tcW w:w="1389" w:type="dxa"/>
            <w:shd w:val="clear" w:color="auto" w:fill="FFFFFF" w:themeFill="background1"/>
          </w:tcPr>
          <w:p w14:paraId="2621DFC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0.031</w:t>
            </w:r>
          </w:p>
        </w:tc>
        <w:tc>
          <w:tcPr>
            <w:tcW w:w="2552" w:type="dxa"/>
            <w:shd w:val="clear" w:color="auto" w:fill="FFFFFF" w:themeFill="background1"/>
          </w:tcPr>
          <w:p w14:paraId="7C9346D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at 40% improvement on baseline by 2030; calibrated from </w:t>
            </w:r>
            <w:r w:rsidRPr="00FF510F">
              <w:rPr>
                <w:rFonts w:ascii="Corbel" w:hAnsi="Corbel" w:cstheme="minorHAnsi"/>
                <w:sz w:val="16"/>
                <w:szCs w:val="16"/>
                <w:lang w:val="en-US"/>
              </w:rPr>
              <w:lastRenderedPageBreak/>
              <w:t xml:space="preserve">global data and BAU projection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&lt;EndNote&gt;&lt;Cite&gt;&lt;Author&gt;West&lt;/Author&gt;&lt;Year&gt;2018&lt;/Year&gt;&lt;RecNum&gt;1048&lt;/RecNum&gt;&lt;DisplayText&gt;(West and Lieber, 2018)&lt;/DisplayText&gt;&lt;record&gt;&lt;rec-number&gt;1048&lt;/rec-number&gt;&lt;foreign-keys&gt;&lt;key app="EN" db-id="9vsrvaat7fadwtesfsrpw5w5t0x5v500ef25" timestamp="1565085299"&gt;1048&lt;/key&gt;&lt;/foreign-keys&gt;&lt;ref-type name="Dataset"&gt;59&lt;/ref-type&gt;&lt;contributors&gt;&lt;authors&gt;&lt;author&gt;West, J&lt;/author&gt;&lt;author&gt;Lieber, M&lt;/author&gt;&lt;/authors&gt;&lt;/contributors&gt;&lt;titles&gt;&lt;title&gt;Global Material Flows Database&lt;/title&gt;&lt;/titles&gt;&lt;dates&gt;&lt;year&gt;2018&lt;/year&gt;&lt;/dates&gt;&lt;pub-location&gt;Paris, France&lt;/pub-location&gt;&lt;urls&gt;&lt;related-urls&gt;&lt;url&gt;https://www.resourcepanel.org/global-material-flows-database&lt;/url&gt;&lt;/related-urls&gt;&lt;/urls&gt;&lt;access-date&gt;10/02/18&lt;/access-date&gt;&lt;/record&gt;&lt;/Cite&gt;&lt;/EndNote&gt;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(West and Lieber, 2018)</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and IRP target 36-54% by 2050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&lt;EndNote&gt;&lt;Cite&gt;&lt;Author&gt;International Resource Panel&lt;/Author&gt;&lt;Year&gt;2017&lt;/Year&gt;&lt;RecNum&gt;884&lt;/RecNum&gt;&lt;DisplayText&gt;(International Resource Panel, 2017)&lt;/DisplayText&gt;&lt;record&gt;&lt;rec-number&gt;884&lt;/rec-number&gt;&lt;foreign-keys&gt;&lt;key app="EN" db-id="9vsrvaat7fadwtesfsrpw5w5t0x5v500ef25" timestamp="1542427681"&gt;884&lt;/key&gt;&lt;/foreign-keys&gt;&lt;ref-type name="Generic"&gt;13&lt;/ref-type&gt;&lt;contributors&gt;&lt;authors&gt;&lt;author&gt;International Resource Panel,&lt;/author&gt;&lt;/authors&gt;&lt;/contributors&gt;&lt;titles&gt;&lt;title&gt;Resource Efficiency: Potential and Economic Implications. &lt;/title&gt;&lt;/titles&gt;&lt;dates&gt;&lt;year&gt;2017&lt;/year&gt;&lt;/dates&gt;&lt;pub-location&gt;Paris&lt;/pub-location&gt;&lt;publisher&gt;UN Environment&lt;/publisher&gt;&lt;urls&gt;&lt;/urls&gt;&lt;/record&gt;&lt;/Cite&gt;&lt;/EndNote&gt;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(International Resource Panel, 2017)</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Increased to 60% by 2050. </w:t>
            </w:r>
          </w:p>
        </w:tc>
      </w:tr>
      <w:tr w:rsidR="003F50A4" w:rsidRPr="00FF510F" w14:paraId="52B2A766" w14:textId="77777777" w:rsidTr="003F50A4">
        <w:trPr>
          <w:trHeight w:val="300"/>
        </w:trPr>
        <w:tc>
          <w:tcPr>
            <w:tcW w:w="510" w:type="dxa"/>
            <w:shd w:val="clear" w:color="auto" w:fill="auto"/>
          </w:tcPr>
          <w:p w14:paraId="0FA5C53D"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658C81B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8.5 By 2030, achieve full and productive employment and decent work for all women and men, including for young people and persons with disabilities, and equal pay for work of equal value</w:t>
            </w:r>
          </w:p>
        </w:tc>
        <w:tc>
          <w:tcPr>
            <w:tcW w:w="427" w:type="dxa"/>
            <w:tcBorders>
              <w:left w:val="single" w:sz="4" w:space="0" w:color="auto"/>
              <w:right w:val="single" w:sz="4" w:space="0" w:color="auto"/>
            </w:tcBorders>
            <w:shd w:val="clear" w:color="auto" w:fill="FFFFFF" w:themeFill="background1"/>
          </w:tcPr>
          <w:p w14:paraId="49149D3A" w14:textId="7AD8AB89"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hideMark/>
          </w:tcPr>
          <w:p w14:paraId="36E092B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8.5.2</w:t>
            </w:r>
          </w:p>
        </w:tc>
        <w:tc>
          <w:tcPr>
            <w:tcW w:w="2977" w:type="dxa"/>
            <w:tcBorders>
              <w:right w:val="single" w:sz="4" w:space="0" w:color="auto"/>
            </w:tcBorders>
            <w:shd w:val="clear" w:color="auto" w:fill="FFFFFF" w:themeFill="background1"/>
            <w:noWrap/>
            <w:hideMark/>
          </w:tcPr>
          <w:p w14:paraId="6069256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Unemployment rate (%)</w:t>
            </w:r>
          </w:p>
        </w:tc>
        <w:tc>
          <w:tcPr>
            <w:tcW w:w="1276" w:type="dxa"/>
            <w:tcBorders>
              <w:left w:val="single" w:sz="4" w:space="0" w:color="auto"/>
            </w:tcBorders>
            <w:shd w:val="clear" w:color="auto" w:fill="FFFFFF" w:themeFill="background1"/>
          </w:tcPr>
          <w:p w14:paraId="3CCC159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0.06</w:t>
            </w:r>
          </w:p>
        </w:tc>
        <w:tc>
          <w:tcPr>
            <w:tcW w:w="1134" w:type="dxa"/>
            <w:shd w:val="clear" w:color="auto" w:fill="D9D9D9" w:themeFill="background1" w:themeFillShade="D9"/>
            <w:noWrap/>
            <w:hideMark/>
          </w:tcPr>
          <w:p w14:paraId="7C6423E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0.05</w:t>
            </w:r>
          </w:p>
        </w:tc>
        <w:tc>
          <w:tcPr>
            <w:tcW w:w="1389" w:type="dxa"/>
            <w:shd w:val="clear" w:color="auto" w:fill="FFFFFF" w:themeFill="background1"/>
          </w:tcPr>
          <w:p w14:paraId="28C2590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42DDD14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8.5 is ‘full employment’. Target set at </w:t>
            </w:r>
            <w:r w:rsidRPr="00FF510F">
              <w:rPr>
                <w:rFonts w:ascii="Corbel" w:hAnsi="Corbel" w:cstheme="minorHAnsi"/>
                <w:sz w:val="16"/>
                <w:szCs w:val="16"/>
                <w:u w:val="single"/>
                <w:lang w:val="en-US"/>
              </w:rPr>
              <w:t>&gt;</w:t>
            </w:r>
            <w:r w:rsidRPr="00FF510F">
              <w:rPr>
                <w:rFonts w:ascii="Corbel" w:hAnsi="Corbel" w:cstheme="minorHAnsi"/>
                <w:sz w:val="16"/>
                <w:szCs w:val="16"/>
                <w:lang w:val="en-US"/>
              </w:rPr>
              <w:t xml:space="preserve">95% employment (i.e. approximately ‘natural rate’ of unemployment – long-term average 5.3%)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&lt;EndNote&gt;&lt;Cite&gt;&lt;Author&gt;ABS&lt;/Author&gt;&lt;Year&gt;2017&lt;/Year&gt;&lt;RecNum&gt;1055&lt;/RecNum&gt;&lt;DisplayText&gt;(ABS, 2017d)&lt;/DisplayText&gt;&lt;record&gt;&lt;rec-number&gt;1055&lt;/rec-number&gt;&lt;foreign-keys&gt;&lt;key app="EN" db-id="9vsrvaat7fadwtesfsrpw5w5t0x5v500ef25" timestamp="1565088270"&gt;1055&lt;/key&gt;&lt;/foreign-keys&gt;&lt;ref-type name="Dataset"&gt;59&lt;/ref-type&gt;&lt;contributors&gt;&lt;authors&gt;&lt;author&gt;ABS&lt;/author&gt;&lt;/authors&gt;&lt;/contributors&gt;&lt;titles&gt;&lt;title&gt;6202.0 - Labour Force, Australia&lt;/title&gt;&lt;/titles&gt;&lt;dates&gt;&lt;year&gt;2017&lt;/year&gt;&lt;/dates&gt;&lt;pub-location&gt;Canberra, Australia&lt;/pub-location&gt;&lt;publisher&gt;Australian Bureau of Statistics&lt;/publisher&gt;&lt;urls&gt;&lt;related-urls&gt;&lt;url&gt;https://www.abs.gov.au/AUSSTATS/abs@.nsf/allprimarymainfeatures/DAFD6C38CD421642CA25819A0013343A?opendocument&lt;/url&gt;&lt;/related-urls&gt;&lt;/urls&gt;&lt;access-date&gt;20/08/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(ABS, 2017d)</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6D137F11" w14:textId="77777777" w:rsidTr="003F50A4">
        <w:trPr>
          <w:trHeight w:val="300"/>
        </w:trPr>
        <w:tc>
          <w:tcPr>
            <w:tcW w:w="510" w:type="dxa"/>
            <w:shd w:val="clear" w:color="auto" w:fill="FFFFFF" w:themeFill="background1"/>
          </w:tcPr>
          <w:p w14:paraId="2ACCD1A4"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FFFFFF" w:themeFill="background1"/>
          </w:tcPr>
          <w:p w14:paraId="0E93556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8.5</w:t>
            </w:r>
          </w:p>
        </w:tc>
        <w:tc>
          <w:tcPr>
            <w:tcW w:w="427" w:type="dxa"/>
            <w:tcBorders>
              <w:left w:val="single" w:sz="4" w:space="0" w:color="auto"/>
              <w:right w:val="single" w:sz="4" w:space="0" w:color="auto"/>
            </w:tcBorders>
            <w:shd w:val="clear" w:color="auto" w:fill="FFFFFF" w:themeFill="background1"/>
          </w:tcPr>
          <w:p w14:paraId="41AED336" w14:textId="716DFD44"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tcPr>
          <w:p w14:paraId="6AE99A1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8.5.2.ALT</w:t>
            </w:r>
          </w:p>
        </w:tc>
        <w:tc>
          <w:tcPr>
            <w:tcW w:w="2977" w:type="dxa"/>
            <w:tcBorders>
              <w:right w:val="single" w:sz="4" w:space="0" w:color="auto"/>
            </w:tcBorders>
            <w:shd w:val="clear" w:color="auto" w:fill="FFFFFF" w:themeFill="background1"/>
            <w:noWrap/>
          </w:tcPr>
          <w:p w14:paraId="1EC9CF5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Average employment to adult population ratio</w:t>
            </w:r>
          </w:p>
        </w:tc>
        <w:tc>
          <w:tcPr>
            <w:tcW w:w="1276" w:type="dxa"/>
            <w:tcBorders>
              <w:left w:val="single" w:sz="4" w:space="0" w:color="auto"/>
            </w:tcBorders>
            <w:shd w:val="clear" w:color="auto" w:fill="FFFFFF" w:themeFill="background1"/>
          </w:tcPr>
          <w:p w14:paraId="3F23BB5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61.8</w:t>
            </w:r>
          </w:p>
        </w:tc>
        <w:tc>
          <w:tcPr>
            <w:tcW w:w="1134" w:type="dxa"/>
            <w:shd w:val="clear" w:color="auto" w:fill="D9D9D9" w:themeFill="background1" w:themeFillShade="D9"/>
            <w:noWrap/>
          </w:tcPr>
          <w:p w14:paraId="58D6825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65.9</w:t>
            </w:r>
          </w:p>
        </w:tc>
        <w:tc>
          <w:tcPr>
            <w:tcW w:w="1389" w:type="dxa"/>
            <w:shd w:val="clear" w:color="auto" w:fill="FFFFFF" w:themeFill="background1"/>
          </w:tcPr>
          <w:p w14:paraId="38535B5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69</w:t>
            </w:r>
          </w:p>
        </w:tc>
        <w:tc>
          <w:tcPr>
            <w:tcW w:w="2552" w:type="dxa"/>
            <w:shd w:val="clear" w:color="auto" w:fill="FFFFFF" w:themeFill="background1"/>
          </w:tcPr>
          <w:p w14:paraId="70E3C54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calibrated from timeseries data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&lt;EndNote&gt;&lt;Cite&gt;&lt;Author&gt;ABS&lt;/Author&gt;&lt;Year&gt;2017&lt;/Year&gt;&lt;RecNum&gt;1055&lt;/RecNum&gt;&lt;DisplayText&gt;(ABS, 2017d)&lt;/DisplayText&gt;&lt;record&gt;&lt;rec-number&gt;1055&lt;/rec-number&gt;&lt;foreign-keys&gt;&lt;key app="EN" db-id="9vsrvaat7fadwtesfsrpw5w5t0x5v500ef25" timestamp="1565088270"&gt;1055&lt;/key&gt;&lt;/foreign-keys&gt;&lt;ref-type name="Dataset"&gt;59&lt;/ref-type&gt;&lt;contributors&gt;&lt;authors&gt;&lt;author&gt;ABS&lt;/author&gt;&lt;/authors&gt;&lt;/contributors&gt;&lt;titles&gt;&lt;title&gt;6202.0 - Labour Force, Australia&lt;/title&gt;&lt;/titles&gt;&lt;dates&gt;&lt;year&gt;2017&lt;/year&gt;&lt;/dates&gt;&lt;pub-location&gt;Canberra, Australia&lt;/pub-location&gt;&lt;publisher&gt;Australian Bureau of Statistics&lt;/publisher&gt;&lt;urls&gt;&lt;related-urls&gt;&lt;url&gt;https://www.abs.gov.au/AUSSTATS/abs@.nsf/allprimarymainfeatures/DAFD6C38CD421642CA25819A0013343A?opendocument&lt;/url&gt;&lt;/related-urls&gt;&lt;/urls&gt;&lt;access-date&gt;20/08/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(ABS, 2017d)</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.and NSDC target 0f 65.9 by 2030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&lt;EndNote&gt;&lt;Cite&gt;&lt;Author&gt;MSDI&lt;/Author&gt;&lt;Year&gt;2020&lt;/Year&gt;&lt;RecNum&gt;1713&lt;/RecNum&gt;&lt;DisplayText&gt;(MSDI, 2020)&lt;/DisplayText&gt;&lt;record&gt;&lt;rec-number&gt;1713&lt;/rec-number&gt;&lt;foreign-keys&gt;&lt;key app="EN" db-id="9vsrvaat7fadwtesfsrpw5w5t0x5v500ef25" timestamp="1609189914"&gt;1713&lt;/key&gt;&lt;/foreign-keys&gt;&lt;ref-type name="Generic"&gt;13&lt;/ref-type&gt;&lt;contributors&gt;&lt;authors&gt;&lt;author&gt;MSDI,&lt;/author&gt;&lt;/authors&gt;&lt;/contributors&gt;&lt;titles&gt;&lt;title&gt;Transforming Australia 2020 Update&lt;/title&gt;&lt;/titles&gt;&lt;dates&gt;&lt;year&gt;2020&lt;/year&gt;&lt;/dates&gt;&lt;pub-location&gt;Melbourne&lt;/pub-location&gt;&lt;publisher&gt;Monash Sustainable Development Institute&lt;/publisher&gt;&lt;urls&gt;&lt;/urls&gt;&lt;electronic-resource-num&gt;https://www.sdgtransformingaustralia.com/&lt;/electronic-resource-num&gt;&lt;/record&gt;&lt;/Cite&gt;&lt;/EndNote&gt;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(MSDI, 2020)</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Increase to 69 by 2050.</w:t>
            </w:r>
          </w:p>
        </w:tc>
      </w:tr>
      <w:tr w:rsidR="003F50A4" w:rsidRPr="00FF510F" w14:paraId="7F8D00C3" w14:textId="77777777" w:rsidTr="003F50A4">
        <w:trPr>
          <w:trHeight w:val="54"/>
        </w:trPr>
        <w:tc>
          <w:tcPr>
            <w:tcW w:w="510" w:type="dxa"/>
            <w:shd w:val="clear" w:color="auto" w:fill="D9D9D9" w:themeFill="background1" w:themeFillShade="D9"/>
          </w:tcPr>
          <w:p w14:paraId="1FFEA664" w14:textId="77777777" w:rsidR="003F50A4" w:rsidRPr="00FF510F" w:rsidRDefault="003F50A4" w:rsidP="007F346F">
            <w:pPr>
              <w:spacing w:after="0"/>
              <w:rPr>
                <w:rFonts w:ascii="Corbel" w:hAnsi="Corbel" w:cstheme="minorHAnsi"/>
                <w:sz w:val="8"/>
                <w:szCs w:val="8"/>
                <w:lang w:val="en-US"/>
              </w:rPr>
            </w:pPr>
          </w:p>
        </w:tc>
        <w:tc>
          <w:tcPr>
            <w:tcW w:w="4195" w:type="dxa"/>
            <w:tcBorders>
              <w:right w:val="single" w:sz="4" w:space="0" w:color="auto"/>
            </w:tcBorders>
            <w:shd w:val="clear" w:color="auto" w:fill="D9D9D9" w:themeFill="background1" w:themeFillShade="D9"/>
          </w:tcPr>
          <w:p w14:paraId="0741FD82" w14:textId="77777777" w:rsidR="003F50A4" w:rsidRPr="00FF510F" w:rsidRDefault="003F50A4" w:rsidP="007F346F">
            <w:pPr>
              <w:spacing w:after="0"/>
              <w:rPr>
                <w:rFonts w:ascii="Corbel" w:hAnsi="Corbel" w:cstheme="minorHAnsi"/>
                <w:sz w:val="8"/>
                <w:szCs w:val="8"/>
                <w:lang w:val="en-US"/>
              </w:rPr>
            </w:pPr>
          </w:p>
        </w:tc>
        <w:tc>
          <w:tcPr>
            <w:tcW w:w="427" w:type="dxa"/>
            <w:tcBorders>
              <w:left w:val="single" w:sz="4" w:space="0" w:color="auto"/>
              <w:right w:val="single" w:sz="4" w:space="0" w:color="auto"/>
            </w:tcBorders>
            <w:shd w:val="clear" w:color="auto" w:fill="D9D9D9" w:themeFill="background1" w:themeFillShade="D9"/>
          </w:tcPr>
          <w:p w14:paraId="6A9E420D"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5458DFD0"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708F0866"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3A422917"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172F30E6"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08739D5B"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56686F91" w14:textId="77777777" w:rsidR="003F50A4" w:rsidRPr="00FF510F" w:rsidRDefault="003F50A4" w:rsidP="007F346F">
            <w:pPr>
              <w:spacing w:after="0"/>
              <w:rPr>
                <w:rFonts w:ascii="Corbel" w:hAnsi="Corbel" w:cstheme="minorHAnsi"/>
                <w:sz w:val="8"/>
                <w:szCs w:val="8"/>
                <w:lang w:val="en-US"/>
              </w:rPr>
            </w:pPr>
          </w:p>
        </w:tc>
      </w:tr>
      <w:tr w:rsidR="003F50A4" w:rsidRPr="00FF510F" w14:paraId="20FE47AC" w14:textId="77777777" w:rsidTr="003F50A4">
        <w:trPr>
          <w:trHeight w:val="300"/>
        </w:trPr>
        <w:tc>
          <w:tcPr>
            <w:tcW w:w="510" w:type="dxa"/>
            <w:shd w:val="clear" w:color="auto" w:fill="auto"/>
          </w:tcPr>
          <w:p w14:paraId="5F63390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9</w:t>
            </w:r>
          </w:p>
        </w:tc>
        <w:tc>
          <w:tcPr>
            <w:tcW w:w="4195" w:type="dxa"/>
            <w:tcBorders>
              <w:right w:val="single" w:sz="4" w:space="0" w:color="auto"/>
            </w:tcBorders>
            <w:shd w:val="clear" w:color="auto" w:fill="auto"/>
          </w:tcPr>
          <w:p w14:paraId="7C902CB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9.1 Develop quality, reliable, </w:t>
            </w:r>
            <w:proofErr w:type="gramStart"/>
            <w:r w:rsidRPr="00FF510F">
              <w:rPr>
                <w:rFonts w:ascii="Corbel" w:hAnsi="Corbel" w:cstheme="minorHAnsi"/>
                <w:sz w:val="16"/>
                <w:szCs w:val="16"/>
                <w:lang w:val="en-US"/>
              </w:rPr>
              <w:t>sustainable</w:t>
            </w:r>
            <w:proofErr w:type="gramEnd"/>
            <w:r w:rsidRPr="00FF510F">
              <w:rPr>
                <w:rFonts w:ascii="Corbel" w:hAnsi="Corbel" w:cstheme="minorHAnsi"/>
                <w:sz w:val="16"/>
                <w:szCs w:val="16"/>
                <w:lang w:val="en-US"/>
              </w:rPr>
              <w:t xml:space="preserve"> and resilient infrastructure, including regional and transborder infrastructure, to support economic development and human well-being, with a focus on affordable and equitable access for all</w:t>
            </w:r>
          </w:p>
        </w:tc>
        <w:tc>
          <w:tcPr>
            <w:tcW w:w="427" w:type="dxa"/>
            <w:tcBorders>
              <w:left w:val="single" w:sz="4" w:space="0" w:color="auto"/>
              <w:right w:val="single" w:sz="4" w:space="0" w:color="auto"/>
            </w:tcBorders>
            <w:shd w:val="clear" w:color="auto" w:fill="FFFFFF" w:themeFill="background1"/>
          </w:tcPr>
          <w:p w14:paraId="2E055ADB" w14:textId="6759E833"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tcPr>
          <w:p w14:paraId="1E7B5DA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9.1.1 </w:t>
            </w:r>
          </w:p>
        </w:tc>
        <w:tc>
          <w:tcPr>
            <w:tcW w:w="2977" w:type="dxa"/>
            <w:tcBorders>
              <w:right w:val="single" w:sz="4" w:space="0" w:color="auto"/>
            </w:tcBorders>
            <w:shd w:val="clear" w:color="auto" w:fill="FFFFFF" w:themeFill="background1"/>
            <w:noWrap/>
          </w:tcPr>
          <w:p w14:paraId="7DC3835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Rural Access Index (%)</w:t>
            </w:r>
          </w:p>
        </w:tc>
        <w:tc>
          <w:tcPr>
            <w:tcW w:w="1276" w:type="dxa"/>
            <w:tcBorders>
              <w:left w:val="single" w:sz="4" w:space="0" w:color="auto"/>
            </w:tcBorders>
            <w:shd w:val="clear" w:color="auto" w:fill="FFFFFF" w:themeFill="background1"/>
          </w:tcPr>
          <w:p w14:paraId="50926DA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0.93</w:t>
            </w:r>
          </w:p>
        </w:tc>
        <w:tc>
          <w:tcPr>
            <w:tcW w:w="1134" w:type="dxa"/>
            <w:shd w:val="clear" w:color="auto" w:fill="D9D9D9" w:themeFill="background1" w:themeFillShade="D9"/>
            <w:noWrap/>
          </w:tcPr>
          <w:p w14:paraId="1C84AF3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0.98</w:t>
            </w:r>
          </w:p>
        </w:tc>
        <w:tc>
          <w:tcPr>
            <w:tcW w:w="1389" w:type="dxa"/>
            <w:shd w:val="clear" w:color="auto" w:fill="FFFFFF" w:themeFill="background1"/>
          </w:tcPr>
          <w:p w14:paraId="29421F1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68AF1D2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Calibrated from based on </w:t>
            </w:r>
            <w:proofErr w:type="spellStart"/>
            <w:r w:rsidRPr="00FF510F">
              <w:rPr>
                <w:rFonts w:ascii="Corbel" w:hAnsi="Corbel" w:cstheme="minorHAnsi"/>
                <w:sz w:val="16"/>
                <w:szCs w:val="16"/>
                <w:lang w:val="en-US"/>
              </w:rPr>
              <w:t>iSDG</w:t>
            </w:r>
            <w:proofErr w:type="spellEnd"/>
            <w:r w:rsidRPr="00FF510F">
              <w:rPr>
                <w:rFonts w:ascii="Corbel" w:hAnsi="Corbel" w:cstheme="minorHAnsi"/>
                <w:sz w:val="16"/>
                <w:szCs w:val="16"/>
                <w:lang w:val="en-US"/>
              </w:rPr>
              <w:t xml:space="preserve"> model calibration for Australia. Target set as universal access (=&gt;98%). </w:t>
            </w:r>
          </w:p>
        </w:tc>
      </w:tr>
      <w:tr w:rsidR="003F50A4" w:rsidRPr="00FF510F" w14:paraId="2C4FAC18" w14:textId="77777777" w:rsidTr="003F50A4">
        <w:trPr>
          <w:trHeight w:val="300"/>
        </w:trPr>
        <w:tc>
          <w:tcPr>
            <w:tcW w:w="510" w:type="dxa"/>
            <w:shd w:val="clear" w:color="auto" w:fill="auto"/>
          </w:tcPr>
          <w:p w14:paraId="5610578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9</w:t>
            </w:r>
          </w:p>
        </w:tc>
        <w:tc>
          <w:tcPr>
            <w:tcW w:w="4195" w:type="dxa"/>
            <w:tcBorders>
              <w:right w:val="single" w:sz="4" w:space="0" w:color="auto"/>
            </w:tcBorders>
            <w:shd w:val="clear" w:color="auto" w:fill="auto"/>
          </w:tcPr>
          <w:p w14:paraId="4BFB42F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9.1 </w:t>
            </w:r>
          </w:p>
        </w:tc>
        <w:tc>
          <w:tcPr>
            <w:tcW w:w="427" w:type="dxa"/>
            <w:tcBorders>
              <w:left w:val="single" w:sz="4" w:space="0" w:color="auto"/>
              <w:right w:val="single" w:sz="4" w:space="0" w:color="auto"/>
            </w:tcBorders>
            <w:shd w:val="clear" w:color="auto" w:fill="FFFFFF" w:themeFill="background1"/>
          </w:tcPr>
          <w:p w14:paraId="4B0E76B1" w14:textId="22357A31" w:rsidR="003F50A4" w:rsidRPr="00FF510F" w:rsidRDefault="003F50A4" w:rsidP="007F346F">
            <w:pPr>
              <w:spacing w:after="0"/>
              <w:rPr>
                <w:rFonts w:ascii="Corbel" w:hAnsi="Corbel" w:cstheme="minorHAnsi"/>
                <w:sz w:val="16"/>
                <w:szCs w:val="16"/>
                <w:lang w:val="en-US"/>
              </w:rPr>
            </w:pPr>
          </w:p>
        </w:tc>
        <w:tc>
          <w:tcPr>
            <w:tcW w:w="992" w:type="dxa"/>
            <w:tcBorders>
              <w:left w:val="single" w:sz="4" w:space="0" w:color="auto"/>
            </w:tcBorders>
            <w:shd w:val="clear" w:color="auto" w:fill="FFFFFF" w:themeFill="background1"/>
            <w:noWrap/>
          </w:tcPr>
          <w:p w14:paraId="04EC390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9.1.1.ALT</w:t>
            </w:r>
          </w:p>
        </w:tc>
        <w:tc>
          <w:tcPr>
            <w:tcW w:w="2977" w:type="dxa"/>
            <w:tcBorders>
              <w:right w:val="single" w:sz="4" w:space="0" w:color="auto"/>
            </w:tcBorders>
            <w:shd w:val="clear" w:color="auto" w:fill="FFFFFF" w:themeFill="background1"/>
            <w:noWrap/>
          </w:tcPr>
          <w:p w14:paraId="7555510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Public infrastructure investment (transportation expenditure as % GDP)</w:t>
            </w:r>
          </w:p>
        </w:tc>
        <w:tc>
          <w:tcPr>
            <w:tcW w:w="1276" w:type="dxa"/>
            <w:tcBorders>
              <w:left w:val="single" w:sz="4" w:space="0" w:color="auto"/>
            </w:tcBorders>
            <w:shd w:val="clear" w:color="auto" w:fill="FFFFFF" w:themeFill="background1"/>
          </w:tcPr>
          <w:p w14:paraId="651196C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0.018</w:t>
            </w:r>
          </w:p>
        </w:tc>
        <w:tc>
          <w:tcPr>
            <w:tcW w:w="1134" w:type="dxa"/>
            <w:shd w:val="clear" w:color="auto" w:fill="D9D9D9" w:themeFill="background1" w:themeFillShade="D9"/>
            <w:noWrap/>
          </w:tcPr>
          <w:p w14:paraId="6ED28DE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0.021</w:t>
            </w:r>
          </w:p>
        </w:tc>
        <w:tc>
          <w:tcPr>
            <w:tcW w:w="1389" w:type="dxa"/>
            <w:shd w:val="clear" w:color="auto" w:fill="FFFFFF" w:themeFill="background1"/>
          </w:tcPr>
          <w:p w14:paraId="1E9BFFC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61AFB21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Calibrated from historic data; max 0.22 in 1990s) </w:t>
            </w:r>
            <w:r w:rsidRPr="00FF510F">
              <w:rPr>
                <w:rFonts w:ascii="Corbel" w:hAnsi="Corbel" w:cstheme="minorHAnsi"/>
                <w:sz w:val="16"/>
                <w:szCs w:val="16"/>
                <w:lang w:val="en-US"/>
              </w:rPr>
              <w:fldChar w:fldCharType="begin">
                <w:fldData xml:space="preserve">PEVuZE5vdGU+PENpdGU+PEF1dGhvcj5CSVRSRTwvQXV0aG9yPjxZZWFyPjIwMTc8L1llYXI+PFJl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=
</w:fldData>
              </w:fldChar>
            </w:r>
            <w:r w:rsidRPr="00FF510F">
              <w:rPr>
                <w:rFonts w:ascii="Corbel" w:hAnsi="Corbel" w:cstheme="minorHAnsi"/>
                <w:sz w:val="16"/>
                <w:szCs w:val="16"/>
                <w:lang w:val="en-US"/>
              </w:rPr>
              <w:instrText xml:space="preserve"> ADDIN EN.CITE </w:instrText>
            </w:r>
            <w:r w:rsidRPr="00FF510F">
              <w:rPr>
                <w:rFonts w:ascii="Corbel" w:hAnsi="Corbel" w:cstheme="minorHAnsi"/>
                <w:sz w:val="16"/>
                <w:szCs w:val="16"/>
                <w:lang w:val="en-US"/>
              </w:rPr>
              <w:fldChar w:fldCharType="begin">
                <w:fldData xml:space="preserve">PEVuZE5vdGU+PENpdGU+PEF1dGhvcj5CSVRSRTwvQXV0aG9yPjxZZWFyPjIwMTc8L1llYXI+PFJl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=
</w:fldData>
              </w:fldChar>
            </w:r>
            <w:r w:rsidRPr="00FF510F">
              <w:rPr>
                <w:rFonts w:ascii="Corbel" w:hAnsi="Corbel" w:cstheme="minorHAnsi"/>
                <w:sz w:val="16"/>
                <w:szCs w:val="16"/>
                <w:lang w:val="en-US"/>
              </w:rPr>
              <w:instrText xml:space="preserve"> ADDIN EN.CITE.DATA </w:instrText>
            </w:r>
            <w:r w:rsidRPr="00FF510F">
              <w:rPr>
                <w:rFonts w:ascii="Corbel" w:hAnsi="Corbel" w:cstheme="minorHAnsi"/>
                <w:sz w:val="16"/>
                <w:szCs w:val="16"/>
                <w:lang w:val="en-US"/>
              </w:rPr>
            </w:r>
            <w:r w:rsidRPr="00FF510F">
              <w:rPr>
                <w:rFonts w:ascii="Corbel" w:hAnsi="Corbel" w:cstheme="minorHAnsi"/>
                <w:sz w:val="16"/>
                <w:szCs w:val="16"/>
                <w:lang w:val="en-US"/>
              </w:rPr>
              <w:fldChar w:fldCharType="end"/>
            </w:r>
            <w:r w:rsidRPr="00FF510F">
              <w:rPr>
                <w:rFonts w:ascii="Corbel" w:hAnsi="Corbel" w:cstheme="minorHAnsi"/>
                <w:sz w:val="16"/>
                <w:szCs w:val="16"/>
                <w:lang w:val="en-US"/>
              </w:rPr>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(BITRE, 2017a, BITRE, 2016, Gargett, 2017, BITRE, 2017b)</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and NSDC target of 2.2% by 2030.</w:t>
            </w:r>
          </w:p>
        </w:tc>
      </w:tr>
      <w:tr w:rsidR="003F50A4" w:rsidRPr="00FF510F" w14:paraId="7CBCB212" w14:textId="77777777" w:rsidTr="003F50A4">
        <w:trPr>
          <w:trHeight w:val="300"/>
        </w:trPr>
        <w:tc>
          <w:tcPr>
            <w:tcW w:w="510" w:type="dxa"/>
            <w:shd w:val="clear" w:color="auto" w:fill="auto"/>
          </w:tcPr>
          <w:p w14:paraId="0789CDBE"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4CA6AE4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9.2 Promote inclusive and sustainable industrialization and, by 2030, significantly raise industry’s share of employment and gross domestic product, in line with national circumstances, and double its share in least developed countries</w:t>
            </w:r>
          </w:p>
        </w:tc>
        <w:tc>
          <w:tcPr>
            <w:tcW w:w="427" w:type="dxa"/>
            <w:tcBorders>
              <w:left w:val="single" w:sz="4" w:space="0" w:color="auto"/>
              <w:right w:val="single" w:sz="4" w:space="0" w:color="auto"/>
            </w:tcBorders>
            <w:shd w:val="clear" w:color="auto" w:fill="FFFFFF" w:themeFill="background1"/>
          </w:tcPr>
          <w:p w14:paraId="6D8A6394" w14:textId="1D1F534B"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tcPr>
          <w:p w14:paraId="711B1ED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9.2.1c</w:t>
            </w:r>
          </w:p>
        </w:tc>
        <w:tc>
          <w:tcPr>
            <w:tcW w:w="2977" w:type="dxa"/>
            <w:tcBorders>
              <w:right w:val="single" w:sz="4" w:space="0" w:color="auto"/>
            </w:tcBorders>
            <w:shd w:val="clear" w:color="auto" w:fill="FFFFFF" w:themeFill="background1"/>
            <w:noWrap/>
          </w:tcPr>
          <w:p w14:paraId="387A5A7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Manufacturing value added as % GDP fc (%) </w:t>
            </w:r>
          </w:p>
        </w:tc>
        <w:tc>
          <w:tcPr>
            <w:tcW w:w="1276" w:type="dxa"/>
            <w:tcBorders>
              <w:left w:val="single" w:sz="4" w:space="0" w:color="auto"/>
            </w:tcBorders>
            <w:shd w:val="clear" w:color="auto" w:fill="FFFFFF" w:themeFill="background1"/>
          </w:tcPr>
          <w:p w14:paraId="48ECA08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0.07</w:t>
            </w:r>
          </w:p>
        </w:tc>
        <w:tc>
          <w:tcPr>
            <w:tcW w:w="1134" w:type="dxa"/>
            <w:shd w:val="clear" w:color="auto" w:fill="D9D9D9" w:themeFill="background1" w:themeFillShade="D9"/>
            <w:noWrap/>
          </w:tcPr>
          <w:p w14:paraId="38D64D9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0.077</w:t>
            </w:r>
          </w:p>
        </w:tc>
        <w:tc>
          <w:tcPr>
            <w:tcW w:w="1389" w:type="dxa"/>
            <w:shd w:val="clear" w:color="auto" w:fill="FFFFFF" w:themeFill="background1"/>
          </w:tcPr>
          <w:p w14:paraId="106B030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745F07D7" w14:textId="22A8748F"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9.2 is to increase share. SDG target set at 10% improvement on baseline; calibrated from timeseries data (max 0.14) </w:t>
            </w:r>
            <w:r w:rsidRPr="00FF510F">
              <w:rPr>
                <w:rFonts w:ascii="Corbel" w:hAnsi="Corbel" w:cstheme="minorHAnsi"/>
                <w:sz w:val="16"/>
                <w:szCs w:val="16"/>
                <w:lang w:val="en-US"/>
              </w:rPr>
              <w:fldChar w:fldCharType="begin"/>
            </w:r>
            <w:r w:rsidR="006C5257">
              <w:rPr>
                <w:rFonts w:ascii="Corbel" w:hAnsi="Corbel" w:cstheme="minorHAnsi"/>
                <w:sz w:val="16"/>
                <w:szCs w:val="16"/>
                <w:lang w:val="en-US"/>
              </w:rPr>
              <w:instrText xml:space="preserve"> ADDIN EN.CITE &lt;EndNote&gt;&lt;Cite&gt;&lt;Author&gt;ABS&lt;/Author&gt;&lt;Year&gt;2017&lt;/Year&gt;&lt;RecNum&gt;1051&lt;/RecNum&gt;&lt;DisplayText&gt;(ABS, 2017c, ABS, 2018c)&lt;/DisplayText&gt;&lt;record&gt;&lt;rec-number&gt;1051&lt;/rec-number&gt;&lt;foreign-keys&gt;&lt;key app="EN" db-id="9vsrvaat7fadwtesfsrpw5w5t0x5v500ef25" timestamp="1565085982"&gt;1051&lt;/key&gt;&lt;/foreign-keys&gt;&lt;ref-type name="Dataset"&gt;59&lt;/ref-type&gt;&lt;contributors&gt;&lt;authors&gt;&lt;author&gt;ABS,&lt;/author&gt;&lt;/authors&gt;&lt;/contributors&gt;&lt;titles&gt;&lt;title&gt;5204.0 - Australian System of National Accounts&lt;/title&gt;&lt;/titles&gt;&lt;dates&gt;&lt;year&gt;2017&lt;/year&gt;&lt;/dates&gt;&lt;pub-location&gt;Canberra, Australia&lt;/pub-location&gt;&lt;publisher&gt;Australian Bureau of Statistics&lt;/publisher&gt;&lt;urls&gt;&lt;related-urls&gt;&lt;url&gt;https://www.abs.gov.au/AUSSTATS/abs@.nsf/allprimarymainfeatures/D287F7C09246B5BDCA258331000C3A24?opendocument&lt;/url&gt;&lt;/related-urls&gt;&lt;/urls&gt;&lt;access-date&gt;18/02/18&lt;/access-date&gt;&lt;/record&gt;&lt;/Cite&gt;&lt;Cite&gt;&lt;Author&gt;ABS&lt;/Author&gt;&lt;Year&gt;2018&lt;/Year&gt;&lt;RecNum&gt;1078&lt;/RecNum&gt;&lt;record&gt;&lt;rec-number&gt;1078&lt;/rec-number&gt;&lt;foreign-keys&gt;&lt;key app="EN" db-id="9vsrvaat7fadwtesfsrpw5w5t0x5v500ef25" timestamp="1565225309"&gt;1078&lt;/key&gt;&lt;/foreign-keys&gt;&lt;ref-type name="Dataset"&gt;59&lt;/ref-type&gt;&lt;contributors&gt;&lt;authors&gt;&lt;author&gt;ABS,&lt;/author&gt;&lt;/authors&gt;&lt;/contributors&gt;&lt;titles&gt;&lt;title&gt;8155.0 - Australian Industry&lt;/title&gt;&lt;/titles&gt;&lt;dates&gt;&lt;year&gt;2018&lt;/year&gt;&lt;/dates&gt;&lt;pub-location&gt;Canberra, Australia&lt;/pub-location&gt;&lt;publisher&gt;Australian Bureau of Statistics&lt;/publisher&gt;&lt;urls&gt;&lt;related-urls&gt;&lt;url&gt;https://www.abs.gov.au/AUSSTATS/abs@.nsf/allprimarymainfeatures/ECC05829CF35B0CCCA25840A001811F6?opendocument&lt;/url&gt;&lt;/related-urls&gt;&lt;/urls&gt;&lt;access-date&gt;01/06/18&lt;/access-date&gt;&lt;/record&gt;&lt;/Cite&gt;&lt;/EndNote&gt;</w:instrText>
            </w:r>
            <w:r w:rsidRPr="00FF510F">
              <w:rPr>
                <w:rFonts w:ascii="Corbel" w:hAnsi="Corbel" w:cstheme="minorHAnsi"/>
                <w:sz w:val="16"/>
                <w:szCs w:val="16"/>
                <w:lang w:val="en-US"/>
              </w:rPr>
              <w:fldChar w:fldCharType="separate"/>
            </w:r>
            <w:r w:rsidR="006C5257">
              <w:rPr>
                <w:rFonts w:ascii="Corbel" w:hAnsi="Corbel" w:cstheme="minorHAnsi"/>
                <w:noProof/>
                <w:sz w:val="16"/>
                <w:szCs w:val="16"/>
                <w:lang w:val="en-US"/>
              </w:rPr>
              <w:t>(ABS, 2017c, ABS, 2018c)</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78567713" w14:textId="77777777" w:rsidTr="003F50A4">
        <w:trPr>
          <w:trHeight w:val="300"/>
        </w:trPr>
        <w:tc>
          <w:tcPr>
            <w:tcW w:w="510" w:type="dxa"/>
            <w:shd w:val="clear" w:color="auto" w:fill="auto"/>
          </w:tcPr>
          <w:p w14:paraId="6E085D30"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51EBF5F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9.2</w:t>
            </w:r>
          </w:p>
        </w:tc>
        <w:tc>
          <w:tcPr>
            <w:tcW w:w="427" w:type="dxa"/>
            <w:tcBorders>
              <w:left w:val="single" w:sz="4" w:space="0" w:color="auto"/>
              <w:right w:val="single" w:sz="4" w:space="0" w:color="auto"/>
            </w:tcBorders>
            <w:shd w:val="clear" w:color="auto" w:fill="FFFFFF" w:themeFill="background1"/>
          </w:tcPr>
          <w:p w14:paraId="5F78A64A" w14:textId="6D201171"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tcPr>
          <w:p w14:paraId="32903E2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9.2.1d</w:t>
            </w:r>
          </w:p>
        </w:tc>
        <w:tc>
          <w:tcPr>
            <w:tcW w:w="2977" w:type="dxa"/>
            <w:tcBorders>
              <w:right w:val="single" w:sz="4" w:space="0" w:color="auto"/>
            </w:tcBorders>
            <w:shd w:val="clear" w:color="auto" w:fill="FFFFFF" w:themeFill="background1"/>
            <w:noWrap/>
          </w:tcPr>
          <w:p w14:paraId="62AC11E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PC manufacturing value added (real $/person/year)</w:t>
            </w:r>
          </w:p>
        </w:tc>
        <w:tc>
          <w:tcPr>
            <w:tcW w:w="1276" w:type="dxa"/>
            <w:tcBorders>
              <w:left w:val="single" w:sz="4" w:space="0" w:color="auto"/>
            </w:tcBorders>
            <w:shd w:val="clear" w:color="auto" w:fill="FFFFFF" w:themeFill="background1"/>
          </w:tcPr>
          <w:p w14:paraId="7E38120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4,667</w:t>
            </w:r>
          </w:p>
        </w:tc>
        <w:tc>
          <w:tcPr>
            <w:tcW w:w="1134" w:type="dxa"/>
            <w:shd w:val="clear" w:color="auto" w:fill="D9D9D9" w:themeFill="background1" w:themeFillShade="D9"/>
            <w:noWrap/>
          </w:tcPr>
          <w:p w14:paraId="48177B9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4478</w:t>
            </w:r>
          </w:p>
        </w:tc>
        <w:tc>
          <w:tcPr>
            <w:tcW w:w="1389" w:type="dxa"/>
            <w:shd w:val="clear" w:color="auto" w:fill="FFFFFF" w:themeFill="background1"/>
          </w:tcPr>
          <w:p w14:paraId="47ED37C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7281CB05" w14:textId="17BF6E80"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9.2 is to increase share. Target set as 10% improvement on baseline; calibrated from timeseries data (max 5,700) </w:t>
            </w:r>
            <w:r w:rsidRPr="00FF510F">
              <w:rPr>
                <w:rFonts w:ascii="Corbel" w:hAnsi="Corbel" w:cstheme="minorHAnsi"/>
                <w:sz w:val="16"/>
                <w:szCs w:val="16"/>
                <w:lang w:val="en-US"/>
              </w:rPr>
              <w:fldChar w:fldCharType="begin">
                <w:fldData xml:space="preserve">PEVuZE5vdGU+PENpdGU+PEF1dGhvcj5BQlM8L0F1dGhvcj48WWVhcj4yMDE4PC9ZZWFyPjxSZWNO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</w:fldData>
              </w:fldChar>
            </w:r>
            <w:r w:rsidR="006C5257">
              <w:rPr>
                <w:rFonts w:ascii="Corbel" w:hAnsi="Corbel" w:cstheme="minorHAnsi"/>
                <w:sz w:val="16"/>
                <w:szCs w:val="16"/>
                <w:lang w:val="en-US"/>
              </w:rPr>
              <w:instrText xml:space="preserve"> ADDIN EN.CITE </w:instrText>
            </w:r>
            <w:r w:rsidR="006C5257">
              <w:rPr>
                <w:rFonts w:ascii="Corbel" w:hAnsi="Corbel" w:cstheme="minorHAnsi"/>
                <w:sz w:val="16"/>
                <w:szCs w:val="16"/>
                <w:lang w:val="en-US"/>
              </w:rPr>
              <w:fldChar w:fldCharType="begin">
                <w:fldData xml:space="preserve">PEVuZE5vdGU+PENpdGU+PEF1dGhvcj5BQlM8L0F1dGhvcj48WWVhcj4yMDE4PC9ZZWFyPjxSZWNO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</w:fldData>
              </w:fldChar>
            </w:r>
            <w:r w:rsidR="006C5257">
              <w:rPr>
                <w:rFonts w:ascii="Corbel" w:hAnsi="Corbel" w:cstheme="minorHAnsi"/>
                <w:sz w:val="16"/>
                <w:szCs w:val="16"/>
                <w:lang w:val="en-US"/>
              </w:rPr>
              <w:instrText xml:space="preserve"> ADDIN EN.CITE.DATA </w:instrText>
            </w:r>
            <w:r w:rsidR="006C5257">
              <w:rPr>
                <w:rFonts w:ascii="Corbel" w:hAnsi="Corbel" w:cstheme="minorHAnsi"/>
                <w:sz w:val="16"/>
                <w:szCs w:val="16"/>
                <w:lang w:val="en-US"/>
              </w:rPr>
            </w:r>
            <w:r w:rsidR="006C5257">
              <w:rPr>
                <w:rFonts w:ascii="Corbel" w:hAnsi="Corbel" w:cstheme="minorHAnsi"/>
                <w:sz w:val="16"/>
                <w:szCs w:val="16"/>
                <w:lang w:val="en-US"/>
              </w:rPr>
              <w:fldChar w:fldCharType="end"/>
            </w:r>
            <w:r w:rsidRPr="00FF510F">
              <w:rPr>
                <w:rFonts w:ascii="Corbel" w:hAnsi="Corbel" w:cstheme="minorHAnsi"/>
                <w:sz w:val="16"/>
                <w:szCs w:val="16"/>
                <w:lang w:val="en-US"/>
              </w:rPr>
            </w:r>
            <w:r w:rsidRPr="00FF510F">
              <w:rPr>
                <w:rFonts w:ascii="Corbel" w:hAnsi="Corbel" w:cstheme="minorHAnsi"/>
                <w:sz w:val="16"/>
                <w:szCs w:val="16"/>
                <w:lang w:val="en-US"/>
              </w:rPr>
              <w:fldChar w:fldCharType="separate"/>
            </w:r>
            <w:r w:rsidR="006C5257">
              <w:rPr>
                <w:rFonts w:ascii="Corbel" w:hAnsi="Corbel" w:cstheme="minorHAnsi"/>
                <w:noProof/>
                <w:sz w:val="16"/>
                <w:szCs w:val="16"/>
                <w:lang w:val="en-US"/>
              </w:rPr>
              <w:t>(ABS, 2018c, ABS, 2017c, ABS, 2017a)</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14E40F4C" w14:textId="77777777" w:rsidTr="003F50A4">
        <w:trPr>
          <w:trHeight w:val="300"/>
        </w:trPr>
        <w:tc>
          <w:tcPr>
            <w:tcW w:w="510" w:type="dxa"/>
            <w:shd w:val="clear" w:color="auto" w:fill="auto"/>
          </w:tcPr>
          <w:p w14:paraId="28230246"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621B005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9.2</w:t>
            </w:r>
          </w:p>
        </w:tc>
        <w:tc>
          <w:tcPr>
            <w:tcW w:w="427" w:type="dxa"/>
            <w:tcBorders>
              <w:left w:val="single" w:sz="4" w:space="0" w:color="auto"/>
              <w:right w:val="single" w:sz="4" w:space="0" w:color="auto"/>
            </w:tcBorders>
            <w:shd w:val="clear" w:color="auto" w:fill="FFFFFF" w:themeFill="background1"/>
          </w:tcPr>
          <w:p w14:paraId="3A2691C3" w14:textId="55C894BB" w:rsidR="003F50A4" w:rsidRPr="00FF510F" w:rsidRDefault="003F50A4" w:rsidP="007F346F">
            <w:pPr>
              <w:spacing w:after="0"/>
              <w:rPr>
                <w:rFonts w:ascii="Corbel" w:hAnsi="Corbel" w:cstheme="minorHAnsi"/>
                <w:sz w:val="16"/>
                <w:szCs w:val="16"/>
                <w:lang w:val="en-US"/>
              </w:rPr>
            </w:pPr>
          </w:p>
        </w:tc>
        <w:tc>
          <w:tcPr>
            <w:tcW w:w="992" w:type="dxa"/>
            <w:tcBorders>
              <w:left w:val="single" w:sz="4" w:space="0" w:color="auto"/>
            </w:tcBorders>
            <w:shd w:val="clear" w:color="auto" w:fill="FFFFFF" w:themeFill="background1"/>
            <w:noWrap/>
          </w:tcPr>
          <w:p w14:paraId="74B2AC1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9.2.2b</w:t>
            </w:r>
          </w:p>
        </w:tc>
        <w:tc>
          <w:tcPr>
            <w:tcW w:w="2977" w:type="dxa"/>
            <w:tcBorders>
              <w:right w:val="single" w:sz="4" w:space="0" w:color="auto"/>
            </w:tcBorders>
            <w:shd w:val="clear" w:color="auto" w:fill="FFFFFF" w:themeFill="background1"/>
            <w:noWrap/>
          </w:tcPr>
          <w:p w14:paraId="058209A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Manufacturing employment as share of total employment</w:t>
            </w:r>
          </w:p>
        </w:tc>
        <w:tc>
          <w:tcPr>
            <w:tcW w:w="1276" w:type="dxa"/>
            <w:tcBorders>
              <w:left w:val="single" w:sz="4" w:space="0" w:color="auto"/>
            </w:tcBorders>
            <w:shd w:val="clear" w:color="auto" w:fill="FFFFFF" w:themeFill="background1"/>
          </w:tcPr>
          <w:p w14:paraId="68B88D1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0.09</w:t>
            </w:r>
          </w:p>
        </w:tc>
        <w:tc>
          <w:tcPr>
            <w:tcW w:w="1134" w:type="dxa"/>
            <w:shd w:val="clear" w:color="auto" w:fill="D9D9D9" w:themeFill="background1" w:themeFillShade="D9"/>
            <w:noWrap/>
          </w:tcPr>
          <w:p w14:paraId="0B0A04F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0.10</w:t>
            </w:r>
          </w:p>
        </w:tc>
        <w:tc>
          <w:tcPr>
            <w:tcW w:w="1389" w:type="dxa"/>
            <w:shd w:val="clear" w:color="auto" w:fill="FFFFFF" w:themeFill="background1"/>
          </w:tcPr>
          <w:p w14:paraId="1A6CA45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54E94AB6" w14:textId="365B2620"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9.2 is to increase share. Target set as 10% improvement on baseline; calibrated from timeseries data (max 0.14) </w:t>
            </w:r>
            <w:r w:rsidRPr="00FF510F">
              <w:rPr>
                <w:rFonts w:ascii="Corbel" w:hAnsi="Corbel" w:cstheme="minorHAnsi"/>
                <w:sz w:val="16"/>
                <w:szCs w:val="16"/>
                <w:lang w:val="en-US"/>
              </w:rPr>
              <w:fldChar w:fldCharType="begin"/>
            </w:r>
            <w:r w:rsidR="006C5257">
              <w:rPr>
                <w:rFonts w:ascii="Corbel" w:hAnsi="Corbel" w:cstheme="minorHAnsi"/>
                <w:sz w:val="16"/>
                <w:szCs w:val="16"/>
                <w:lang w:val="en-US"/>
              </w:rPr>
              <w:instrText xml:space="preserve"> ADDIN EN.CITE &lt;EndNote&gt;&lt;Cite&gt;&lt;Author&gt;ABS&lt;/Author&gt;&lt;Year&gt;2018&lt;/Year&gt;&lt;RecNum&gt;1078&lt;/RecNum&gt;&lt;DisplayText&gt;(ABS, 2018c, ABS, 2017d)&lt;/DisplayText&gt;&lt;record&gt;&lt;rec-number&gt;1078&lt;/rec-number&gt;&lt;foreign-keys&gt;&lt;key app="EN" db-id="9vsrvaat7fadwtesfsrpw5w5t0x5v500ef25" timestamp="1565225309"&gt;1078&lt;/key&gt;&lt;/foreign-keys&gt;&lt;ref-type name="Dataset"&gt;59&lt;/ref-type&gt;&lt;contributors&gt;&lt;authors&gt;&lt;author&gt;ABS,&lt;/author&gt;&lt;/authors&gt;&lt;/contributors&gt;&lt;titles&gt;&lt;title&gt;8155.0 - Australian Industry&lt;/title&gt;&lt;/titles&gt;&lt;dates&gt;&lt;year&gt;2018&lt;/year&gt;&lt;/dates&gt;&lt;pub-location&gt;Canberra, Australia&lt;/pub-location&gt;&lt;publisher&gt;Australian Bureau of Statistics&lt;/publisher&gt;&lt;urls&gt;&lt;related-urls&gt;&lt;url&gt;https://www.abs.gov.au/AUSSTATS/abs@.nsf/allprimarymainfeatures/ECC05829CF35B0CCCA25840A001811F6?opendocument&lt;/url&gt;&lt;/related-urls&gt;&lt;/urls&gt;&lt;access-date&gt;01/06/18&lt;/access-date&gt;&lt;/record&gt;&lt;/Cite&gt;&lt;Cite&gt;&lt;Author&gt;ABS&lt;/Author&gt;&lt;Year&gt;2017&lt;/Year&gt;&lt;RecNum&gt;1055&lt;/RecNum&gt;&lt;record&gt;&lt;rec-number&gt;1055&lt;/rec-number&gt;&lt;foreign-keys&gt;&lt;key app="EN" db-id="9vsrvaat7fadwtesfsrpw5w5t0x5v500ef25" timestamp="1565088270"&gt;1055&lt;/key&gt;&lt;/foreign-keys&gt;&lt;ref-type name="Dataset"&gt;59&lt;/ref-type&gt;&lt;contributors&gt;&lt;authors&gt;&lt;author&gt;ABS&lt;/author&gt;&lt;/authors&gt;&lt;/contributors&gt;&lt;titles&gt;&lt;title&gt;6202.0 - Labour Force, Australia&lt;/title&gt;&lt;/titles&gt;&lt;dates&gt;&lt;year&gt;2017&lt;/year&gt;&lt;/dates&gt;&lt;pub-location&gt;Canberra, Australia&lt;/pub-location&gt;&lt;publisher&gt;Australian Bureau of Statistics&lt;/publisher&gt;&lt;urls&gt;&lt;related-urls&gt;&lt;url&gt;https://www.abs.gov.au/AUSSTATS/abs@.nsf/allprimarymainfeatures/DAFD6C38CD421642CA25819A0013343A?opendocument&lt;/url&gt;&lt;/related-urls&gt;&lt;/urls&gt;&lt;access-date&gt;20/08/18&lt;/access-date&gt;&lt;/record&gt;&lt;/Cite&gt;&lt;/EndNote&gt;</w:instrText>
            </w:r>
            <w:r w:rsidRPr="00FF510F">
              <w:rPr>
                <w:rFonts w:ascii="Corbel" w:hAnsi="Corbel" w:cstheme="minorHAnsi"/>
                <w:sz w:val="16"/>
                <w:szCs w:val="16"/>
                <w:lang w:val="en-US"/>
              </w:rPr>
              <w:fldChar w:fldCharType="separate"/>
            </w:r>
            <w:r w:rsidR="006C5257">
              <w:rPr>
                <w:rFonts w:ascii="Corbel" w:hAnsi="Corbel" w:cstheme="minorHAnsi"/>
                <w:noProof/>
                <w:sz w:val="16"/>
                <w:szCs w:val="16"/>
                <w:lang w:val="en-US"/>
              </w:rPr>
              <w:t>(ABS, 2018c, ABS, 2017d)</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52FD5F14" w14:textId="77777777" w:rsidTr="003F50A4">
        <w:trPr>
          <w:trHeight w:val="300"/>
        </w:trPr>
        <w:tc>
          <w:tcPr>
            <w:tcW w:w="510" w:type="dxa"/>
            <w:shd w:val="clear" w:color="auto" w:fill="auto"/>
          </w:tcPr>
          <w:p w14:paraId="0C2B8EA9"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7E0C97C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9.4 By 2030, upgrade infrastructure and retrofit industries to make them sustainable, with increased resource-use efficiency and greater adoption of clean and environmentally sound technologies and industrial processes, with all countries </w:t>
            </w:r>
            <w:proofErr w:type="gramStart"/>
            <w:r w:rsidRPr="00FF510F">
              <w:rPr>
                <w:rFonts w:ascii="Corbel" w:hAnsi="Corbel" w:cstheme="minorHAnsi"/>
                <w:sz w:val="16"/>
                <w:szCs w:val="16"/>
                <w:lang w:val="en-US"/>
              </w:rPr>
              <w:t>taking action</w:t>
            </w:r>
            <w:proofErr w:type="gramEnd"/>
            <w:r w:rsidRPr="00FF510F">
              <w:rPr>
                <w:rFonts w:ascii="Corbel" w:hAnsi="Corbel" w:cstheme="minorHAnsi"/>
                <w:sz w:val="16"/>
                <w:szCs w:val="16"/>
                <w:lang w:val="en-US"/>
              </w:rPr>
              <w:t xml:space="preserve"> in accordance with their respective capabilities</w:t>
            </w:r>
          </w:p>
        </w:tc>
        <w:tc>
          <w:tcPr>
            <w:tcW w:w="427" w:type="dxa"/>
            <w:tcBorders>
              <w:left w:val="single" w:sz="4" w:space="0" w:color="auto"/>
              <w:right w:val="single" w:sz="4" w:space="0" w:color="auto"/>
            </w:tcBorders>
            <w:shd w:val="clear" w:color="auto" w:fill="FFFFFF" w:themeFill="background1"/>
          </w:tcPr>
          <w:p w14:paraId="38393A8D" w14:textId="25EE9376"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hideMark/>
          </w:tcPr>
          <w:p w14:paraId="0687F5E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9.4.1</w:t>
            </w:r>
          </w:p>
        </w:tc>
        <w:tc>
          <w:tcPr>
            <w:tcW w:w="2977" w:type="dxa"/>
            <w:tcBorders>
              <w:right w:val="single" w:sz="4" w:space="0" w:color="auto"/>
            </w:tcBorders>
            <w:shd w:val="clear" w:color="auto" w:fill="FFFFFF" w:themeFill="background1"/>
            <w:noWrap/>
            <w:hideMark/>
          </w:tcPr>
          <w:p w14:paraId="28F1B87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CO2 emissions per unit of value added (kg CO2-e/USD 2011)</w:t>
            </w:r>
          </w:p>
        </w:tc>
        <w:tc>
          <w:tcPr>
            <w:tcW w:w="1276" w:type="dxa"/>
            <w:tcBorders>
              <w:left w:val="single" w:sz="4" w:space="0" w:color="auto"/>
            </w:tcBorders>
            <w:shd w:val="clear" w:color="auto" w:fill="FFFFFF" w:themeFill="background1"/>
          </w:tcPr>
          <w:p w14:paraId="5C3DCE3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0.31</w:t>
            </w:r>
          </w:p>
        </w:tc>
        <w:tc>
          <w:tcPr>
            <w:tcW w:w="1134" w:type="dxa"/>
            <w:shd w:val="clear" w:color="auto" w:fill="D9D9D9" w:themeFill="background1" w:themeFillShade="D9"/>
            <w:noWrap/>
            <w:hideMark/>
          </w:tcPr>
          <w:p w14:paraId="4A1D2E4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0.19</w:t>
            </w:r>
          </w:p>
        </w:tc>
        <w:tc>
          <w:tcPr>
            <w:tcW w:w="1389" w:type="dxa"/>
            <w:shd w:val="clear" w:color="auto" w:fill="FFFFFF" w:themeFill="background1"/>
          </w:tcPr>
          <w:p w14:paraId="5C8473B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0.03</w:t>
            </w:r>
          </w:p>
        </w:tc>
        <w:tc>
          <w:tcPr>
            <w:tcW w:w="2552" w:type="dxa"/>
            <w:shd w:val="clear" w:color="auto" w:fill="FFFFFF" w:themeFill="background1"/>
          </w:tcPr>
          <w:p w14:paraId="60590AB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9.4 is to increase efficiency. Target set as 40% improvement on baseline value by 2030; calibrated from timeseries data and global data (OECD average = 0.21) </w:t>
            </w:r>
            <w:r w:rsidRPr="00FF510F">
              <w:rPr>
                <w:rFonts w:ascii="Corbel" w:hAnsi="Corbel" w:cstheme="minorHAnsi"/>
                <w:sz w:val="16"/>
                <w:szCs w:val="16"/>
                <w:lang w:val="en-US"/>
              </w:rPr>
              <w:fldChar w:fldCharType="begin">
                <w:fldData xml:space="preserve">PEVuZE5vdGU+PENpdGU+PEF1dGhvcj5BQlM8L0F1dGhvcj48WWVhcj4yMDE3PC9ZZWFyPjxSZWNO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</w:fldData>
              </w:fldChar>
            </w:r>
            <w:r w:rsidRPr="00FF510F">
              <w:rPr>
                <w:rFonts w:ascii="Corbel" w:hAnsi="Corbel" w:cstheme="minorHAnsi"/>
                <w:sz w:val="16"/>
                <w:szCs w:val="16"/>
                <w:lang w:val="en-US"/>
              </w:rPr>
              <w:instrText xml:space="preserve"> ADDIN EN.CITE </w:instrText>
            </w:r>
            <w:r w:rsidRPr="00FF510F">
              <w:rPr>
                <w:rFonts w:ascii="Corbel" w:hAnsi="Corbel" w:cstheme="minorHAnsi"/>
                <w:sz w:val="16"/>
                <w:szCs w:val="16"/>
                <w:lang w:val="en-US"/>
              </w:rPr>
              <w:fldChar w:fldCharType="begin">
                <w:fldData xml:space="preserve">PEVuZE5vdGU+PENpdGU+PEF1dGhvcj5BQlM8L0F1dGhvcj48WWVhcj4yMDE3PC9ZZWFyPjxSZWNO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</w:fldData>
              </w:fldChar>
            </w:r>
            <w:r w:rsidRPr="00FF510F">
              <w:rPr>
                <w:rFonts w:ascii="Corbel" w:hAnsi="Corbel" w:cstheme="minorHAnsi"/>
                <w:sz w:val="16"/>
                <w:szCs w:val="16"/>
                <w:lang w:val="en-US"/>
              </w:rPr>
              <w:instrText xml:space="preserve"> ADDIN EN.CITE.DATA </w:instrText>
            </w:r>
            <w:r w:rsidRPr="00FF510F">
              <w:rPr>
                <w:rFonts w:ascii="Corbel" w:hAnsi="Corbel" w:cstheme="minorHAnsi"/>
                <w:sz w:val="16"/>
                <w:szCs w:val="16"/>
                <w:lang w:val="en-US"/>
              </w:rPr>
            </w:r>
            <w:r w:rsidRPr="00FF510F">
              <w:rPr>
                <w:rFonts w:ascii="Corbel" w:hAnsi="Corbel" w:cstheme="minorHAnsi"/>
                <w:sz w:val="16"/>
                <w:szCs w:val="16"/>
                <w:lang w:val="en-US"/>
              </w:rPr>
              <w:fldChar w:fldCharType="end"/>
            </w:r>
            <w:r w:rsidRPr="00FF510F">
              <w:rPr>
                <w:rFonts w:ascii="Corbel" w:hAnsi="Corbel" w:cstheme="minorHAnsi"/>
                <w:sz w:val="16"/>
                <w:szCs w:val="16"/>
                <w:lang w:val="en-US"/>
              </w:rPr>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(ABS, 2017c, Australian Department of the Environment and Energy, 2017, OECD, 2017b)</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Increased to 90% reduction by 2050.</w:t>
            </w:r>
          </w:p>
        </w:tc>
      </w:tr>
      <w:tr w:rsidR="003F50A4" w:rsidRPr="00FF510F" w14:paraId="21961513" w14:textId="77777777" w:rsidTr="003F50A4">
        <w:trPr>
          <w:trHeight w:val="54"/>
        </w:trPr>
        <w:tc>
          <w:tcPr>
            <w:tcW w:w="510" w:type="dxa"/>
            <w:shd w:val="clear" w:color="auto" w:fill="D9D9D9" w:themeFill="background1" w:themeFillShade="D9"/>
          </w:tcPr>
          <w:p w14:paraId="5D35767A" w14:textId="77777777" w:rsidR="003F50A4" w:rsidRPr="00FF510F" w:rsidRDefault="003F50A4" w:rsidP="007F346F">
            <w:pPr>
              <w:spacing w:after="0"/>
              <w:rPr>
                <w:rFonts w:ascii="Corbel" w:hAnsi="Corbel" w:cstheme="minorHAnsi"/>
                <w:sz w:val="8"/>
                <w:szCs w:val="8"/>
                <w:lang w:val="en-US"/>
              </w:rPr>
            </w:pPr>
          </w:p>
        </w:tc>
        <w:tc>
          <w:tcPr>
            <w:tcW w:w="4195" w:type="dxa"/>
            <w:tcBorders>
              <w:right w:val="single" w:sz="4" w:space="0" w:color="auto"/>
            </w:tcBorders>
            <w:shd w:val="clear" w:color="auto" w:fill="D9D9D9" w:themeFill="background1" w:themeFillShade="D9"/>
          </w:tcPr>
          <w:p w14:paraId="670F1BF5" w14:textId="77777777" w:rsidR="003F50A4" w:rsidRPr="00FF510F" w:rsidRDefault="003F50A4" w:rsidP="007F346F">
            <w:pPr>
              <w:spacing w:after="0"/>
              <w:rPr>
                <w:rFonts w:ascii="Corbel" w:hAnsi="Corbel" w:cstheme="minorHAnsi"/>
                <w:sz w:val="8"/>
                <w:szCs w:val="8"/>
                <w:lang w:val="en-US"/>
              </w:rPr>
            </w:pPr>
          </w:p>
        </w:tc>
        <w:tc>
          <w:tcPr>
            <w:tcW w:w="427" w:type="dxa"/>
            <w:tcBorders>
              <w:left w:val="single" w:sz="4" w:space="0" w:color="auto"/>
              <w:right w:val="single" w:sz="4" w:space="0" w:color="auto"/>
            </w:tcBorders>
            <w:shd w:val="clear" w:color="auto" w:fill="D9D9D9" w:themeFill="background1" w:themeFillShade="D9"/>
          </w:tcPr>
          <w:p w14:paraId="0F5C6781"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66FB7FA0"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595C0D11"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3B6E2D40"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0CCAD58E"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5C6F723D"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3A7E7D34" w14:textId="77777777" w:rsidR="003F50A4" w:rsidRPr="00FF510F" w:rsidRDefault="003F50A4" w:rsidP="007F346F">
            <w:pPr>
              <w:spacing w:after="0"/>
              <w:rPr>
                <w:rFonts w:ascii="Corbel" w:hAnsi="Corbel" w:cstheme="minorHAnsi"/>
                <w:sz w:val="8"/>
                <w:szCs w:val="8"/>
                <w:lang w:val="en-US"/>
              </w:rPr>
            </w:pPr>
          </w:p>
        </w:tc>
      </w:tr>
      <w:tr w:rsidR="003F50A4" w:rsidRPr="00FF510F" w14:paraId="25720B5D" w14:textId="77777777" w:rsidTr="003F50A4">
        <w:trPr>
          <w:trHeight w:val="300"/>
        </w:trPr>
        <w:tc>
          <w:tcPr>
            <w:tcW w:w="510" w:type="dxa"/>
            <w:shd w:val="clear" w:color="auto" w:fill="FFFFFF" w:themeFill="background1"/>
          </w:tcPr>
          <w:p w14:paraId="15B343E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10</w:t>
            </w:r>
          </w:p>
        </w:tc>
        <w:tc>
          <w:tcPr>
            <w:tcW w:w="4195" w:type="dxa"/>
            <w:tcBorders>
              <w:right w:val="single" w:sz="4" w:space="0" w:color="auto"/>
            </w:tcBorders>
            <w:shd w:val="clear" w:color="auto" w:fill="auto"/>
          </w:tcPr>
          <w:p w14:paraId="1941ECF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10.1 By 2030, progressively achieve and sustain income growth of the bottom 40 per cent of the population at a rate higher than the national average</w:t>
            </w:r>
          </w:p>
        </w:tc>
        <w:tc>
          <w:tcPr>
            <w:tcW w:w="427" w:type="dxa"/>
            <w:tcBorders>
              <w:left w:val="single" w:sz="4" w:space="0" w:color="auto"/>
              <w:right w:val="single" w:sz="4" w:space="0" w:color="auto"/>
            </w:tcBorders>
            <w:shd w:val="clear" w:color="auto" w:fill="FFFFFF" w:themeFill="background1"/>
          </w:tcPr>
          <w:p w14:paraId="11CE3388" w14:textId="14702E21"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hideMark/>
          </w:tcPr>
          <w:p w14:paraId="2E9B9BF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10.1.1</w:t>
            </w:r>
          </w:p>
        </w:tc>
        <w:tc>
          <w:tcPr>
            <w:tcW w:w="2977" w:type="dxa"/>
            <w:tcBorders>
              <w:right w:val="single" w:sz="4" w:space="0" w:color="auto"/>
            </w:tcBorders>
            <w:shd w:val="clear" w:color="auto" w:fill="FFFFFF" w:themeFill="background1"/>
            <w:noWrap/>
            <w:hideMark/>
          </w:tcPr>
          <w:p w14:paraId="22BADEA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Bottom 40 percent income growth to average income growth gap</w:t>
            </w:r>
          </w:p>
        </w:tc>
        <w:tc>
          <w:tcPr>
            <w:tcW w:w="1276" w:type="dxa"/>
            <w:tcBorders>
              <w:left w:val="single" w:sz="4" w:space="0" w:color="auto"/>
            </w:tcBorders>
            <w:shd w:val="clear" w:color="auto" w:fill="FFFFFF" w:themeFill="background1"/>
          </w:tcPr>
          <w:p w14:paraId="75FC353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-0.002</w:t>
            </w:r>
          </w:p>
        </w:tc>
        <w:tc>
          <w:tcPr>
            <w:tcW w:w="1134" w:type="dxa"/>
            <w:shd w:val="clear" w:color="auto" w:fill="D9D9D9" w:themeFill="background1" w:themeFillShade="D9"/>
            <w:noWrap/>
            <w:hideMark/>
          </w:tcPr>
          <w:p w14:paraId="6792273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0.003</w:t>
            </w:r>
          </w:p>
        </w:tc>
        <w:tc>
          <w:tcPr>
            <w:tcW w:w="1389" w:type="dxa"/>
            <w:shd w:val="clear" w:color="auto" w:fill="FFFFFF" w:themeFill="background1"/>
          </w:tcPr>
          <w:p w14:paraId="6CF757A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67EA6002" w14:textId="2DDCC569"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10.1 is to achieve and sustain growth. Target set as equal to or greater than 0.3% growth pa; calibrated from timeseries data </w:t>
            </w:r>
            <w:r w:rsidRPr="00FF510F">
              <w:rPr>
                <w:rFonts w:ascii="Corbel" w:hAnsi="Corbel" w:cstheme="minorHAnsi"/>
                <w:sz w:val="16"/>
                <w:szCs w:val="16"/>
                <w:lang w:val="en-US"/>
              </w:rPr>
              <w:fldChar w:fldCharType="begin"/>
            </w:r>
            <w:r w:rsidR="006C5257">
              <w:rPr>
                <w:rFonts w:ascii="Corbel" w:hAnsi="Corbel" w:cstheme="minorHAnsi"/>
                <w:sz w:val="16"/>
                <w:szCs w:val="16"/>
                <w:lang w:val="en-US"/>
              </w:rPr>
              <w:instrText xml:space="preserve"> ADDIN EN.CITE &lt;EndNote&gt;&lt;Cite&gt;&lt;Author&gt;ABS&lt;/Author&gt;&lt;Year&gt;2018&lt;/Year&gt;&lt;RecNum&gt;1046&lt;/RecNum&gt;&lt;DisplayText&gt;(ABS, 2018b)&lt;/DisplayText&gt;&lt;record&gt;&lt;rec-number&gt;1046&lt;/rec-number&gt;&lt;foreign-keys&gt;&lt;key app="EN" db-id="9vsrvaat7fadwtesfsrpw5w5t0x5v500ef25" timestamp="1565084684"&gt;1046&lt;/key&gt;&lt;/foreign-keys&gt;&lt;ref-type name="Dataset"&gt;59&lt;/ref-type&gt;&lt;contributors&gt;&lt;authors&gt;&lt;author&gt;ABS,&lt;/author&gt;&lt;/authors&gt;&lt;/contributors&gt;&lt;titles&gt;&lt;title&gt;6523.0 - Household Income and Wealth, Australia&lt;/title&gt;&lt;/titles&gt;&lt;dates&gt;&lt;year&gt;2018&lt;/year&gt;&lt;/dates&gt;&lt;pub-location&gt;Canberra, Australia&lt;/pub-location&gt;&lt;publisher&gt;Australian Bureau of Statistics&lt;/publisher&gt;&lt;urls&gt;&lt;related-urls&gt;&lt;url&gt;https://www.abs.gov.au/AUSSTATS/abs@.nsf/allprimarymainfeatures/B3AB9C8CD32F7CA6CA2584340018A13B?opendocument&lt;/url&gt;&lt;/related-urls&gt;&lt;/urls&gt;&lt;access-date&gt;01/02/18&lt;/access-date&gt;&lt;/record&gt;&lt;/Cite&gt;&lt;/EndNote&gt;</w:instrText>
            </w:r>
            <w:r w:rsidRPr="00FF510F">
              <w:rPr>
                <w:rFonts w:ascii="Corbel" w:hAnsi="Corbel" w:cstheme="minorHAnsi"/>
                <w:sz w:val="16"/>
                <w:szCs w:val="16"/>
                <w:lang w:val="en-US"/>
              </w:rPr>
              <w:fldChar w:fldCharType="separate"/>
            </w:r>
            <w:r w:rsidR="006C5257">
              <w:rPr>
                <w:rFonts w:ascii="Corbel" w:hAnsi="Corbel" w:cstheme="minorHAnsi"/>
                <w:noProof/>
                <w:sz w:val="16"/>
                <w:szCs w:val="16"/>
                <w:lang w:val="en-US"/>
              </w:rPr>
              <w:t>(ABS, 2018b)</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w:t>
            </w:r>
          </w:p>
        </w:tc>
      </w:tr>
      <w:tr w:rsidR="003F50A4" w:rsidRPr="00FF510F" w14:paraId="5E0C536D" w14:textId="77777777" w:rsidTr="003F50A4">
        <w:trPr>
          <w:trHeight w:val="300"/>
        </w:trPr>
        <w:tc>
          <w:tcPr>
            <w:tcW w:w="510" w:type="dxa"/>
            <w:shd w:val="clear" w:color="auto" w:fill="FFFFFF" w:themeFill="background1"/>
          </w:tcPr>
          <w:p w14:paraId="232AB213"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37FE3AB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10.1</w:t>
            </w:r>
          </w:p>
        </w:tc>
        <w:tc>
          <w:tcPr>
            <w:tcW w:w="427" w:type="dxa"/>
            <w:tcBorders>
              <w:left w:val="single" w:sz="4" w:space="0" w:color="auto"/>
              <w:right w:val="single" w:sz="4" w:space="0" w:color="auto"/>
            </w:tcBorders>
            <w:shd w:val="clear" w:color="auto" w:fill="FFFFFF" w:themeFill="background1"/>
          </w:tcPr>
          <w:p w14:paraId="6DE5D9B1" w14:textId="3F51D2EE"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tcPr>
          <w:p w14:paraId="25DD3F4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10.1.</w:t>
            </w:r>
            <w:proofErr w:type="gramStart"/>
            <w:r w:rsidRPr="00FF510F">
              <w:rPr>
                <w:rFonts w:ascii="Corbel" w:hAnsi="Corbel" w:cstheme="minorHAnsi"/>
                <w:sz w:val="16"/>
                <w:szCs w:val="16"/>
                <w:lang w:val="en-US"/>
              </w:rPr>
              <w:t>1.ALT</w:t>
            </w:r>
            <w:proofErr w:type="gramEnd"/>
            <w:r w:rsidRPr="00FF510F">
              <w:rPr>
                <w:rFonts w:ascii="Corbel" w:hAnsi="Corbel" w:cstheme="minorHAnsi"/>
                <w:sz w:val="16"/>
                <w:szCs w:val="16"/>
                <w:lang w:val="en-US"/>
              </w:rPr>
              <w:t>1</w:t>
            </w:r>
          </w:p>
        </w:tc>
        <w:tc>
          <w:tcPr>
            <w:tcW w:w="2977" w:type="dxa"/>
            <w:tcBorders>
              <w:right w:val="single" w:sz="4" w:space="0" w:color="auto"/>
            </w:tcBorders>
            <w:shd w:val="clear" w:color="auto" w:fill="FFFFFF" w:themeFill="background1"/>
            <w:noWrap/>
          </w:tcPr>
          <w:p w14:paraId="33D0867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Gini coefficient income</w:t>
            </w:r>
          </w:p>
        </w:tc>
        <w:tc>
          <w:tcPr>
            <w:tcW w:w="1276" w:type="dxa"/>
            <w:tcBorders>
              <w:left w:val="single" w:sz="4" w:space="0" w:color="auto"/>
            </w:tcBorders>
            <w:shd w:val="clear" w:color="auto" w:fill="FFFFFF" w:themeFill="background1"/>
          </w:tcPr>
          <w:p w14:paraId="61C2711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0.33</w:t>
            </w:r>
          </w:p>
        </w:tc>
        <w:tc>
          <w:tcPr>
            <w:tcW w:w="1134" w:type="dxa"/>
            <w:shd w:val="clear" w:color="auto" w:fill="D9D9D9" w:themeFill="background1" w:themeFillShade="D9"/>
            <w:noWrap/>
          </w:tcPr>
          <w:p w14:paraId="7B7A847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0.29</w:t>
            </w:r>
          </w:p>
        </w:tc>
        <w:tc>
          <w:tcPr>
            <w:tcW w:w="1389" w:type="dxa"/>
            <w:shd w:val="clear" w:color="auto" w:fill="FFFFFF" w:themeFill="background1"/>
          </w:tcPr>
          <w:p w14:paraId="2638604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5BD38E70" w14:textId="00B27D10"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based on SDG Index green threshold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&lt;EndNote&gt;&lt;Cite&gt;&lt;Author&gt;Schmidt-Traub&lt;/Author&gt;&lt;Year&gt;2017&lt;/Year&gt;&lt;RecNum&gt;709&lt;/RecNum&gt;&lt;DisplayText&gt;(Schmidt-Traub et al., 2017, Sachs et al., 2017)&lt;/DisplayText&gt;&lt;record&gt;&lt;rec-number&gt;709&lt;/rec-number&gt;&lt;foreign-keys&gt;&lt;key app="EN" db-id="9vsrvaat7fadwtesfsrpw5w5t0x5v500ef25" timestamp="1501629767"&gt;709&lt;/key&gt;&lt;/foreign-keys&gt;&lt;ref-type name="Journal Article"&gt;17&lt;/ref-type&gt;&lt;contributors&gt;&lt;authors&gt;&lt;author&gt;Schmidt-Traub, Guido&lt;/author&gt;&lt;author&gt;Kroll, Christian&lt;/author&gt;&lt;author&gt;Teksoz, Katerina&lt;/author&gt;&lt;author&gt;Durand-Delacre, David&lt;/author&gt;&lt;author&gt;Sachs, Jeffrey D&lt;/author&gt;&lt;/authors&gt;&lt;/contributors&gt;&lt;titles&gt;&lt;title&gt;National baselines for the Sustainable Development Goals assessed in the SDG Index and Dashboards&lt;/title&gt;&lt;secondary-title&gt;Nature Geoscience&lt;/secondary-title&gt;&lt;/titles&gt;&lt;periodical&gt;&lt;full-title&gt;Nature Geoscience&lt;/full-title&gt;&lt;/periodical&gt;&lt;volume&gt;10&lt;/volume&gt;&lt;number&gt;8&lt;/number&gt;&lt;section&gt;547&lt;/section&gt;&lt;dates&gt;&lt;year&gt;2017&lt;/year&gt;&lt;/dates&gt;&lt;isbn&gt;1752-0894&lt;/isbn&gt;&lt;urls&gt;&lt;/urls&gt;&lt;electronic-resource-num&gt;https://doi.org/10.1038/ngeo2985&lt;/electronic-resource-num&gt;&lt;/record&gt;&lt;/Cite&gt;&lt;Cite&gt;&lt;Author&gt;Sachs&lt;/Author&gt;&lt;Year&gt;2017&lt;/Year&gt;&lt;RecNum&gt;761&lt;/RecNum&gt;&lt;record&gt;&lt;rec-number&gt;761&lt;/rec-number&gt;&lt;foreign-keys&gt;&lt;key app="EN" db-id="9vsrvaat7fadwtesfsrpw5w5t0x5v500ef25" timestamp="1515548921"&gt;761&lt;/key&gt;&lt;/foreign-keys&gt;&lt;ref-type name="Journal Article"&gt;17&lt;/ref-type&gt;&lt;contributors&gt;&lt;authors&gt;&lt;author&gt;Sachs, J&lt;/author&gt;&lt;author&gt;Schmidt-Traub, G&lt;/author&gt;&lt;author&gt;Kroll, C&lt;/author&gt;&lt;author&gt;Durand-Delacre, D&lt;/author&gt;&lt;author&gt;Teksoz, K&lt;/author&gt;&lt;/authors&gt;&lt;/contributors&gt;&lt;titles&gt;&lt;title&gt;SDG Index and Dashboards Report 2017&lt;/title&gt;&lt;secondary-title&gt;Bertelsmann Stiftung and Sustainable Development Solutions Network (SDSN): New York, NY, USA&lt;/secondary-title&gt;&lt;/titles&gt;&lt;periodical&gt;&lt;full-title&gt;Bertelsmann Stiftung and Sustainable Development Solutions Network (SDSN): New York, NY, USA&lt;/full-title&gt;&lt;/periodical&gt;&lt;dates&gt;&lt;year&gt;2017&lt;/year&gt;&lt;/dates&gt;&lt;urls&gt;&lt;/urls&gt;&lt;/record&gt;&lt;/Cite&gt;&lt;/EndNote&gt;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(Schmidt-Traub et al., 2017, Sachs et al., 2017)</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and calibrated from timeseries data </w:t>
            </w:r>
            <w:r w:rsidRPr="00FF510F">
              <w:rPr>
                <w:rFonts w:ascii="Corbel" w:hAnsi="Corbel" w:cstheme="minorHAnsi"/>
                <w:sz w:val="16"/>
                <w:szCs w:val="16"/>
                <w:lang w:val="en-US"/>
              </w:rPr>
              <w:fldChar w:fldCharType="begin"/>
            </w:r>
            <w:r w:rsidR="006C5257">
              <w:rPr>
                <w:rFonts w:ascii="Corbel" w:hAnsi="Corbel" w:cstheme="minorHAnsi"/>
                <w:sz w:val="16"/>
                <w:szCs w:val="16"/>
                <w:lang w:val="en-US"/>
              </w:rPr>
              <w:instrText xml:space="preserve"> ADDIN EN.CITE &lt;EndNote&gt;&lt;Cite&gt;&lt;Author&gt;Melbourne Institute&lt;/Author&gt;&lt;Year&gt;2018&lt;/Year&gt;&lt;RecNum&gt;1047&lt;/RecNum&gt;&lt;DisplayText&gt;(Melbourne Institute, 2018, ABS, 2018b)&lt;/DisplayText&gt;&lt;record&gt;&lt;rec-number&gt;1047&lt;/rec-number&gt;&lt;foreign-keys&gt;&lt;key app="EN" db-id="9vsrvaat7fadwtesfsrpw5w5t0x5v500ef25" timestamp="1565084922"&gt;1047&lt;/key&gt;&lt;/foreign-keys&gt;&lt;ref-type name="Generic"&gt;13&lt;/ref-type&gt;&lt;contributors&gt;&lt;authors&gt;&lt;author&gt;Melbourne Institute,&lt;/author&gt;&lt;/authors&gt;&lt;/contributors&gt;&lt;titles&gt;&lt;title&gt;The Household, Income and Labour Dynamics in Australia (HILDA) Survey: Selected Findings from Waves 1 to 16&lt;/title&gt;&lt;/titles&gt;&lt;dates&gt;&lt;year&gt;2018&lt;/year&gt;&lt;/dates&gt;&lt;pub-location&gt;Melbourne, Australia&lt;/pub-location&gt;&lt;publisher&gt;Melbourne Institute&lt;/publisher&gt;&lt;urls&gt;&lt;related-urls&gt;&lt;url&gt;https://melbourneinstitute.unimelb.edu.au/__data/assets/pdf_file/0009/2874177/HILDA-report_Low-Res_10.10.18.pdf&lt;/url&gt;&lt;/related-urls&gt;&lt;/urls&gt;&lt;/record&gt;&lt;/Cite&gt;&lt;Cite&gt;&lt;Author&gt;ABS&lt;/Author&gt;&lt;Year&gt;2018&lt;/Year&gt;&lt;RecNum&gt;1046&lt;/RecNum&gt;&lt;record&gt;&lt;rec-number&gt;1046&lt;/rec-number&gt;&lt;foreign-keys&gt;&lt;key app="EN" db-id="9vsrvaat7fadwtesfsrpw5w5t0x5v500ef25" timestamp="1565084684"&gt;1046&lt;/key&gt;&lt;/foreign-keys&gt;&lt;ref-type name="Dataset"&gt;59&lt;/ref-type&gt;&lt;contributors&gt;&lt;authors&gt;&lt;author&gt;ABS,&lt;/author&gt;&lt;/authors&gt;&lt;/contributors&gt;&lt;titles&gt;&lt;title&gt;6523.0 - Household Income and Wealth, Australia&lt;/title&gt;&lt;/titles&gt;&lt;dates&gt;&lt;year&gt;2018&lt;/year&gt;&lt;/dates&gt;&lt;pub-location&gt;Canberra, Australia&lt;/pub-location&gt;&lt;publisher&gt;Australian Bureau of Statistics&lt;/publisher&gt;&lt;urls&gt;&lt;related-urls&gt;&lt;url&gt;https://www.abs.gov.au/AUSSTATS/abs@.nsf/allprimarymainfeatures/B3AB9C8CD32F7CA6CA2584340018A13B?opendocument&lt;/url&gt;&lt;/related-urls&gt;&lt;/urls&gt;&lt;access-date&gt;01/02/18&lt;/access-date&gt;&lt;/record&gt;&lt;/Cite&gt;&lt;/EndNote&gt;</w:instrText>
            </w:r>
            <w:r w:rsidRPr="00FF510F">
              <w:rPr>
                <w:rFonts w:ascii="Corbel" w:hAnsi="Corbel" w:cstheme="minorHAnsi"/>
                <w:sz w:val="16"/>
                <w:szCs w:val="16"/>
                <w:lang w:val="en-US"/>
              </w:rPr>
              <w:fldChar w:fldCharType="separate"/>
            </w:r>
            <w:r w:rsidR="006C5257">
              <w:rPr>
                <w:rFonts w:ascii="Corbel" w:hAnsi="Corbel" w:cstheme="minorHAnsi"/>
                <w:noProof/>
                <w:sz w:val="16"/>
                <w:szCs w:val="16"/>
                <w:lang w:val="en-US"/>
              </w:rPr>
              <w:t>(Melbourne Institute, 2018, ABS, 2018b)</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6B0A308A" w14:textId="77777777" w:rsidTr="003F50A4">
        <w:trPr>
          <w:trHeight w:val="300"/>
        </w:trPr>
        <w:tc>
          <w:tcPr>
            <w:tcW w:w="510" w:type="dxa"/>
            <w:shd w:val="clear" w:color="auto" w:fill="FFFFFF" w:themeFill="background1"/>
          </w:tcPr>
          <w:p w14:paraId="19E9564A"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27A0189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10.1</w:t>
            </w:r>
          </w:p>
        </w:tc>
        <w:tc>
          <w:tcPr>
            <w:tcW w:w="427" w:type="dxa"/>
            <w:tcBorders>
              <w:left w:val="single" w:sz="4" w:space="0" w:color="auto"/>
              <w:right w:val="single" w:sz="4" w:space="0" w:color="auto"/>
            </w:tcBorders>
            <w:shd w:val="clear" w:color="auto" w:fill="FFFFFF" w:themeFill="background1"/>
          </w:tcPr>
          <w:p w14:paraId="1AFACB62" w14:textId="79D23196"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tcPr>
          <w:p w14:paraId="2259416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10.1.</w:t>
            </w:r>
            <w:proofErr w:type="gramStart"/>
            <w:r w:rsidRPr="00FF510F">
              <w:rPr>
                <w:rFonts w:ascii="Corbel" w:hAnsi="Corbel" w:cstheme="minorHAnsi"/>
                <w:sz w:val="16"/>
                <w:szCs w:val="16"/>
                <w:lang w:val="en-US"/>
              </w:rPr>
              <w:t>1.ALT</w:t>
            </w:r>
            <w:proofErr w:type="gramEnd"/>
            <w:r w:rsidRPr="00FF510F">
              <w:rPr>
                <w:rFonts w:ascii="Corbel" w:hAnsi="Corbel" w:cstheme="minorHAnsi"/>
                <w:sz w:val="16"/>
                <w:szCs w:val="16"/>
                <w:lang w:val="en-US"/>
              </w:rPr>
              <w:t>2</w:t>
            </w:r>
          </w:p>
        </w:tc>
        <w:tc>
          <w:tcPr>
            <w:tcW w:w="2977" w:type="dxa"/>
            <w:tcBorders>
              <w:right w:val="single" w:sz="4" w:space="0" w:color="auto"/>
            </w:tcBorders>
            <w:shd w:val="clear" w:color="auto" w:fill="FFFFFF" w:themeFill="background1"/>
            <w:noWrap/>
          </w:tcPr>
          <w:p w14:paraId="552EB4E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Palma ratio income (top 10%/bottom 40%)</w:t>
            </w:r>
          </w:p>
        </w:tc>
        <w:tc>
          <w:tcPr>
            <w:tcW w:w="1276" w:type="dxa"/>
            <w:tcBorders>
              <w:left w:val="single" w:sz="4" w:space="0" w:color="auto"/>
            </w:tcBorders>
            <w:shd w:val="clear" w:color="auto" w:fill="FFFFFF" w:themeFill="background1"/>
          </w:tcPr>
          <w:p w14:paraId="7BDDF8D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1.25</w:t>
            </w:r>
          </w:p>
        </w:tc>
        <w:tc>
          <w:tcPr>
            <w:tcW w:w="1134" w:type="dxa"/>
            <w:shd w:val="clear" w:color="auto" w:fill="D9D9D9" w:themeFill="background1" w:themeFillShade="D9"/>
            <w:noWrap/>
          </w:tcPr>
          <w:p w14:paraId="0DA17AC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0.99</w:t>
            </w:r>
          </w:p>
        </w:tc>
        <w:tc>
          <w:tcPr>
            <w:tcW w:w="1389" w:type="dxa"/>
            <w:shd w:val="clear" w:color="auto" w:fill="FFFFFF" w:themeFill="background1"/>
          </w:tcPr>
          <w:p w14:paraId="06EED56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137E3028" w14:textId="0CB86BEC"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based on SDG Index green threshold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&lt;EndNote&gt;&lt;Cite&gt;&lt;Author&gt;Schmidt-Traub&lt;/Author&gt;&lt;Year&gt;2017&lt;/Year&gt;&lt;RecNum&gt;709&lt;/RecNum&gt;&lt;DisplayText&gt;(Schmidt-Traub et al., 2017, Sachs et al., 2017)&lt;/DisplayText&gt;&lt;record&gt;&lt;rec-number&gt;709&lt;/rec-number&gt;&lt;foreign-keys&gt;&lt;key app="EN" db-id="9vsrvaat7fadwtesfsrpw5w5t0x5v500ef25" timestamp="1501629767"&gt;709&lt;/key&gt;&lt;/foreign-keys&gt;&lt;ref-type name="Journal Article"&gt;17&lt;/ref-type&gt;&lt;contributors&gt;&lt;authors&gt;&lt;author&gt;Schmidt-Traub, Guido&lt;/author&gt;&lt;author&gt;Kroll, Christian&lt;/author&gt;&lt;author&gt;Teksoz, Katerina&lt;/author&gt;&lt;author&gt;Durand-Delacre, David&lt;/author&gt;&lt;author&gt;Sachs, Jeffrey D&lt;/author&gt;&lt;/authors&gt;&lt;/contributors&gt;&lt;titles&gt;&lt;title&gt;National baselines for the Sustainable Development Goals assessed in the SDG Index and Dashboards&lt;/title&gt;&lt;secondary-title&gt;Nature Geoscience&lt;/secondary-title&gt;&lt;/titles&gt;&lt;periodical&gt;&lt;full-title&gt;Nature Geoscience&lt;/full-title&gt;&lt;/periodical&gt;&lt;volume&gt;10&lt;/volume&gt;&lt;number&gt;8&lt;/number&gt;&lt;section&gt;547&lt;/section&gt;&lt;dates&gt;&lt;year&gt;2017&lt;/year&gt;&lt;/dates&gt;&lt;isbn&gt;1752-0894&lt;/isbn&gt;&lt;urls&gt;&lt;/urls&gt;&lt;electronic-resource-num&gt;https://doi.org/10.1038/ngeo2985&lt;/electronic-resource-num&gt;&lt;/record&gt;&lt;/Cite&gt;&lt;Cite&gt;&lt;Author&gt;Sachs&lt;/Author&gt;&lt;Year&gt;2017&lt;/Year&gt;&lt;RecNum&gt;761&lt;/RecNum&gt;&lt;record&gt;&lt;rec-number&gt;761&lt;/rec-number&gt;&lt;foreign-keys&gt;&lt;key app="EN" db-id="9vsrvaat7fadwtesfsrpw5w5t0x5v500ef25" timestamp="1515548921"&gt;761&lt;/key&gt;&lt;/foreign-keys&gt;&lt;ref-type name="Journal Article"&gt;17&lt;/ref-type&gt;&lt;contributors&gt;&lt;authors&gt;&lt;author&gt;Sachs, J&lt;/author&gt;&lt;author&gt;Schmidt-Traub, G&lt;/author&gt;&lt;author&gt;Kroll, C&lt;/author&gt;&lt;author&gt;Durand-Delacre, D&lt;/author&gt;&lt;author&gt;Teksoz, K&lt;/author&gt;&lt;/authors&gt;&lt;/contributors&gt;&lt;titles&gt;&lt;title&gt;SDG Index and Dashboards Report 2017&lt;/title&gt;&lt;secondary-title&gt;Bertelsmann Stiftung and Sustainable Development Solutions Network (SDSN): New York, NY, USA&lt;/secondary-title&gt;&lt;/titles&gt;&lt;periodical&gt;&lt;full-title&gt;Bertelsmann Stiftung and Sustainable Development Solutions Network (SDSN): New York, NY, USA&lt;/full-title&gt;&lt;/periodical&gt;&lt;dates&gt;&lt;year&gt;2017&lt;/year&gt;&lt;/dates&gt;&lt;urls&gt;&lt;/urls&gt;&lt;/record&gt;&lt;/Cite&gt;&lt;/EndNote&gt;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(Schmidt-Traub et al., 2017, Sachs et al., 2017)</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and calibrated from timeseries data </w:t>
            </w:r>
            <w:r w:rsidRPr="00FF510F">
              <w:rPr>
                <w:rFonts w:ascii="Corbel" w:hAnsi="Corbel" w:cstheme="minorHAnsi"/>
                <w:sz w:val="16"/>
                <w:szCs w:val="16"/>
                <w:lang w:val="en-US"/>
              </w:rPr>
              <w:fldChar w:fldCharType="begin"/>
            </w:r>
            <w:r w:rsidR="006C5257">
              <w:rPr>
                <w:rFonts w:ascii="Corbel" w:hAnsi="Corbel" w:cstheme="minorHAnsi"/>
                <w:sz w:val="16"/>
                <w:szCs w:val="16"/>
                <w:lang w:val="en-US"/>
              </w:rPr>
              <w:instrText xml:space="preserve"> ADDIN EN.CITE &lt;EndNote&gt;&lt;Cite&gt;&lt;Author&gt;Melbourne Institute&lt;/Author&gt;&lt;Year&gt;2018&lt;/Year&gt;&lt;RecNum&gt;1047&lt;/RecNum&gt;&lt;DisplayText&gt;(Melbourne Institute, 2018, ABS, 2018b)&lt;/DisplayText&gt;&lt;record&gt;&lt;rec-number&gt;1047&lt;/rec-number&gt;&lt;foreign-keys&gt;&lt;key app="EN" db-id="9vsrvaat7fadwtesfsrpw5w5t0x5v500ef25" timestamp="1565084922"&gt;1047&lt;/key&gt;&lt;/foreign-keys&gt;&lt;ref-type name="Generic"&gt;13&lt;/ref-type&gt;&lt;contributors&gt;&lt;authors&gt;&lt;author&gt;Melbourne Institute,&lt;/author&gt;&lt;/authors&gt;&lt;/contributors&gt;&lt;titles&gt;&lt;title&gt;The Household, Income and Labour Dynamics in Australia (HILDA) Survey: Selected Findings from Waves 1 to 16&lt;/title&gt;&lt;/titles&gt;&lt;dates&gt;&lt;year&gt;2018&lt;/year&gt;&lt;/dates&gt;&lt;pub-location&gt;Melbourne, Australia&lt;/pub-location&gt;&lt;publisher&gt;Melbourne Institute&lt;/publisher&gt;&lt;urls&gt;&lt;related-urls&gt;&lt;url&gt;https://melbourneinstitute.unimelb.edu.au/__data/assets/pdf_file/0009/2874177/HILDA-report_Low-Res_10.10.18.pdf&lt;/url&gt;&lt;/related-urls&gt;&lt;/urls&gt;&lt;/record&gt;&lt;/Cite&gt;&lt;Cite&gt;&lt;Author&gt;ABS&lt;/Author&gt;&lt;Year&gt;2018&lt;/Year&gt;&lt;RecNum&gt;1046&lt;/RecNum&gt;&lt;record&gt;&lt;rec-number&gt;1046&lt;/rec-number&gt;&lt;foreign-keys&gt;&lt;key app="EN" db-id="9vsrvaat7fadwtesfsrpw5w5t0x5v500ef25" timestamp="1565084684"&gt;1046&lt;/key&gt;&lt;/foreign-keys&gt;&lt;ref-type name="Dataset"&gt;59&lt;/ref-type&gt;&lt;contributors&gt;&lt;authors&gt;&lt;author&gt;ABS,&lt;/author&gt;&lt;/authors&gt;&lt;/contributors&gt;&lt;titles&gt;&lt;title&gt;6523.0 - Household Income and Wealth, Australia&lt;/title&gt;&lt;/titles&gt;&lt;dates&gt;&lt;year&gt;2018&lt;/year&gt;&lt;/dates&gt;&lt;pub-location&gt;Canberra, Australia&lt;/pub-location&gt;&lt;publisher&gt;Australian Bureau of Statistics&lt;/publisher&gt;&lt;urls&gt;&lt;related-urls&gt;&lt;url&gt;https://www.abs.gov.au/AUSSTATS/abs@.nsf/allprimarymainfeatures/B3AB9C8CD32F7CA6CA2584340018A13B?opendocument&lt;/url&gt;&lt;/related-urls&gt;&lt;/urls&gt;&lt;access-date&gt;01/02/18&lt;/access-date&gt;&lt;/record&gt;&lt;/Cite&gt;&lt;/EndNote&gt;</w:instrText>
            </w:r>
            <w:r w:rsidRPr="00FF510F">
              <w:rPr>
                <w:rFonts w:ascii="Corbel" w:hAnsi="Corbel" w:cstheme="minorHAnsi"/>
                <w:sz w:val="16"/>
                <w:szCs w:val="16"/>
                <w:lang w:val="en-US"/>
              </w:rPr>
              <w:fldChar w:fldCharType="separate"/>
            </w:r>
            <w:r w:rsidR="006C5257">
              <w:rPr>
                <w:rFonts w:ascii="Corbel" w:hAnsi="Corbel" w:cstheme="minorHAnsi"/>
                <w:noProof/>
                <w:sz w:val="16"/>
                <w:szCs w:val="16"/>
                <w:lang w:val="en-US"/>
              </w:rPr>
              <w:t>(Melbourne Institute, 2018, ABS, 2018b)</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3A2BBCBC" w14:textId="77777777" w:rsidTr="003F50A4">
        <w:trPr>
          <w:trHeight w:val="300"/>
        </w:trPr>
        <w:tc>
          <w:tcPr>
            <w:tcW w:w="510" w:type="dxa"/>
            <w:shd w:val="clear" w:color="auto" w:fill="FFFFFF" w:themeFill="background1"/>
          </w:tcPr>
          <w:p w14:paraId="00F51F50"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56BEF93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10.4 Adopt policies, especially fiscal, wage and social protection policies, and progressively achieve greater equality</w:t>
            </w:r>
          </w:p>
        </w:tc>
        <w:tc>
          <w:tcPr>
            <w:tcW w:w="427" w:type="dxa"/>
            <w:tcBorders>
              <w:left w:val="single" w:sz="4" w:space="0" w:color="auto"/>
              <w:right w:val="single" w:sz="4" w:space="0" w:color="auto"/>
            </w:tcBorders>
            <w:shd w:val="clear" w:color="auto" w:fill="FFFFFF" w:themeFill="background1"/>
          </w:tcPr>
          <w:p w14:paraId="0E6C2162" w14:textId="1B9C092C"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w:t>
            </w:r>
          </w:p>
        </w:tc>
        <w:tc>
          <w:tcPr>
            <w:tcW w:w="992" w:type="dxa"/>
            <w:tcBorders>
              <w:left w:val="single" w:sz="4" w:space="0" w:color="auto"/>
            </w:tcBorders>
            <w:shd w:val="clear" w:color="auto" w:fill="FFFFFF" w:themeFill="background1"/>
            <w:noWrap/>
            <w:hideMark/>
          </w:tcPr>
          <w:p w14:paraId="6549691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10.4.1</w:t>
            </w:r>
          </w:p>
        </w:tc>
        <w:tc>
          <w:tcPr>
            <w:tcW w:w="2977" w:type="dxa"/>
            <w:tcBorders>
              <w:right w:val="single" w:sz="4" w:space="0" w:color="auto"/>
            </w:tcBorders>
            <w:shd w:val="clear" w:color="auto" w:fill="FFFFFF" w:themeFill="background1"/>
            <w:noWrap/>
            <w:hideMark/>
          </w:tcPr>
          <w:p w14:paraId="4C50A16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Average labor share of GDP, comprising wages and social protection transfers</w:t>
            </w:r>
          </w:p>
        </w:tc>
        <w:tc>
          <w:tcPr>
            <w:tcW w:w="1276" w:type="dxa"/>
            <w:tcBorders>
              <w:left w:val="single" w:sz="4" w:space="0" w:color="auto"/>
            </w:tcBorders>
            <w:shd w:val="clear" w:color="auto" w:fill="FFFFFF" w:themeFill="background1"/>
          </w:tcPr>
          <w:p w14:paraId="4C4D637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0.69</w:t>
            </w:r>
          </w:p>
        </w:tc>
        <w:tc>
          <w:tcPr>
            <w:tcW w:w="1134" w:type="dxa"/>
            <w:shd w:val="clear" w:color="auto" w:fill="D9D9D9" w:themeFill="background1" w:themeFillShade="D9"/>
            <w:noWrap/>
            <w:hideMark/>
          </w:tcPr>
          <w:p w14:paraId="4FED545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0.76</w:t>
            </w:r>
          </w:p>
        </w:tc>
        <w:tc>
          <w:tcPr>
            <w:tcW w:w="1389" w:type="dxa"/>
            <w:shd w:val="clear" w:color="auto" w:fill="FFFFFF" w:themeFill="background1"/>
          </w:tcPr>
          <w:p w14:paraId="5EC8BF4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565FF44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as 10% improvement on baseline value; calibrated from timeseries data and BAU projection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&lt;EndNote&gt;&lt;Cite&gt;&lt;Author&gt;ABS&lt;/Author&gt;&lt;Year&gt;2020&lt;/Year&gt;&lt;RecNum&gt;1071&lt;/RecNum&gt;&lt;DisplayText&gt;(ABS, 2020a)&lt;/DisplayText&gt;&lt;record&gt;&lt;rec-number&gt;1071&lt;/rec-number&gt;&lt;foreign-keys&gt;&lt;key app="EN" db-id="9vsrvaat7fadwtesfsrpw5w5t0x5v500ef25" timestamp="1565171205"&gt;1071&lt;/key&gt;&lt;/foreign-keys&gt;&lt;ref-type name="Dataset"&gt;59&lt;/ref-type&gt;&lt;contributors&gt;&lt;authors&gt;&lt;author&gt;ABS,&lt;/author&gt;&lt;/authors&gt;&lt;/contributors&gt;&lt;titles&gt;&lt;title&gt;5206.0 - Australian National Accounts: National Income, Expenditure and Product&lt;/title&gt;&lt;/titles&gt;&lt;dates&gt;&lt;year&gt;2020&lt;/year&gt;&lt;/dates&gt;&lt;pub-location&gt;Canberra, Australia&lt;/pub-location&gt;&lt;publisher&gt;Australian Bureau of Statistics&lt;/publisher&gt;&lt;urls&gt;&lt;related-urls&gt;&lt;url&gt;https://www.abs.gov.au/ausstats/abs@.nsf/mf/5206.0&lt;/url&gt;&lt;/related-urls&gt;&lt;/urls&gt;&lt;access-date&gt;11/02/18&lt;/access-date&gt;&lt;/record&gt;&lt;/Cite&gt;&lt;/EndNote&gt;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(ABS, 2020a)</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3F549C83" w14:textId="77777777" w:rsidTr="003F50A4">
        <w:trPr>
          <w:trHeight w:val="54"/>
        </w:trPr>
        <w:tc>
          <w:tcPr>
            <w:tcW w:w="510" w:type="dxa"/>
            <w:shd w:val="clear" w:color="auto" w:fill="D9D9D9" w:themeFill="background1" w:themeFillShade="D9"/>
          </w:tcPr>
          <w:p w14:paraId="3AF449D2" w14:textId="77777777" w:rsidR="003F50A4" w:rsidRPr="00FF510F" w:rsidRDefault="003F50A4" w:rsidP="007F346F">
            <w:pPr>
              <w:spacing w:after="0"/>
              <w:rPr>
                <w:rFonts w:ascii="Corbel" w:hAnsi="Corbel" w:cstheme="minorHAnsi"/>
                <w:sz w:val="8"/>
                <w:szCs w:val="8"/>
                <w:lang w:val="en-US"/>
              </w:rPr>
            </w:pPr>
          </w:p>
        </w:tc>
        <w:tc>
          <w:tcPr>
            <w:tcW w:w="4195" w:type="dxa"/>
            <w:tcBorders>
              <w:right w:val="single" w:sz="4" w:space="0" w:color="auto"/>
            </w:tcBorders>
            <w:shd w:val="clear" w:color="auto" w:fill="D9D9D9" w:themeFill="background1" w:themeFillShade="D9"/>
          </w:tcPr>
          <w:p w14:paraId="48C0C8BE" w14:textId="77777777" w:rsidR="003F50A4" w:rsidRPr="00FF510F" w:rsidRDefault="003F50A4" w:rsidP="007F346F">
            <w:pPr>
              <w:spacing w:after="0"/>
              <w:rPr>
                <w:rFonts w:ascii="Corbel" w:hAnsi="Corbel" w:cstheme="minorHAnsi"/>
                <w:sz w:val="8"/>
                <w:szCs w:val="8"/>
                <w:lang w:val="en-US"/>
              </w:rPr>
            </w:pPr>
          </w:p>
        </w:tc>
        <w:tc>
          <w:tcPr>
            <w:tcW w:w="427" w:type="dxa"/>
            <w:tcBorders>
              <w:left w:val="single" w:sz="4" w:space="0" w:color="auto"/>
              <w:right w:val="single" w:sz="4" w:space="0" w:color="auto"/>
            </w:tcBorders>
            <w:shd w:val="clear" w:color="auto" w:fill="D9D9D9" w:themeFill="background1" w:themeFillShade="D9"/>
          </w:tcPr>
          <w:p w14:paraId="45E067C7"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4CFA1050"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3050B0CB"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229B2C85"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3607BCD0"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61E350E0"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68A28EFE" w14:textId="77777777" w:rsidR="003F50A4" w:rsidRPr="00FF510F" w:rsidRDefault="003F50A4" w:rsidP="007F346F">
            <w:pPr>
              <w:spacing w:after="0"/>
              <w:rPr>
                <w:rFonts w:ascii="Corbel" w:hAnsi="Corbel" w:cstheme="minorHAnsi"/>
                <w:sz w:val="8"/>
                <w:szCs w:val="8"/>
                <w:lang w:val="en-US"/>
              </w:rPr>
            </w:pPr>
          </w:p>
        </w:tc>
      </w:tr>
      <w:tr w:rsidR="003F50A4" w:rsidRPr="00FF510F" w14:paraId="00F19515" w14:textId="77777777" w:rsidTr="003F50A4">
        <w:trPr>
          <w:trHeight w:val="300"/>
        </w:trPr>
        <w:tc>
          <w:tcPr>
            <w:tcW w:w="510" w:type="dxa"/>
            <w:shd w:val="clear" w:color="auto" w:fill="FFFFFF" w:themeFill="background1"/>
          </w:tcPr>
          <w:p w14:paraId="2C05193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11</w:t>
            </w:r>
          </w:p>
        </w:tc>
        <w:tc>
          <w:tcPr>
            <w:tcW w:w="4195" w:type="dxa"/>
            <w:tcBorders>
              <w:right w:val="single" w:sz="4" w:space="0" w:color="auto"/>
            </w:tcBorders>
            <w:shd w:val="clear" w:color="auto" w:fill="auto"/>
          </w:tcPr>
          <w:p w14:paraId="5AA45134" w14:textId="77777777" w:rsidR="003F50A4" w:rsidRPr="00FF510F" w:rsidRDefault="003F50A4" w:rsidP="007F346F">
            <w:pPr>
              <w:spacing w:after="0"/>
              <w:rPr>
                <w:rFonts w:ascii="Corbel" w:hAnsi="Corbel" w:cstheme="minorHAnsi"/>
                <w:sz w:val="16"/>
                <w:szCs w:val="16"/>
              </w:rPr>
            </w:pPr>
            <w:r w:rsidRPr="00FF510F">
              <w:rPr>
                <w:rFonts w:ascii="Corbel" w:hAnsi="Corbel" w:cstheme="minorHAnsi"/>
                <w:sz w:val="16"/>
                <w:szCs w:val="16"/>
                <w:lang w:val="en-US"/>
              </w:rPr>
              <w:t xml:space="preserve">11.2 By 2030, provide access to safe, affordable, </w:t>
            </w:r>
            <w:proofErr w:type="gramStart"/>
            <w:r w:rsidRPr="00FF510F">
              <w:rPr>
                <w:rFonts w:ascii="Corbel" w:hAnsi="Corbel" w:cstheme="minorHAnsi"/>
                <w:sz w:val="16"/>
                <w:szCs w:val="16"/>
                <w:lang w:val="en-US"/>
              </w:rPr>
              <w:t>accessible</w:t>
            </w:r>
            <w:proofErr w:type="gramEnd"/>
            <w:r w:rsidRPr="00FF510F">
              <w:rPr>
                <w:rFonts w:ascii="Corbel" w:hAnsi="Corbel" w:cstheme="minorHAnsi"/>
                <w:sz w:val="16"/>
                <w:szCs w:val="16"/>
                <w:lang w:val="en-US"/>
              </w:rPr>
              <w:t xml:space="preserve"> and sustainable transport systems for all, improving road safety, notably by expanding public transport, with special attention to the needs of those in vulnerable situations, women, children, persons with disabilities and older persons</w:t>
            </w:r>
          </w:p>
        </w:tc>
        <w:tc>
          <w:tcPr>
            <w:tcW w:w="427" w:type="dxa"/>
            <w:tcBorders>
              <w:left w:val="single" w:sz="4" w:space="0" w:color="auto"/>
              <w:right w:val="single" w:sz="4" w:space="0" w:color="auto"/>
            </w:tcBorders>
            <w:shd w:val="clear" w:color="auto" w:fill="FFFFFF" w:themeFill="background1"/>
          </w:tcPr>
          <w:p w14:paraId="6E1B6A38" w14:textId="6944C42E"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w:t>
            </w:r>
          </w:p>
        </w:tc>
        <w:tc>
          <w:tcPr>
            <w:tcW w:w="992" w:type="dxa"/>
            <w:tcBorders>
              <w:left w:val="single" w:sz="4" w:space="0" w:color="auto"/>
            </w:tcBorders>
            <w:shd w:val="clear" w:color="auto" w:fill="FFFFFF" w:themeFill="background1"/>
            <w:noWrap/>
          </w:tcPr>
          <w:p w14:paraId="2CC6E98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11.2.</w:t>
            </w:r>
            <w:proofErr w:type="gramStart"/>
            <w:r w:rsidRPr="00FF510F">
              <w:rPr>
                <w:rFonts w:ascii="Corbel" w:hAnsi="Corbel" w:cstheme="minorHAnsi"/>
                <w:sz w:val="16"/>
                <w:szCs w:val="16"/>
                <w:lang w:val="en-US"/>
              </w:rPr>
              <w:t>1.ALT</w:t>
            </w:r>
            <w:proofErr w:type="gramEnd"/>
            <w:r w:rsidRPr="00FF510F">
              <w:rPr>
                <w:rFonts w:ascii="Corbel" w:hAnsi="Corbel" w:cstheme="minorHAnsi"/>
                <w:sz w:val="16"/>
                <w:szCs w:val="16"/>
                <w:lang w:val="en-US"/>
              </w:rPr>
              <w:t>1</w:t>
            </w:r>
          </w:p>
        </w:tc>
        <w:tc>
          <w:tcPr>
            <w:tcW w:w="2977" w:type="dxa"/>
            <w:tcBorders>
              <w:right w:val="single" w:sz="4" w:space="0" w:color="auto"/>
            </w:tcBorders>
            <w:shd w:val="clear" w:color="auto" w:fill="FFFFFF" w:themeFill="background1"/>
            <w:noWrap/>
          </w:tcPr>
          <w:p w14:paraId="65FA556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Share of battery electric vehicles (BEVs) in total vehicle (%) </w:t>
            </w:r>
          </w:p>
        </w:tc>
        <w:tc>
          <w:tcPr>
            <w:tcW w:w="1276" w:type="dxa"/>
            <w:tcBorders>
              <w:left w:val="single" w:sz="4" w:space="0" w:color="auto"/>
            </w:tcBorders>
            <w:shd w:val="clear" w:color="auto" w:fill="FFFFFF" w:themeFill="background1"/>
          </w:tcPr>
          <w:p w14:paraId="4FAC584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0.00002</w:t>
            </w:r>
          </w:p>
        </w:tc>
        <w:tc>
          <w:tcPr>
            <w:tcW w:w="1134" w:type="dxa"/>
            <w:shd w:val="clear" w:color="auto" w:fill="D9D9D9" w:themeFill="background1" w:themeFillShade="D9"/>
            <w:noWrap/>
          </w:tcPr>
          <w:p w14:paraId="21C40E5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0.2</w:t>
            </w:r>
          </w:p>
        </w:tc>
        <w:tc>
          <w:tcPr>
            <w:tcW w:w="1389" w:type="dxa"/>
            <w:shd w:val="clear" w:color="auto" w:fill="FFFFFF" w:themeFill="background1"/>
          </w:tcPr>
          <w:p w14:paraId="7966D1F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0.90</w:t>
            </w:r>
          </w:p>
        </w:tc>
        <w:tc>
          <w:tcPr>
            <w:tcW w:w="2552" w:type="dxa"/>
            <w:shd w:val="clear" w:color="auto" w:fill="FFFFFF" w:themeFill="background1"/>
          </w:tcPr>
          <w:p w14:paraId="7891803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as 20% of the total number of vehicles to be BEVs by 2030. Calibrated off data on vehicles and BEVs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&lt;EndNote&gt;&lt;Cite&gt;&lt;Author&gt;ABS&lt;/Author&gt;&lt;Year&gt;2020&lt;/Year&gt;&lt;RecNum&gt;1882&lt;/RecNum&gt;&lt;DisplayText&gt;(ABS, 2020b, ABS, 2020c, NTC, 2020)&lt;/DisplayText&gt;&lt;record&gt;&lt;rec-number&gt;1882&lt;/rec-number&gt;&lt;foreign-keys&gt;&lt;key app="EN" db-id="9vsrvaat7fadwtesfsrpw5w5t0x5v500ef25" timestamp="1619741667"&gt;1882&lt;/key&gt;&lt;/foreign-keys&gt;&lt;ref-type name="Dataset"&gt;59&lt;/ref-type&gt;&lt;contributors&gt;&lt;authors&gt;&lt;author&gt;ABS,&lt;/author&gt;&lt;/authors&gt;&lt;/contributors&gt;&lt;titles&gt;&lt;title&gt;Motor Vehicle Census, Australia, 2020&lt;/title&gt;&lt;/titles&gt;&lt;dates&gt;&lt;year&gt;2020&lt;/year&gt;&lt;/dates&gt;&lt;pub-location&gt;Canberra&lt;/pub-location&gt;&lt;publisher&gt;Australian Bureau of Statistics&lt;/publisher&gt;&lt;urls&gt;&lt;/urls&gt;&lt;/record&gt;&lt;/Cite&gt;&lt;Cite&gt;&lt;Author&gt;ABS&lt;/Author&gt;&lt;Year&gt;2020&lt;/Year&gt;&lt;RecNum&gt;1888&lt;/RecNum&gt;&lt;record&gt;&lt;rec-number&gt;1888&lt;/rec-number&gt;&lt;foreign-keys&gt;&lt;key app="EN" db-id="9vsrvaat7fadwtesfsrpw5w5t0x5v500ef25" timestamp="1620602686"&gt;1888&lt;/key&gt;&lt;/foreign-keys&gt;&lt;ref-type name="Dataset"&gt;59&lt;/ref-type&gt;&lt;contributors&gt;&lt;authors&gt;&lt;author&gt;ABS,&lt;/author&gt;&lt;/authors&gt;&lt;/contributors&gt;&lt;titles&gt;&lt;title&gt;Survey of Motor Vehicle Use, Australia&lt;/title&gt;&lt;secondary-title&gt;9208.0&lt;/secondary-title&gt;&lt;/titles&gt;&lt;dates&gt;&lt;year&gt;2020&lt;/year&gt;&lt;/dates&gt;&lt;pub-location&gt;Canberra&lt;/pub-location&gt;&lt;publisher&gt;Australian Bureau of Statistics&lt;/publisher&gt;&lt;urls&gt;&lt;/urls&gt;&lt;/record&gt;&lt;/Cite&gt;&lt;Cite&gt;&lt;Author&gt;NTC&lt;/Author&gt;&lt;Year&gt;2020&lt;/Year&gt;&lt;RecNum&gt;1977&lt;/RecNum&gt;&lt;record&gt;&lt;rec-number&gt;1977&lt;/rec-number&gt;&lt;foreign-keys&gt;&lt;key app="EN" db-id="9vsrvaat7fadwtesfsrpw5w5t0x5v500ef25" timestamp="1624579411"&gt;1977&lt;/key&gt;&lt;/foreign-keys&gt;&lt;ref-type name="Generic"&gt;13&lt;/ref-type&gt;&lt;contributors&gt;&lt;authors&gt;&lt;author&gt;NTC,&lt;/author&gt;&lt;/authors&gt;&lt;/contributors&gt;&lt;titles&gt;&lt;title&gt;VFACTS National EV PHEV Hybrid Sales 2011-20.&lt;/title&gt;&lt;/titles&gt;&lt;dates&gt;&lt;year&gt;2020&lt;/year&gt;&lt;/dates&gt;&lt;urls&gt;&lt;/urls&gt;&lt;/record&gt;&lt;/Cite&gt;&lt;/EndNote&gt;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(ABS, 2020b, ABS, 2020c, NTC, 2020)</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and BAU projection.  Increased to 90% share by 2050.</w:t>
            </w:r>
          </w:p>
        </w:tc>
      </w:tr>
      <w:tr w:rsidR="003F50A4" w:rsidRPr="00FF510F" w14:paraId="04278F26" w14:textId="77777777" w:rsidTr="003F50A4">
        <w:trPr>
          <w:trHeight w:val="300"/>
        </w:trPr>
        <w:tc>
          <w:tcPr>
            <w:tcW w:w="510" w:type="dxa"/>
            <w:shd w:val="clear" w:color="auto" w:fill="FFFFFF" w:themeFill="background1"/>
          </w:tcPr>
          <w:p w14:paraId="4EF0EFEA"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0C30C11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11.2</w:t>
            </w:r>
          </w:p>
        </w:tc>
        <w:tc>
          <w:tcPr>
            <w:tcW w:w="427" w:type="dxa"/>
            <w:tcBorders>
              <w:left w:val="single" w:sz="4" w:space="0" w:color="auto"/>
              <w:right w:val="single" w:sz="4" w:space="0" w:color="auto"/>
            </w:tcBorders>
            <w:shd w:val="clear" w:color="auto" w:fill="FFFFFF" w:themeFill="background1"/>
          </w:tcPr>
          <w:p w14:paraId="4DB566C4" w14:textId="0805B375"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w:t>
            </w:r>
          </w:p>
        </w:tc>
        <w:tc>
          <w:tcPr>
            <w:tcW w:w="992" w:type="dxa"/>
            <w:tcBorders>
              <w:left w:val="single" w:sz="4" w:space="0" w:color="auto"/>
            </w:tcBorders>
            <w:shd w:val="clear" w:color="auto" w:fill="FFFFFF" w:themeFill="background1"/>
            <w:noWrap/>
          </w:tcPr>
          <w:p w14:paraId="43343AD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11.2.1ALT2</w:t>
            </w:r>
          </w:p>
        </w:tc>
        <w:tc>
          <w:tcPr>
            <w:tcW w:w="2977" w:type="dxa"/>
            <w:tcBorders>
              <w:right w:val="single" w:sz="4" w:space="0" w:color="auto"/>
            </w:tcBorders>
            <w:shd w:val="clear" w:color="auto" w:fill="FFFFFF" w:themeFill="background1"/>
            <w:noWrap/>
          </w:tcPr>
          <w:p w14:paraId="45C1B7B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Total greenhouse gas emissions from road transport sector (Mt CO2-eq) </w:t>
            </w:r>
          </w:p>
        </w:tc>
        <w:tc>
          <w:tcPr>
            <w:tcW w:w="1276" w:type="dxa"/>
            <w:tcBorders>
              <w:left w:val="single" w:sz="4" w:space="0" w:color="auto"/>
            </w:tcBorders>
            <w:shd w:val="clear" w:color="auto" w:fill="FFFFFF" w:themeFill="background1"/>
          </w:tcPr>
          <w:p w14:paraId="33B3075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73.9</w:t>
            </w:r>
          </w:p>
        </w:tc>
        <w:tc>
          <w:tcPr>
            <w:tcW w:w="1134" w:type="dxa"/>
            <w:shd w:val="clear" w:color="auto" w:fill="D9D9D9" w:themeFill="background1" w:themeFillShade="D9"/>
            <w:noWrap/>
          </w:tcPr>
          <w:p w14:paraId="762D25C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65.032</w:t>
            </w:r>
          </w:p>
        </w:tc>
        <w:tc>
          <w:tcPr>
            <w:tcW w:w="1389" w:type="dxa"/>
            <w:shd w:val="clear" w:color="auto" w:fill="FFFFFF" w:themeFill="background1"/>
          </w:tcPr>
          <w:p w14:paraId="3D0E9A8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7.4</w:t>
            </w:r>
          </w:p>
        </w:tc>
        <w:tc>
          <w:tcPr>
            <w:tcW w:w="2552" w:type="dxa"/>
            <w:shd w:val="clear" w:color="auto" w:fill="FFFFFF" w:themeFill="background1"/>
          </w:tcPr>
          <w:p w14:paraId="744B346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12% reduction by 2030 and 95% reduction by 2050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&lt;EndNote&gt;&lt;Cite&gt;&lt;Author&gt;ClimateWorks Australia&lt;/Author&gt;&lt;Year&gt;2020&lt;/Year&gt;&lt;RecNum&gt;1484&lt;/RecNum&gt;&lt;DisplayText&gt;(ClimateWorks Australia, 2020)&lt;/DisplayText&gt;&lt;record&gt;&lt;rec-number&gt;1484&lt;/rec-number&gt;&lt;foreign-keys&gt;&lt;key app="EN" db-id="9vsrvaat7fadwtesfsrpw5w5t0x5v500ef25" timestamp="1600963142"&gt;1484&lt;/key&gt;&lt;/foreign-keys&gt;&lt;ref-type name="Generic"&gt;13&lt;/ref-type&gt;&lt;contributors&gt;&lt;authors&gt;&lt;author&gt;ClimateWorks Australia,&lt;/author&gt;&lt;/authors&gt;&lt;/contributors&gt;&lt;titles&gt;&lt;title&gt;Decarbonisation Futures: Solutions, actions and benchmarks for a net zero emissions Australia&lt;/title&gt;&lt;/titles&gt;&lt;dates&gt;&lt;year&gt;2020&lt;/year&gt;&lt;/dates&gt;&lt;pub-location&gt;Melbourne&lt;/pub-location&gt;&lt;publisher&gt;ClimateWorks&lt;/publisher&gt;&lt;urls&gt;&lt;/urls&gt;&lt;/record&gt;&lt;/Cite&gt;&lt;/EndNote&gt;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(ClimateWorks Australia, 2020)</w:t>
            </w:r>
            <w:r w:rsidRPr="00FF510F">
              <w:rPr>
                <w:rFonts w:ascii="Corbel" w:hAnsi="Corbel" w:cstheme="minorHAnsi"/>
                <w:sz w:val="16"/>
                <w:szCs w:val="16"/>
                <w:lang w:val="en-US"/>
              </w:rPr>
              <w:fldChar w:fldCharType="end"/>
            </w:r>
          </w:p>
        </w:tc>
      </w:tr>
      <w:tr w:rsidR="003F50A4" w:rsidRPr="00FF510F" w14:paraId="1C04DB1B" w14:textId="77777777" w:rsidTr="003F50A4">
        <w:trPr>
          <w:trHeight w:val="300"/>
        </w:trPr>
        <w:tc>
          <w:tcPr>
            <w:tcW w:w="510" w:type="dxa"/>
            <w:shd w:val="clear" w:color="auto" w:fill="FFFFFF" w:themeFill="background1"/>
          </w:tcPr>
          <w:p w14:paraId="7CAB4BFD"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528F290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11.5 By 2030, significantly reduce the number of deaths and the number of people affected and substantially decrease the direct economic losses relative to global gross domestic product caused by disasters, including water-related disasters, with a focus on protecting the poor and people in vulnerable situations</w:t>
            </w:r>
          </w:p>
        </w:tc>
        <w:tc>
          <w:tcPr>
            <w:tcW w:w="427" w:type="dxa"/>
            <w:tcBorders>
              <w:left w:val="single" w:sz="4" w:space="0" w:color="auto"/>
              <w:right w:val="single" w:sz="4" w:space="0" w:color="auto"/>
            </w:tcBorders>
            <w:shd w:val="clear" w:color="auto" w:fill="FFFFFF" w:themeFill="background1"/>
          </w:tcPr>
          <w:p w14:paraId="28F8937F" w14:textId="0167FF29"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w:t>
            </w:r>
          </w:p>
        </w:tc>
        <w:tc>
          <w:tcPr>
            <w:tcW w:w="992" w:type="dxa"/>
            <w:tcBorders>
              <w:left w:val="single" w:sz="4" w:space="0" w:color="auto"/>
            </w:tcBorders>
            <w:shd w:val="clear" w:color="auto" w:fill="FFFFFF" w:themeFill="background1"/>
            <w:noWrap/>
            <w:hideMark/>
          </w:tcPr>
          <w:p w14:paraId="633F34B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11.5.2</w:t>
            </w:r>
          </w:p>
        </w:tc>
        <w:tc>
          <w:tcPr>
            <w:tcW w:w="2977" w:type="dxa"/>
            <w:tcBorders>
              <w:right w:val="single" w:sz="4" w:space="0" w:color="auto"/>
            </w:tcBorders>
            <w:shd w:val="clear" w:color="auto" w:fill="FFFFFF" w:themeFill="background1"/>
            <w:noWrap/>
            <w:hideMark/>
          </w:tcPr>
          <w:p w14:paraId="0AD7536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Economic damage due to natural disasters as share of GDP five-year average (% GDP)</w:t>
            </w:r>
          </w:p>
        </w:tc>
        <w:tc>
          <w:tcPr>
            <w:tcW w:w="1276" w:type="dxa"/>
            <w:tcBorders>
              <w:left w:val="single" w:sz="4" w:space="0" w:color="auto"/>
            </w:tcBorders>
            <w:shd w:val="clear" w:color="auto" w:fill="FFFFFF" w:themeFill="background1"/>
          </w:tcPr>
          <w:p w14:paraId="01A7BCB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0.0023</w:t>
            </w:r>
          </w:p>
        </w:tc>
        <w:tc>
          <w:tcPr>
            <w:tcW w:w="1134" w:type="dxa"/>
            <w:shd w:val="clear" w:color="auto" w:fill="D9D9D9" w:themeFill="background1" w:themeFillShade="D9"/>
            <w:noWrap/>
            <w:hideMark/>
          </w:tcPr>
          <w:p w14:paraId="1AFE61B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0.0013</w:t>
            </w:r>
          </w:p>
        </w:tc>
        <w:tc>
          <w:tcPr>
            <w:tcW w:w="1389" w:type="dxa"/>
            <w:shd w:val="clear" w:color="auto" w:fill="FFFFFF" w:themeFill="background1"/>
          </w:tcPr>
          <w:p w14:paraId="2BF8532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709B973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Sendai Framework DRR targets are to ‘substantially reduce’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&lt;EndNote&gt;&lt;Cite&gt;&lt;Author&gt;United Nations&lt;/Author&gt;&lt;Year&gt;2015&lt;/Year&gt;&lt;RecNum&gt;1060&lt;/RecNum&gt;&lt;DisplayText&gt;(United Nations, 2015)&lt;/DisplayText&gt;&lt;record&gt;&lt;rec-number&gt;1060&lt;/rec-number&gt;&lt;foreign-keys&gt;&lt;key app="EN" db-id="9vsrvaat7fadwtesfsrpw5w5t0x5v500ef25" timestamp="1565158494"&gt;1060&lt;/key&gt;&lt;/foreign-keys&gt;&lt;ref-type name="Generic"&gt;13&lt;/ref-type&gt;&lt;contributors&gt;&lt;authors&gt;&lt;author&gt;United Nations,&lt;/author&gt;&lt;/authors&gt;&lt;/contributors&gt;&lt;titles&gt;&lt;title&gt;Sendai Framework for Disaster Risk Reduction 2015-2030&lt;/title&gt;&lt;/titles&gt;&lt;dates&gt;&lt;year&gt;2015&lt;/year&gt;&lt;/dates&gt;&lt;pub-location&gt;New York&lt;/pub-location&gt;&lt;publisher&gt;United Nations Office for Disaster Risk Reduction&lt;/publisher&gt;&lt;urls&gt;&lt;related-urls&gt;&lt;url&gt;https://www.unisdr.org/we/inform/publications/43291&lt;/url&gt;&lt;/related-urls&gt;&lt;/urls&gt;&lt;/record&gt;&lt;/Cite&gt;&lt;/EndNote&gt;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(United Nations,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target set as 50% improvement on baseline value.</w:t>
            </w:r>
          </w:p>
        </w:tc>
      </w:tr>
      <w:tr w:rsidR="003F50A4" w:rsidRPr="00FF510F" w14:paraId="410391C9" w14:textId="77777777" w:rsidTr="003F50A4">
        <w:trPr>
          <w:trHeight w:val="300"/>
        </w:trPr>
        <w:tc>
          <w:tcPr>
            <w:tcW w:w="510" w:type="dxa"/>
            <w:shd w:val="clear" w:color="auto" w:fill="FFFFFF" w:themeFill="background1"/>
          </w:tcPr>
          <w:p w14:paraId="01566D02"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6BA0A32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11.6 By 2030, reduce the adverse per capita environmental impact of cities, including by paying special attention to air quality and municipal and other waste management</w:t>
            </w:r>
          </w:p>
        </w:tc>
        <w:tc>
          <w:tcPr>
            <w:tcW w:w="427" w:type="dxa"/>
            <w:tcBorders>
              <w:left w:val="single" w:sz="4" w:space="0" w:color="auto"/>
              <w:right w:val="single" w:sz="4" w:space="0" w:color="auto"/>
            </w:tcBorders>
            <w:shd w:val="clear" w:color="auto" w:fill="FFFFFF" w:themeFill="background1"/>
          </w:tcPr>
          <w:p w14:paraId="046949C7" w14:textId="2ADF1ECB"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w:t>
            </w:r>
          </w:p>
        </w:tc>
        <w:tc>
          <w:tcPr>
            <w:tcW w:w="992" w:type="dxa"/>
            <w:tcBorders>
              <w:left w:val="single" w:sz="4" w:space="0" w:color="auto"/>
            </w:tcBorders>
            <w:shd w:val="clear" w:color="auto" w:fill="FFFFFF" w:themeFill="background1"/>
            <w:noWrap/>
            <w:hideMark/>
          </w:tcPr>
          <w:p w14:paraId="5640108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11.6.1</w:t>
            </w:r>
          </w:p>
        </w:tc>
        <w:tc>
          <w:tcPr>
            <w:tcW w:w="2977" w:type="dxa"/>
            <w:tcBorders>
              <w:right w:val="single" w:sz="4" w:space="0" w:color="auto"/>
            </w:tcBorders>
            <w:shd w:val="clear" w:color="auto" w:fill="FFFFFF" w:themeFill="background1"/>
            <w:noWrap/>
            <w:hideMark/>
          </w:tcPr>
          <w:p w14:paraId="72C74F4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Proportion of urban waste collected and disposed (%)</w:t>
            </w:r>
          </w:p>
        </w:tc>
        <w:tc>
          <w:tcPr>
            <w:tcW w:w="1276" w:type="dxa"/>
            <w:tcBorders>
              <w:left w:val="single" w:sz="4" w:space="0" w:color="auto"/>
            </w:tcBorders>
            <w:shd w:val="clear" w:color="auto" w:fill="FFFFFF" w:themeFill="background1"/>
          </w:tcPr>
          <w:p w14:paraId="63394C2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1134" w:type="dxa"/>
            <w:shd w:val="clear" w:color="auto" w:fill="D9D9D9" w:themeFill="background1" w:themeFillShade="D9"/>
            <w:noWrap/>
            <w:hideMark/>
          </w:tcPr>
          <w:p w14:paraId="282A793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1389" w:type="dxa"/>
            <w:shd w:val="clear" w:color="auto" w:fill="FFFFFF" w:themeFill="background1"/>
          </w:tcPr>
          <w:p w14:paraId="0078E3B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38C38CF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SDG Target 11.6 already achieved for Australia. Maintain performance.</w:t>
            </w:r>
          </w:p>
        </w:tc>
      </w:tr>
      <w:tr w:rsidR="003F50A4" w:rsidRPr="00FF510F" w14:paraId="71D121FF" w14:textId="77777777" w:rsidTr="003F50A4">
        <w:trPr>
          <w:trHeight w:val="300"/>
        </w:trPr>
        <w:tc>
          <w:tcPr>
            <w:tcW w:w="510" w:type="dxa"/>
            <w:shd w:val="clear" w:color="auto" w:fill="FFFFFF" w:themeFill="background1"/>
          </w:tcPr>
          <w:p w14:paraId="40FC97D9"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FFFFFF" w:themeFill="background1"/>
          </w:tcPr>
          <w:p w14:paraId="355A32C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11.6</w:t>
            </w:r>
          </w:p>
        </w:tc>
        <w:tc>
          <w:tcPr>
            <w:tcW w:w="427" w:type="dxa"/>
            <w:tcBorders>
              <w:left w:val="single" w:sz="4" w:space="0" w:color="auto"/>
              <w:right w:val="single" w:sz="4" w:space="0" w:color="auto"/>
            </w:tcBorders>
            <w:shd w:val="clear" w:color="auto" w:fill="FFFFFF" w:themeFill="background1"/>
          </w:tcPr>
          <w:p w14:paraId="1845C2FC" w14:textId="28E9DCA0"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w:t>
            </w:r>
          </w:p>
        </w:tc>
        <w:tc>
          <w:tcPr>
            <w:tcW w:w="992" w:type="dxa"/>
            <w:tcBorders>
              <w:left w:val="single" w:sz="4" w:space="0" w:color="auto"/>
            </w:tcBorders>
            <w:shd w:val="clear" w:color="auto" w:fill="FFFFFF" w:themeFill="background1"/>
            <w:noWrap/>
            <w:hideMark/>
          </w:tcPr>
          <w:p w14:paraId="4755E94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11.6.2</w:t>
            </w:r>
          </w:p>
        </w:tc>
        <w:tc>
          <w:tcPr>
            <w:tcW w:w="2977" w:type="dxa"/>
            <w:tcBorders>
              <w:right w:val="single" w:sz="4" w:space="0" w:color="auto"/>
            </w:tcBorders>
            <w:shd w:val="clear" w:color="auto" w:fill="FFFFFF" w:themeFill="background1"/>
            <w:noWrap/>
            <w:hideMark/>
          </w:tcPr>
          <w:p w14:paraId="45E4322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Proportion population exposed to PM2.5 levels exceeding WHO guideline</w:t>
            </w:r>
          </w:p>
        </w:tc>
        <w:tc>
          <w:tcPr>
            <w:tcW w:w="1276" w:type="dxa"/>
            <w:tcBorders>
              <w:left w:val="single" w:sz="4" w:space="0" w:color="auto"/>
            </w:tcBorders>
            <w:shd w:val="clear" w:color="auto" w:fill="FFFFFF" w:themeFill="background1"/>
          </w:tcPr>
          <w:p w14:paraId="5E659DD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0.34</w:t>
            </w:r>
          </w:p>
        </w:tc>
        <w:tc>
          <w:tcPr>
            <w:tcW w:w="1134" w:type="dxa"/>
            <w:shd w:val="clear" w:color="auto" w:fill="D9D9D9" w:themeFill="background1" w:themeFillShade="D9"/>
            <w:noWrap/>
            <w:hideMark/>
          </w:tcPr>
          <w:p w14:paraId="7B655BD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0.24</w:t>
            </w:r>
          </w:p>
        </w:tc>
        <w:tc>
          <w:tcPr>
            <w:tcW w:w="1389" w:type="dxa"/>
            <w:shd w:val="clear" w:color="auto" w:fill="FFFFFF" w:themeFill="background1"/>
          </w:tcPr>
          <w:p w14:paraId="7A80D79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FFFFFF" w:themeFill="background1"/>
          </w:tcPr>
          <w:p w14:paraId="3BDB943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Guideline for exposure of 10 </w:t>
            </w:r>
            <w:proofErr w:type="spellStart"/>
            <w:r w:rsidRPr="00FF510F">
              <w:rPr>
                <w:rFonts w:ascii="Corbel" w:hAnsi="Corbel" w:cstheme="minorHAnsi"/>
                <w:sz w:val="16"/>
                <w:szCs w:val="16"/>
                <w:lang w:val="en-US"/>
              </w:rPr>
              <w:t>μg</w:t>
            </w:r>
            <w:proofErr w:type="spellEnd"/>
            <w:r w:rsidRPr="00FF510F">
              <w:rPr>
                <w:rFonts w:ascii="Corbel" w:hAnsi="Corbel" w:cstheme="minorHAnsi"/>
                <w:sz w:val="16"/>
                <w:szCs w:val="16"/>
                <w:lang w:val="en-US"/>
              </w:rPr>
              <w:t>/m</w:t>
            </w:r>
            <w:r w:rsidRPr="00FF510F">
              <w:rPr>
                <w:rFonts w:ascii="Corbel" w:hAnsi="Corbel" w:cstheme="minorHAnsi"/>
                <w:sz w:val="16"/>
                <w:szCs w:val="16"/>
                <w:vertAlign w:val="superscript"/>
                <w:lang w:val="en-US"/>
              </w:rPr>
              <w:t xml:space="preserve">3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&lt;EndNote&gt;&lt;Cite&gt;&lt;Author&gt;WHO&lt;/Author&gt;&lt;Year&gt;2005&lt;/Year&gt;&lt;RecNum&gt;1081&lt;/RecNum&gt;&lt;DisplayText&gt;(WHO, 2005)&lt;/DisplayText&gt;&lt;record&gt;&lt;rec-number&gt;1081&lt;/rec-number&gt;&lt;foreign-keys&gt;&lt;key app="EN" db-id="9vsrvaat7fadwtesfsrpw5w5t0x5v500ef25" timestamp="1565227634"&gt;1081&lt;/key&gt;&lt;/foreign-keys&gt;&lt;ref-type name="Generic"&gt;13&lt;/ref-type&gt;&lt;contributors&gt;&lt;authors&gt;&lt;author&gt;WHO,&lt;/author&gt;&lt;/authors&gt;&lt;/contributors&gt;&lt;titles&gt;&lt;title&gt;WHO Air quality guidelines for particulate matter, ozone, nitrogen dioxide and sulfur dioxide&lt;/title&gt;&lt;/titles&gt;&lt;dates&gt;&lt;year&gt;2005&lt;/year&gt;&lt;/dates&gt;&lt;pub-location&gt;Switzerland&lt;/pub-location&gt;&lt;publisher&gt;World Health Organisation&lt;/publisher&gt;&lt;urls&gt;&lt;related-urls&gt;&lt;url&gt;https://apps.who.int/iris/bitstream/handle/10665/69477/WHO_SDE_PHE_OEH_06.02_eng.pdf;sequence=1&lt;/url&gt;&lt;/related-urls&gt;&lt;/urls&gt;&lt;/record&gt;&lt;/Cite&gt;&lt;/EndNote&gt;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(WHO, 2005)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SDG Target 11.6 is to reduce per capita environmental impacts. Target set at 30% improvement on baseline.  </w:t>
            </w:r>
          </w:p>
        </w:tc>
      </w:tr>
      <w:tr w:rsidR="003F50A4" w:rsidRPr="00FF510F" w14:paraId="6361E170" w14:textId="77777777" w:rsidTr="003F50A4">
        <w:trPr>
          <w:trHeight w:val="300"/>
        </w:trPr>
        <w:tc>
          <w:tcPr>
            <w:tcW w:w="510" w:type="dxa"/>
            <w:shd w:val="clear" w:color="auto" w:fill="FFFFFF" w:themeFill="background1"/>
          </w:tcPr>
          <w:p w14:paraId="7F1219AF"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FFFFFF" w:themeFill="background1"/>
          </w:tcPr>
          <w:p w14:paraId="74705E0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11.6</w:t>
            </w:r>
          </w:p>
        </w:tc>
        <w:tc>
          <w:tcPr>
            <w:tcW w:w="427" w:type="dxa"/>
            <w:tcBorders>
              <w:left w:val="single" w:sz="4" w:space="0" w:color="auto"/>
              <w:right w:val="single" w:sz="4" w:space="0" w:color="auto"/>
            </w:tcBorders>
            <w:shd w:val="clear" w:color="auto" w:fill="FFFFFF" w:themeFill="background1"/>
          </w:tcPr>
          <w:p w14:paraId="35C393C3" w14:textId="56FFFA28"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w:t>
            </w:r>
          </w:p>
        </w:tc>
        <w:tc>
          <w:tcPr>
            <w:tcW w:w="992" w:type="dxa"/>
            <w:tcBorders>
              <w:left w:val="single" w:sz="4" w:space="0" w:color="auto"/>
            </w:tcBorders>
            <w:shd w:val="clear" w:color="auto" w:fill="FFFFFF" w:themeFill="background1"/>
            <w:noWrap/>
          </w:tcPr>
          <w:p w14:paraId="2B08709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11.6.NEW</w:t>
            </w:r>
          </w:p>
        </w:tc>
        <w:tc>
          <w:tcPr>
            <w:tcW w:w="2977" w:type="dxa"/>
            <w:tcBorders>
              <w:right w:val="single" w:sz="4" w:space="0" w:color="auto"/>
            </w:tcBorders>
            <w:shd w:val="clear" w:color="auto" w:fill="FFFFFF" w:themeFill="background1"/>
            <w:noWrap/>
          </w:tcPr>
          <w:p w14:paraId="7DD5098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Total operational and embodied GHG emissions in the built environment (Mt CO2-eq)</w:t>
            </w:r>
          </w:p>
        </w:tc>
        <w:tc>
          <w:tcPr>
            <w:tcW w:w="1276" w:type="dxa"/>
            <w:tcBorders>
              <w:left w:val="single" w:sz="4" w:space="0" w:color="auto"/>
            </w:tcBorders>
            <w:shd w:val="clear" w:color="auto" w:fill="FFFFFF" w:themeFill="background1"/>
          </w:tcPr>
          <w:p w14:paraId="70DB7FB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117.57</w:t>
            </w:r>
          </w:p>
        </w:tc>
        <w:tc>
          <w:tcPr>
            <w:tcW w:w="1134" w:type="dxa"/>
            <w:shd w:val="clear" w:color="auto" w:fill="D9D9D9" w:themeFill="background1" w:themeFillShade="D9"/>
            <w:noWrap/>
          </w:tcPr>
          <w:p w14:paraId="2FBFA37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42.3</w:t>
            </w:r>
          </w:p>
        </w:tc>
        <w:tc>
          <w:tcPr>
            <w:tcW w:w="1389" w:type="dxa"/>
            <w:shd w:val="clear" w:color="auto" w:fill="FFFFFF" w:themeFill="background1"/>
          </w:tcPr>
          <w:p w14:paraId="65EEDC2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w:t>
            </w:r>
          </w:p>
        </w:tc>
        <w:tc>
          <w:tcPr>
            <w:tcW w:w="2552" w:type="dxa"/>
            <w:shd w:val="clear" w:color="auto" w:fill="FFFFFF" w:themeFill="background1"/>
          </w:tcPr>
          <w:p w14:paraId="1781A34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64% reduction by 2030 and 100% by 2050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&lt;EndNote&gt;&lt;Cite&gt;&lt;Author&gt;ClimateWorks Australia&lt;/Author&gt;&lt;Year&gt;2020&lt;/Year&gt;&lt;RecNum&gt;1484&lt;/RecNum&gt;&lt;DisplayText&gt;(ClimateWorks Australia, 2020, Allen et al., 2021)&lt;/DisplayText&gt;&lt;record&gt;&lt;rec-number&gt;1484&lt;/rec-number&gt;&lt;foreign-keys&gt;&lt;key app="EN" db-id="9vsrvaat7fadwtesfsrpw5w5t0x5v500ef25" timestamp="1600963142"&gt;1484&lt;/key&gt;&lt;/foreign-keys&gt;&lt;ref-type name="Generic"&gt;13&lt;/ref-type&gt;&lt;contributors&gt;&lt;authors&gt;&lt;author&gt;ClimateWorks Australia,&lt;/author&gt;&lt;/authors&gt;&lt;/contributors&gt;&lt;titles&gt;&lt;title&gt;Decarbonisation Futures: Solutions, actions and benchmarks for a net zero emissions Australia&lt;/title&gt;&lt;/titles&gt;&lt;dates&gt;&lt;year&gt;2020&lt;/year&gt;&lt;/dates&gt;&lt;pub-location&gt;Melbourne&lt;/pub-location&gt;&lt;publisher&gt;ClimateWorks&lt;/publisher&gt;&lt;urls&gt;&lt;/urls&gt;&lt;/record&gt;&lt;/Cite&gt;&lt;Cite&gt;&lt;Author&gt;Allen&lt;/Author&gt;&lt;Year&gt;2021&lt;/Year&gt;&lt;RecNum&gt;1721&lt;/RecNum&gt;&lt;record&gt;&lt;rec-number&gt;1721&lt;/rec-number&gt;&lt;foreign-keys&gt;&lt;key app="EN" db-id="9vsrvaat7fadwtesfsrpw5w5t0x5v500ef25" timestamp="1609277168"&gt;1721&lt;/key&gt;&lt;/foreign-keys&gt;&lt;ref-type name="Journal Article"&gt;17&lt;/ref-type&gt;&lt;contributors&gt;&lt;authors&gt;&lt;author&gt;Allen, C&lt;/author&gt;&lt;author&gt;Oldfield, P&lt;/author&gt;&lt;author&gt;Teh, SH&lt;/author&gt;&lt;author&gt;Wiedmann, T&lt;/author&gt;&lt;author&gt;Langdon, S&lt;/author&gt;&lt;author&gt;Yu, M&lt;/author&gt;&lt;author&gt;Yang, J&lt;/author&gt;&lt;/authors&gt;&lt;/contributors&gt;&lt;titles&gt;&lt;title&gt;Modelling ambitious climate mitigation pathways for Australia&amp;apos;s built environment&lt;/title&gt;&lt;secondary-title&gt;Sustainable Cities and Society&lt;/secondary-title&gt;&lt;/titles&gt;&lt;periodical&gt;&lt;full-title&gt;Sustainable Cities and Society&lt;/full-title&gt;&lt;/periodical&gt;&lt;volume&gt;published online 18 November 2021&lt;/volume&gt;&lt;dates&gt;&lt;year&gt;2021&lt;/year&gt;&lt;/dates&gt;&lt;urls&gt;&lt;/urls&gt;&lt;electronic-resource-num&gt;https://doi.org/10.1016/j.scs.2021.103554&lt;/electronic-resource-num&gt;&lt;/record&gt;&lt;/Cite&gt;&lt;/EndNote&gt;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(ClimateWorks Australia, 2020, Allen et al., 2021)</w:t>
            </w:r>
            <w:r w:rsidRPr="00FF510F">
              <w:rPr>
                <w:rFonts w:ascii="Corbel" w:hAnsi="Corbel" w:cstheme="minorHAnsi"/>
                <w:sz w:val="16"/>
                <w:szCs w:val="16"/>
                <w:lang w:val="en-US"/>
              </w:rPr>
              <w:fldChar w:fldCharType="end"/>
            </w:r>
          </w:p>
        </w:tc>
      </w:tr>
      <w:tr w:rsidR="003F50A4" w:rsidRPr="00FF510F" w14:paraId="13ED487F" w14:textId="77777777" w:rsidTr="003F50A4">
        <w:trPr>
          <w:trHeight w:val="54"/>
        </w:trPr>
        <w:tc>
          <w:tcPr>
            <w:tcW w:w="510" w:type="dxa"/>
            <w:shd w:val="clear" w:color="auto" w:fill="D9D9D9" w:themeFill="background1" w:themeFillShade="D9"/>
          </w:tcPr>
          <w:p w14:paraId="3D126F30" w14:textId="77777777" w:rsidR="003F50A4" w:rsidRPr="00FF510F" w:rsidRDefault="003F50A4" w:rsidP="007F346F">
            <w:pPr>
              <w:spacing w:after="0"/>
              <w:rPr>
                <w:rFonts w:ascii="Corbel" w:hAnsi="Corbel" w:cstheme="minorHAnsi"/>
                <w:sz w:val="8"/>
                <w:szCs w:val="8"/>
                <w:lang w:val="en-US"/>
              </w:rPr>
            </w:pPr>
          </w:p>
        </w:tc>
        <w:tc>
          <w:tcPr>
            <w:tcW w:w="4195" w:type="dxa"/>
            <w:tcBorders>
              <w:right w:val="single" w:sz="4" w:space="0" w:color="auto"/>
            </w:tcBorders>
            <w:shd w:val="clear" w:color="auto" w:fill="D9D9D9" w:themeFill="background1" w:themeFillShade="D9"/>
          </w:tcPr>
          <w:p w14:paraId="074054B1" w14:textId="77777777" w:rsidR="003F50A4" w:rsidRPr="00FF510F" w:rsidRDefault="003F50A4" w:rsidP="007F346F">
            <w:pPr>
              <w:spacing w:after="0"/>
              <w:rPr>
                <w:rFonts w:ascii="Corbel" w:hAnsi="Corbel" w:cstheme="minorHAnsi"/>
                <w:sz w:val="8"/>
                <w:szCs w:val="8"/>
                <w:lang w:val="en-US"/>
              </w:rPr>
            </w:pPr>
          </w:p>
        </w:tc>
        <w:tc>
          <w:tcPr>
            <w:tcW w:w="427" w:type="dxa"/>
            <w:tcBorders>
              <w:left w:val="single" w:sz="4" w:space="0" w:color="auto"/>
              <w:right w:val="single" w:sz="4" w:space="0" w:color="auto"/>
            </w:tcBorders>
            <w:shd w:val="clear" w:color="auto" w:fill="D9D9D9" w:themeFill="background1" w:themeFillShade="D9"/>
          </w:tcPr>
          <w:p w14:paraId="23BD0B9E"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26737109"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35C4286F"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414FECB6"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3238D969"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49F95C13"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7E4E10F3" w14:textId="77777777" w:rsidR="003F50A4" w:rsidRPr="00FF510F" w:rsidRDefault="003F50A4" w:rsidP="007F346F">
            <w:pPr>
              <w:spacing w:after="0"/>
              <w:rPr>
                <w:rFonts w:ascii="Corbel" w:hAnsi="Corbel" w:cstheme="minorHAnsi"/>
                <w:sz w:val="8"/>
                <w:szCs w:val="8"/>
                <w:lang w:val="en-US"/>
              </w:rPr>
            </w:pPr>
          </w:p>
        </w:tc>
      </w:tr>
      <w:tr w:rsidR="003F50A4" w:rsidRPr="00FF510F" w14:paraId="620812FD" w14:textId="77777777" w:rsidTr="003F50A4">
        <w:trPr>
          <w:trHeight w:val="300"/>
        </w:trPr>
        <w:tc>
          <w:tcPr>
            <w:tcW w:w="510" w:type="dxa"/>
            <w:shd w:val="clear" w:color="auto" w:fill="auto"/>
          </w:tcPr>
          <w:p w14:paraId="1102DA5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12</w:t>
            </w:r>
          </w:p>
        </w:tc>
        <w:tc>
          <w:tcPr>
            <w:tcW w:w="4195" w:type="dxa"/>
            <w:tcBorders>
              <w:right w:val="single" w:sz="4" w:space="0" w:color="auto"/>
            </w:tcBorders>
            <w:shd w:val="clear" w:color="auto" w:fill="auto"/>
          </w:tcPr>
          <w:p w14:paraId="357E5FB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12.2 By 2030, achieve the sustainable management and efficient use of natural resources</w:t>
            </w:r>
          </w:p>
        </w:tc>
        <w:tc>
          <w:tcPr>
            <w:tcW w:w="427" w:type="dxa"/>
            <w:tcBorders>
              <w:left w:val="single" w:sz="4" w:space="0" w:color="auto"/>
              <w:right w:val="single" w:sz="4" w:space="0" w:color="auto"/>
            </w:tcBorders>
          </w:tcPr>
          <w:p w14:paraId="4A7E7C86" w14:textId="0DB62E81"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w:t>
            </w:r>
          </w:p>
        </w:tc>
        <w:tc>
          <w:tcPr>
            <w:tcW w:w="992" w:type="dxa"/>
            <w:tcBorders>
              <w:left w:val="single" w:sz="4" w:space="0" w:color="auto"/>
            </w:tcBorders>
            <w:shd w:val="clear" w:color="auto" w:fill="auto"/>
            <w:noWrap/>
            <w:hideMark/>
          </w:tcPr>
          <w:p w14:paraId="717BFB1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12.2.1b</w:t>
            </w:r>
          </w:p>
        </w:tc>
        <w:tc>
          <w:tcPr>
            <w:tcW w:w="2977" w:type="dxa"/>
            <w:tcBorders>
              <w:right w:val="single" w:sz="4" w:space="0" w:color="auto"/>
            </w:tcBorders>
            <w:shd w:val="clear" w:color="auto" w:fill="auto"/>
            <w:noWrap/>
            <w:hideMark/>
          </w:tcPr>
          <w:p w14:paraId="3C5D90F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PC material footprint (t/person/year)</w:t>
            </w:r>
          </w:p>
        </w:tc>
        <w:tc>
          <w:tcPr>
            <w:tcW w:w="1276" w:type="dxa"/>
            <w:tcBorders>
              <w:left w:val="single" w:sz="4" w:space="0" w:color="auto"/>
            </w:tcBorders>
            <w:shd w:val="clear" w:color="auto" w:fill="auto"/>
          </w:tcPr>
          <w:p w14:paraId="6C8EBF9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42.1</w:t>
            </w:r>
          </w:p>
        </w:tc>
        <w:tc>
          <w:tcPr>
            <w:tcW w:w="1134" w:type="dxa"/>
            <w:shd w:val="clear" w:color="auto" w:fill="D9D9D9" w:themeFill="background1" w:themeFillShade="D9"/>
            <w:noWrap/>
            <w:hideMark/>
          </w:tcPr>
          <w:p w14:paraId="3B58499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25.3</w:t>
            </w:r>
          </w:p>
        </w:tc>
        <w:tc>
          <w:tcPr>
            <w:tcW w:w="1389" w:type="dxa"/>
          </w:tcPr>
          <w:p w14:paraId="450AE72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21.1</w:t>
            </w:r>
          </w:p>
        </w:tc>
        <w:tc>
          <w:tcPr>
            <w:tcW w:w="2552" w:type="dxa"/>
            <w:shd w:val="clear" w:color="auto" w:fill="auto"/>
          </w:tcPr>
          <w:p w14:paraId="4E53058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calibrated from global data and BAU projection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&lt;EndNote&gt;&lt;Cite&gt;&lt;Author&gt;West&lt;/Author&gt;&lt;Year&gt;2018&lt;/Year&gt;&lt;RecNum&gt;1048&lt;/RecNum&gt;&lt;DisplayText&gt;(West and Lieber, 2018)&lt;/DisplayText&gt;&lt;record&gt;&lt;rec-number&gt;1048&lt;/rec-number&gt;&lt;foreign-keys&gt;&lt;key app="EN" db-id="9vsrvaat7fadwtesfsrpw5w5t0x5v500ef25" timestamp="1565085299"&gt;1048&lt;/key&gt;&lt;/foreign-keys&gt;&lt;ref-type name="Dataset"&gt;59&lt;/ref-type&gt;&lt;contributors&gt;&lt;authors&gt;&lt;author&gt;West, J&lt;/author&gt;&lt;author&gt;Lieber, M&lt;/author&gt;&lt;/authors&gt;&lt;/contributors&gt;&lt;titles&gt;&lt;title&gt;Global Material Flows Database&lt;/title&gt;&lt;/titles&gt;&lt;dates&gt;&lt;year&gt;2018&lt;/year&gt;&lt;/dates&gt;&lt;pub-location&gt;Paris, France&lt;/pub-location&gt;&lt;urls&gt;&lt;related-urls&gt;&lt;url&gt;https://www.resourcepanel.org/global-material-flows-database&lt;/url&gt;&lt;/related-urls&gt;&lt;/urls&gt;&lt;access-date&gt;10/02/18&lt;/access-date&gt;&lt;/record&gt;&lt;/Cite&gt;&lt;/EndNote&gt;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(West and Lieber, 2018)</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and NSDC 2030 target value of 25.3 based on OECD average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&lt;EndNote&gt;&lt;Cite&gt;&lt;Author&gt;MSDI&lt;/Author&gt;&lt;Year&gt;2020&lt;/Year&gt;&lt;RecNum&gt;1713&lt;/RecNum&gt;&lt;DisplayText&gt;(MSDI, 2020)&lt;/DisplayText&gt;&lt;record&gt;&lt;rec-number&gt;1713&lt;/rec-number&gt;&lt;foreign-keys&gt;&lt;key app="EN" db-id="9vsrvaat7fadwtesfsrpw5w5t0x5v500ef25" timestamp="1609189914"&gt;1713&lt;/key&gt;&lt;/foreign-keys&gt;&lt;ref-type name="Generic"&gt;13&lt;/ref-type&gt;&lt;contributors&gt;&lt;authors&gt;&lt;author&gt;MSDI,&lt;/author&gt;&lt;/authors&gt;&lt;/contributors&gt;&lt;titles&gt;&lt;title&gt;Transforming Australia 2020 Update&lt;/title&gt;&lt;/titles&gt;&lt;dates&gt;&lt;year&gt;2020&lt;/year&gt;&lt;/dates&gt;&lt;pub-location&gt;Melbourne&lt;/pub-location&gt;&lt;publisher&gt;Monash Sustainable Development Institute&lt;/publisher&gt;&lt;urls&gt;&lt;/urls&gt;&lt;electronic-resource-num&gt;https://www.sdgtransformingaustralia.com/&lt;/electronic-resource-num&gt;&lt;/record&gt;&lt;/Cite&gt;&lt;/EndNote&gt;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(MSDI, 2020)</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Total reduction of 50% by 2050.</w:t>
            </w:r>
          </w:p>
        </w:tc>
      </w:tr>
      <w:tr w:rsidR="003F50A4" w:rsidRPr="00FF510F" w14:paraId="20928DF5" w14:textId="77777777" w:rsidTr="003F50A4">
        <w:trPr>
          <w:trHeight w:val="300"/>
        </w:trPr>
        <w:tc>
          <w:tcPr>
            <w:tcW w:w="510" w:type="dxa"/>
            <w:shd w:val="clear" w:color="auto" w:fill="auto"/>
          </w:tcPr>
          <w:p w14:paraId="6ACD52EB"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61F2E77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12.2</w:t>
            </w:r>
          </w:p>
        </w:tc>
        <w:tc>
          <w:tcPr>
            <w:tcW w:w="427" w:type="dxa"/>
            <w:tcBorders>
              <w:left w:val="single" w:sz="4" w:space="0" w:color="auto"/>
              <w:right w:val="single" w:sz="4" w:space="0" w:color="auto"/>
            </w:tcBorders>
          </w:tcPr>
          <w:p w14:paraId="49C23E36" w14:textId="5053DA1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w:t>
            </w:r>
          </w:p>
        </w:tc>
        <w:tc>
          <w:tcPr>
            <w:tcW w:w="992" w:type="dxa"/>
            <w:tcBorders>
              <w:left w:val="single" w:sz="4" w:space="0" w:color="auto"/>
            </w:tcBorders>
            <w:shd w:val="clear" w:color="auto" w:fill="auto"/>
            <w:noWrap/>
            <w:hideMark/>
          </w:tcPr>
          <w:p w14:paraId="3BD97EC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12.2.2b</w:t>
            </w:r>
          </w:p>
        </w:tc>
        <w:tc>
          <w:tcPr>
            <w:tcW w:w="2977" w:type="dxa"/>
            <w:tcBorders>
              <w:right w:val="single" w:sz="4" w:space="0" w:color="auto"/>
            </w:tcBorders>
            <w:shd w:val="clear" w:color="auto" w:fill="auto"/>
            <w:noWrap/>
            <w:hideMark/>
          </w:tcPr>
          <w:p w14:paraId="21E2488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PC domestic material consumption (t/person/year)</w:t>
            </w:r>
          </w:p>
        </w:tc>
        <w:tc>
          <w:tcPr>
            <w:tcW w:w="1276" w:type="dxa"/>
            <w:tcBorders>
              <w:left w:val="single" w:sz="4" w:space="0" w:color="auto"/>
            </w:tcBorders>
            <w:shd w:val="clear" w:color="auto" w:fill="auto"/>
          </w:tcPr>
          <w:p w14:paraId="0104420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39.4</w:t>
            </w:r>
          </w:p>
        </w:tc>
        <w:tc>
          <w:tcPr>
            <w:tcW w:w="1134" w:type="dxa"/>
            <w:shd w:val="clear" w:color="auto" w:fill="D9D9D9" w:themeFill="background1" w:themeFillShade="D9"/>
            <w:noWrap/>
            <w:hideMark/>
          </w:tcPr>
          <w:p w14:paraId="1B65ACC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27.6</w:t>
            </w:r>
          </w:p>
        </w:tc>
        <w:tc>
          <w:tcPr>
            <w:tcW w:w="1389" w:type="dxa"/>
          </w:tcPr>
          <w:p w14:paraId="26A15A6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15.8</w:t>
            </w:r>
          </w:p>
        </w:tc>
        <w:tc>
          <w:tcPr>
            <w:tcW w:w="2552" w:type="dxa"/>
            <w:shd w:val="clear" w:color="auto" w:fill="auto"/>
          </w:tcPr>
          <w:p w14:paraId="171520A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at 30% total improvement on baseline by 2030; calibrated from global data and BAU projection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&lt;EndNote&gt;&lt;Cite&gt;&lt;Author&gt;West&lt;/Author&gt;&lt;Year&gt;2018&lt;/Year&gt;&lt;RecNum&gt;1048&lt;/RecNum&gt;&lt;DisplayText&gt;(West and Lieber, 2018)&lt;/DisplayText&gt;&lt;record&gt;&lt;rec-number&gt;1048&lt;/rec-number&gt;&lt;foreign-keys&gt;&lt;key app="EN" db-id="9vsrvaat7fadwtesfsrpw5w5t0x5v500ef25" timestamp="1565085299"&gt;1048&lt;/key&gt;&lt;/foreign-keys&gt;&lt;ref-type name="Dataset"&gt;59&lt;/ref-type&gt;&lt;contributors&gt;&lt;authors&gt;&lt;author&gt;West, J&lt;/author&gt;&lt;author&gt;Lieber, M&lt;/author&gt;&lt;/authors&gt;&lt;/contributors&gt;&lt;titles&gt;&lt;title&gt;Global Material Flows Database&lt;/title&gt;&lt;/titles&gt;&lt;dates&gt;&lt;year&gt;2018&lt;/year&gt;&lt;/dates&gt;&lt;pub-location&gt;Paris, France&lt;/pub-location&gt;&lt;urls&gt;&lt;related-urls&gt;&lt;url&gt;https://www.resourcepanel.org/global-material-flows-database&lt;/url&gt;&lt;/related-urls&gt;&lt;/urls&gt;&lt;access-date&gt;10/02/18&lt;/access-date&gt;&lt;/record&gt;&lt;/Cite&gt;&lt;/EndNote&gt;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(West and Lieber, 2018)</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Reduce by 60% by 2050 to bring closer to per capita planetary boundary of 7.2t. </w:t>
            </w:r>
          </w:p>
        </w:tc>
      </w:tr>
      <w:tr w:rsidR="003F50A4" w:rsidRPr="00FF510F" w14:paraId="3DC7C093" w14:textId="77777777" w:rsidTr="003F50A4">
        <w:trPr>
          <w:trHeight w:val="300"/>
        </w:trPr>
        <w:tc>
          <w:tcPr>
            <w:tcW w:w="510" w:type="dxa"/>
            <w:shd w:val="clear" w:color="auto" w:fill="auto"/>
          </w:tcPr>
          <w:p w14:paraId="315CC5B0"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4F18AC5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12.5 By 2030, substantially reduce waste generation through prevention, reduction, </w:t>
            </w:r>
            <w:proofErr w:type="gramStart"/>
            <w:r w:rsidRPr="00FF510F">
              <w:rPr>
                <w:rFonts w:ascii="Corbel" w:hAnsi="Corbel" w:cstheme="minorHAnsi"/>
                <w:sz w:val="16"/>
                <w:szCs w:val="16"/>
                <w:lang w:val="en-US"/>
              </w:rPr>
              <w:t>recycling</w:t>
            </w:r>
            <w:proofErr w:type="gramEnd"/>
            <w:r w:rsidRPr="00FF510F">
              <w:rPr>
                <w:rFonts w:ascii="Corbel" w:hAnsi="Corbel" w:cstheme="minorHAnsi"/>
                <w:sz w:val="16"/>
                <w:szCs w:val="16"/>
                <w:lang w:val="en-US"/>
              </w:rPr>
              <w:t xml:space="preserve"> and reuse</w:t>
            </w:r>
          </w:p>
        </w:tc>
        <w:tc>
          <w:tcPr>
            <w:tcW w:w="427" w:type="dxa"/>
            <w:tcBorders>
              <w:left w:val="single" w:sz="4" w:space="0" w:color="auto"/>
              <w:right w:val="single" w:sz="4" w:space="0" w:color="auto"/>
            </w:tcBorders>
          </w:tcPr>
          <w:p w14:paraId="50AA8987" w14:textId="7D96D8BC"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w:t>
            </w:r>
          </w:p>
        </w:tc>
        <w:tc>
          <w:tcPr>
            <w:tcW w:w="992" w:type="dxa"/>
            <w:tcBorders>
              <w:left w:val="single" w:sz="4" w:space="0" w:color="auto"/>
            </w:tcBorders>
            <w:shd w:val="clear" w:color="auto" w:fill="auto"/>
            <w:noWrap/>
          </w:tcPr>
          <w:p w14:paraId="396ADF2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12.5.1alt</w:t>
            </w:r>
          </w:p>
        </w:tc>
        <w:tc>
          <w:tcPr>
            <w:tcW w:w="2977" w:type="dxa"/>
            <w:tcBorders>
              <w:right w:val="single" w:sz="4" w:space="0" w:color="auto"/>
            </w:tcBorders>
            <w:shd w:val="clear" w:color="auto" w:fill="auto"/>
            <w:noWrap/>
          </w:tcPr>
          <w:p w14:paraId="53FEC72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Non-recycled municipal solid waste per capita </w:t>
            </w:r>
          </w:p>
        </w:tc>
        <w:tc>
          <w:tcPr>
            <w:tcW w:w="1276" w:type="dxa"/>
            <w:tcBorders>
              <w:left w:val="single" w:sz="4" w:space="0" w:color="auto"/>
            </w:tcBorders>
            <w:shd w:val="clear" w:color="auto" w:fill="auto"/>
          </w:tcPr>
          <w:p w14:paraId="702C39E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585.1</w:t>
            </w:r>
          </w:p>
        </w:tc>
        <w:tc>
          <w:tcPr>
            <w:tcW w:w="1134" w:type="dxa"/>
            <w:shd w:val="clear" w:color="auto" w:fill="D9D9D9" w:themeFill="background1" w:themeFillShade="D9"/>
            <w:noWrap/>
          </w:tcPr>
          <w:p w14:paraId="6BB5447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&lt;365</w:t>
            </w:r>
          </w:p>
        </w:tc>
        <w:tc>
          <w:tcPr>
            <w:tcW w:w="1389" w:type="dxa"/>
          </w:tcPr>
          <w:p w14:paraId="2410F12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-55%</w:t>
            </w:r>
          </w:p>
        </w:tc>
        <w:tc>
          <w:tcPr>
            <w:tcW w:w="2552" w:type="dxa"/>
            <w:shd w:val="clear" w:color="auto" w:fill="auto"/>
          </w:tcPr>
          <w:p w14:paraId="38FF861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Index green threshold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&lt;EndNote&gt;&lt;Cite&gt;&lt;Author&gt;Sachs&lt;/Author&gt;&lt;Year&gt;2021&lt;/Year&gt;&lt;RecNum&gt;1985&lt;/RecNum&gt;&lt;DisplayText&gt;(Sachs et al., 2021)&lt;/DisplayText&gt;&lt;record&gt;&lt;rec-number&gt;1985&lt;/rec-number&gt;&lt;foreign-keys&gt;&lt;key app="EN" db-id="9vsrvaat7fadwtesfsrpw5w5t0x5v500ef25" timestamp="1625554668"&gt;1985&lt;/key&gt;&lt;/foreign-keys&gt;&lt;ref-type name="Generic"&gt;13&lt;/ref-type&gt;&lt;contributors&gt;&lt;authors&gt;&lt;author&gt;Sachs, J&lt;/author&gt;&lt;author&gt;Kroll, C&lt;/author&gt;&lt;author&gt;Lafortune, G&lt;/author&gt;&lt;author&gt;Fuller, G&lt;/author&gt;&lt;author&gt;Woelm, F&lt;/author&gt;&lt;/authors&gt;&lt;/contributors&gt;&lt;titles&gt;&lt;title&gt;The Decade of Action for the Sustainable Development Goals: Sustainable Development Report 2021&lt;/title&gt;&lt;/titles&gt;&lt;dates&gt;&lt;year&gt;2021&lt;/year&gt;&lt;/dates&gt;&lt;pub-location&gt;Cambridge&lt;/pub-location&gt;&lt;publisher&gt;Cambridge University Press&lt;/publisher&gt;&lt;urls&gt;&lt;related-urls&gt;&lt;url&gt;https://www.sustainabledevelopment.report/&lt;/url&gt;&lt;/related-urls&gt;&lt;/urls&gt;&lt;/record&gt;&lt;/Cite&gt;&lt;/EndNote&gt;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(Sachs et al., 2021)</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based on top performing countries and OECD data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&lt;EndNote&gt;&lt;Cite&gt;&lt;Author&gt;MSDI&lt;/Author&gt;&lt;Year&gt;2020&lt;/Year&gt;&lt;RecNum&gt;1713&lt;/RecNum&gt;&lt;DisplayText&gt;(MSDI, 2020)&lt;/DisplayText&gt;&lt;record&gt;&lt;rec-number&gt;1713&lt;/rec-number&gt;&lt;foreign-keys&gt;&lt;key app="EN" db-id="9vsrvaat7fadwtesfsrpw5w5t0x5v500ef25" timestamp="1609189914"&gt;1713&lt;/key&gt;&lt;/foreign-keys&gt;&lt;ref-type name="Generic"&gt;13&lt;/ref-type&gt;&lt;contributors&gt;&lt;authors&gt;&lt;author&gt;MSDI,&lt;/author&gt;&lt;/authors&gt;&lt;/contributors&gt;&lt;titles&gt;&lt;title&gt;Transforming Australia 2020 Update&lt;/title&gt;&lt;/titles&gt;&lt;dates&gt;&lt;year&gt;2020&lt;/year&gt;&lt;/dates&gt;&lt;pub-location&gt;Melbourne&lt;/pub-location&gt;&lt;publisher&gt;Monash Sustainable Development Institute&lt;/publisher&gt;&lt;urls&gt;&lt;/urls&gt;&lt;electronic-resource-num&gt;https://www.sdgtransformingaustralia.com/&lt;/electronic-resource-num&gt;&lt;/record&gt;&lt;/Cite&gt;&lt;/EndNote&gt;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(MSDI, 2020)</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National Waste Action Plan (2020) has a target to reduce by around 35% by 2030.  Reduce by 55% by 2050.</w:t>
            </w:r>
          </w:p>
        </w:tc>
      </w:tr>
      <w:tr w:rsidR="003F50A4" w:rsidRPr="00FF510F" w14:paraId="28AC8E0F" w14:textId="77777777" w:rsidTr="003F50A4">
        <w:trPr>
          <w:trHeight w:val="54"/>
        </w:trPr>
        <w:tc>
          <w:tcPr>
            <w:tcW w:w="510" w:type="dxa"/>
            <w:shd w:val="clear" w:color="auto" w:fill="D9D9D9" w:themeFill="background1" w:themeFillShade="D9"/>
          </w:tcPr>
          <w:p w14:paraId="3333A54A" w14:textId="77777777" w:rsidR="003F50A4" w:rsidRPr="00FF510F" w:rsidRDefault="003F50A4" w:rsidP="007F346F">
            <w:pPr>
              <w:spacing w:after="0"/>
              <w:rPr>
                <w:rFonts w:ascii="Corbel" w:hAnsi="Corbel" w:cstheme="minorHAnsi"/>
                <w:sz w:val="8"/>
                <w:szCs w:val="8"/>
                <w:lang w:val="en-US"/>
              </w:rPr>
            </w:pPr>
          </w:p>
        </w:tc>
        <w:tc>
          <w:tcPr>
            <w:tcW w:w="4195" w:type="dxa"/>
            <w:tcBorders>
              <w:right w:val="single" w:sz="4" w:space="0" w:color="auto"/>
            </w:tcBorders>
            <w:shd w:val="clear" w:color="auto" w:fill="D9D9D9" w:themeFill="background1" w:themeFillShade="D9"/>
          </w:tcPr>
          <w:p w14:paraId="5F58D236" w14:textId="77777777" w:rsidR="003F50A4" w:rsidRPr="00FF510F" w:rsidRDefault="003F50A4" w:rsidP="007F346F">
            <w:pPr>
              <w:spacing w:after="0"/>
              <w:rPr>
                <w:rFonts w:ascii="Corbel" w:hAnsi="Corbel" w:cstheme="minorHAnsi"/>
                <w:sz w:val="8"/>
                <w:szCs w:val="8"/>
                <w:lang w:val="en-US"/>
              </w:rPr>
            </w:pPr>
          </w:p>
        </w:tc>
        <w:tc>
          <w:tcPr>
            <w:tcW w:w="427" w:type="dxa"/>
            <w:tcBorders>
              <w:left w:val="single" w:sz="4" w:space="0" w:color="auto"/>
              <w:right w:val="single" w:sz="4" w:space="0" w:color="auto"/>
            </w:tcBorders>
            <w:shd w:val="clear" w:color="auto" w:fill="D9D9D9" w:themeFill="background1" w:themeFillShade="D9"/>
          </w:tcPr>
          <w:p w14:paraId="2C5ABCC3"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30085264"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4A4DA018"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1F03836D"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64D5A3BE"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72F7A43C"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21648770" w14:textId="77777777" w:rsidR="003F50A4" w:rsidRPr="00FF510F" w:rsidRDefault="003F50A4" w:rsidP="007F346F">
            <w:pPr>
              <w:spacing w:after="0"/>
              <w:rPr>
                <w:rFonts w:ascii="Corbel" w:hAnsi="Corbel" w:cstheme="minorHAnsi"/>
                <w:sz w:val="8"/>
                <w:szCs w:val="8"/>
                <w:lang w:val="en-US"/>
              </w:rPr>
            </w:pPr>
          </w:p>
        </w:tc>
      </w:tr>
      <w:tr w:rsidR="003F50A4" w:rsidRPr="00FF510F" w14:paraId="5B55667C" w14:textId="77777777" w:rsidTr="003F50A4">
        <w:trPr>
          <w:trHeight w:val="300"/>
        </w:trPr>
        <w:tc>
          <w:tcPr>
            <w:tcW w:w="510" w:type="dxa"/>
            <w:shd w:val="clear" w:color="auto" w:fill="auto"/>
          </w:tcPr>
          <w:p w14:paraId="7ED29C0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13</w:t>
            </w:r>
          </w:p>
        </w:tc>
        <w:tc>
          <w:tcPr>
            <w:tcW w:w="4195" w:type="dxa"/>
            <w:tcBorders>
              <w:right w:val="single" w:sz="4" w:space="0" w:color="auto"/>
            </w:tcBorders>
            <w:shd w:val="clear" w:color="auto" w:fill="auto"/>
          </w:tcPr>
          <w:p w14:paraId="70B8BCC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13.1 Strengthen resilience and adaptive capacity to climate-related hazards and natural disasters in all countries</w:t>
            </w:r>
          </w:p>
        </w:tc>
        <w:tc>
          <w:tcPr>
            <w:tcW w:w="427" w:type="dxa"/>
            <w:tcBorders>
              <w:left w:val="single" w:sz="4" w:space="0" w:color="auto"/>
              <w:right w:val="single" w:sz="4" w:space="0" w:color="auto"/>
            </w:tcBorders>
          </w:tcPr>
          <w:p w14:paraId="0BA0D3E2" w14:textId="3579405A"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w:t>
            </w:r>
          </w:p>
        </w:tc>
        <w:tc>
          <w:tcPr>
            <w:tcW w:w="992" w:type="dxa"/>
            <w:tcBorders>
              <w:left w:val="single" w:sz="4" w:space="0" w:color="auto"/>
            </w:tcBorders>
            <w:shd w:val="clear" w:color="auto" w:fill="auto"/>
            <w:noWrap/>
            <w:hideMark/>
          </w:tcPr>
          <w:p w14:paraId="33ED441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13.1.2b</w:t>
            </w:r>
          </w:p>
        </w:tc>
        <w:tc>
          <w:tcPr>
            <w:tcW w:w="2977" w:type="dxa"/>
            <w:tcBorders>
              <w:right w:val="single" w:sz="4" w:space="0" w:color="auto"/>
            </w:tcBorders>
            <w:shd w:val="clear" w:color="auto" w:fill="auto"/>
            <w:noWrap/>
            <w:hideMark/>
          </w:tcPr>
          <w:p w14:paraId="305B038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Proportion of population affected by natural disasters five-year average (%)</w:t>
            </w:r>
          </w:p>
        </w:tc>
        <w:tc>
          <w:tcPr>
            <w:tcW w:w="1276" w:type="dxa"/>
            <w:tcBorders>
              <w:left w:val="single" w:sz="4" w:space="0" w:color="auto"/>
            </w:tcBorders>
            <w:shd w:val="clear" w:color="auto" w:fill="auto"/>
          </w:tcPr>
          <w:p w14:paraId="2EA2F03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0.0361</w:t>
            </w:r>
          </w:p>
        </w:tc>
        <w:tc>
          <w:tcPr>
            <w:tcW w:w="1134" w:type="dxa"/>
            <w:shd w:val="clear" w:color="auto" w:fill="D9D9D9" w:themeFill="background1" w:themeFillShade="D9"/>
            <w:noWrap/>
            <w:hideMark/>
          </w:tcPr>
          <w:p w14:paraId="3BE735B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0.018</w:t>
            </w:r>
          </w:p>
        </w:tc>
        <w:tc>
          <w:tcPr>
            <w:tcW w:w="1389" w:type="dxa"/>
          </w:tcPr>
          <w:p w14:paraId="30049A5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auto"/>
          </w:tcPr>
          <w:p w14:paraId="3BA2459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Sendai Framework DRR targets are to ‘substantially reduce’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&lt;EndNote&gt;&lt;Cite&gt;&lt;Author&gt;United Nations&lt;/Author&gt;&lt;Year&gt;2015&lt;/Year&gt;&lt;RecNum&gt;1060&lt;/RecNum&gt;&lt;DisplayText&gt;(United Nations, 2015)&lt;/DisplayText&gt;&lt;record&gt;&lt;rec-number&gt;1060&lt;/rec-number&gt;&lt;foreign-keys&gt;&lt;key app="EN" db-id="9vsrvaat7fadwtesfsrpw5w5t0x5v500ef25" timestamp="1565158494"&gt;1060&lt;/key&gt;&lt;/foreign-keys&gt;&lt;ref-type name="Generic"&gt;13&lt;/ref-type&gt;&lt;contributors&gt;&lt;authors&gt;&lt;author&gt;United Nations,&lt;/author&gt;&lt;/authors&gt;&lt;/contributors&gt;&lt;titles&gt;&lt;title&gt;Sendai Framework for Disaster Risk Reduction 2015-2030&lt;/title&gt;&lt;/titles&gt;&lt;dates&gt;&lt;year&gt;2015&lt;/year&gt;&lt;/dates&gt;&lt;pub-location&gt;New York&lt;/pub-location&gt;&lt;publisher&gt;United Nations Office for Disaster Risk Reduction&lt;/publisher&gt;&lt;urls&gt;&lt;related-urls&gt;&lt;url&gt;https://www.unisdr.org/we/inform/publications/43291&lt;/url&gt;&lt;/related-urls&gt;&lt;/urls&gt;&lt;/record&gt;&lt;/Cite&gt;&lt;/EndNote&gt;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 xml:space="preserve">(United </w:t>
            </w:r>
            <w:r w:rsidRPr="00FF510F">
              <w:rPr>
                <w:rFonts w:ascii="Corbel" w:hAnsi="Corbel" w:cstheme="minorHAnsi"/>
                <w:noProof/>
                <w:sz w:val="16"/>
                <w:szCs w:val="16"/>
                <w:lang w:val="en-US"/>
              </w:rPr>
              <w:lastRenderedPageBreak/>
              <w:t>Nations,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target set as 30% improvement on baseline value.</w:t>
            </w:r>
          </w:p>
        </w:tc>
      </w:tr>
      <w:tr w:rsidR="003F50A4" w:rsidRPr="00FF510F" w14:paraId="4F0E9D1D" w14:textId="77777777" w:rsidTr="003F50A4">
        <w:trPr>
          <w:trHeight w:val="300"/>
        </w:trPr>
        <w:tc>
          <w:tcPr>
            <w:tcW w:w="510" w:type="dxa"/>
            <w:shd w:val="clear" w:color="auto" w:fill="auto"/>
          </w:tcPr>
          <w:p w14:paraId="764983B4"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7D4E765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13.2 Integrate climate change measures into national policies, </w:t>
            </w:r>
            <w:proofErr w:type="gramStart"/>
            <w:r w:rsidRPr="00FF510F">
              <w:rPr>
                <w:rFonts w:ascii="Corbel" w:hAnsi="Corbel" w:cstheme="minorHAnsi"/>
                <w:sz w:val="16"/>
                <w:szCs w:val="16"/>
                <w:lang w:val="en-US"/>
              </w:rPr>
              <w:t>strategies</w:t>
            </w:r>
            <w:proofErr w:type="gramEnd"/>
            <w:r w:rsidRPr="00FF510F">
              <w:rPr>
                <w:rFonts w:ascii="Corbel" w:hAnsi="Corbel" w:cstheme="minorHAnsi"/>
                <w:sz w:val="16"/>
                <w:szCs w:val="16"/>
                <w:lang w:val="en-US"/>
              </w:rPr>
              <w:t xml:space="preserve"> and planning</w:t>
            </w:r>
          </w:p>
        </w:tc>
        <w:tc>
          <w:tcPr>
            <w:tcW w:w="427" w:type="dxa"/>
            <w:tcBorders>
              <w:left w:val="single" w:sz="4" w:space="0" w:color="auto"/>
              <w:right w:val="single" w:sz="4" w:space="0" w:color="auto"/>
            </w:tcBorders>
          </w:tcPr>
          <w:p w14:paraId="4E6A666E" w14:textId="1921230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4</w:t>
            </w:r>
          </w:p>
        </w:tc>
        <w:tc>
          <w:tcPr>
            <w:tcW w:w="992" w:type="dxa"/>
            <w:tcBorders>
              <w:left w:val="single" w:sz="4" w:space="0" w:color="auto"/>
            </w:tcBorders>
            <w:shd w:val="clear" w:color="auto" w:fill="auto"/>
            <w:noWrap/>
          </w:tcPr>
          <w:p w14:paraId="62E8715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13.2.2</w:t>
            </w:r>
          </w:p>
        </w:tc>
        <w:tc>
          <w:tcPr>
            <w:tcW w:w="2977" w:type="dxa"/>
            <w:tcBorders>
              <w:right w:val="single" w:sz="4" w:space="0" w:color="auto"/>
            </w:tcBorders>
            <w:shd w:val="clear" w:color="auto" w:fill="auto"/>
            <w:noWrap/>
          </w:tcPr>
          <w:p w14:paraId="0A51C9B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Total greenhouse gas emissions (excluding LULUCF) (tons CO2-e)</w:t>
            </w:r>
          </w:p>
        </w:tc>
        <w:tc>
          <w:tcPr>
            <w:tcW w:w="1276" w:type="dxa"/>
            <w:tcBorders>
              <w:left w:val="single" w:sz="4" w:space="0" w:color="auto"/>
            </w:tcBorders>
            <w:shd w:val="clear" w:color="auto" w:fill="auto"/>
          </w:tcPr>
          <w:p w14:paraId="7EB5200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540.12m</w:t>
            </w:r>
          </w:p>
        </w:tc>
        <w:tc>
          <w:tcPr>
            <w:tcW w:w="1134" w:type="dxa"/>
            <w:shd w:val="clear" w:color="auto" w:fill="D9D9D9" w:themeFill="background1" w:themeFillShade="D9"/>
            <w:noWrap/>
          </w:tcPr>
          <w:p w14:paraId="059B0B4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324.1</w:t>
            </w:r>
          </w:p>
        </w:tc>
        <w:tc>
          <w:tcPr>
            <w:tcW w:w="1389" w:type="dxa"/>
          </w:tcPr>
          <w:p w14:paraId="280D89E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83.9</w:t>
            </w:r>
          </w:p>
        </w:tc>
        <w:tc>
          <w:tcPr>
            <w:tcW w:w="2552" w:type="dxa"/>
            <w:shd w:val="clear" w:color="auto" w:fill="auto"/>
          </w:tcPr>
          <w:p w14:paraId="2A7113BA" w14:textId="0988489F"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as 40% improvement on baseline by 2030 from National Sustainable Development Council </w:t>
            </w:r>
            <w:r w:rsidRPr="00FF510F">
              <w:rPr>
                <w:rFonts w:ascii="Corbel" w:hAnsi="Corbel" w:cstheme="minorHAnsi"/>
                <w:sz w:val="16"/>
                <w:szCs w:val="16"/>
                <w:lang w:val="en-US"/>
              </w:rPr>
              <w:fldChar w:fldCharType="begin"/>
            </w:r>
            <w:r w:rsidR="006E27EC">
              <w:rPr>
                <w:rFonts w:ascii="Corbel" w:hAnsi="Corbel" w:cstheme="minorHAnsi"/>
                <w:sz w:val="16"/>
                <w:szCs w:val="16"/>
                <w:lang w:val="en-US"/>
              </w:rPr>
              <w:instrText xml:space="preserve"> ADDIN EN.CITE &lt;EndNote&gt;&lt;Cite&gt;&lt;Author&gt;Allen&lt;/Author&gt;&lt;Year&gt;2019&lt;/Year&gt;&lt;RecNum&gt;835&lt;/RecNum&gt;&lt;DisplayText&gt;(Allen et al., 2019)&lt;/DisplayText&gt;&lt;record&gt;&lt;rec-number&gt;835&lt;/rec-number&gt;&lt;foreign-keys&gt;&lt;key app="EN" db-id="9vsrvaat7fadwtesfsrpw5w5t0x5v500ef25" timestamp="1539009388"&gt;835&lt;/key&gt;&lt;/foreign-keys&gt;&lt;ref-type name="Journal Article"&gt;17&lt;/ref-type&gt;&lt;contributors&gt;&lt;authors&gt;&lt;author&gt;Allen, C&lt;/author&gt;&lt;author&gt;Reid, M&lt;/author&gt;&lt;author&gt;Thwaites, JW&lt;/author&gt;&lt;author&gt;Glover, R&lt;/author&gt;&lt;author&gt;Kestin, T&lt;/author&gt;&lt;/authors&gt;&lt;/contributors&gt;&lt;titles&gt;&lt;title&gt;Assessing national progress and priorities for the Sustainable Development Goals (SDGs): experience from Australia&lt;/title&gt;&lt;secondary-title&gt;Sustainability Science&lt;/secondary-title&gt;&lt;/titles&gt;&lt;periodical&gt;&lt;full-title&gt;Sustainability science&lt;/full-title&gt;&lt;/periodical&gt;&lt;pages&gt;521-538&lt;/pages&gt;&lt;volume&gt;15&lt;/volume&gt;&lt;dates&gt;&lt;year&gt;2019&lt;/year&gt;&lt;/dates&gt;&lt;urls&gt;&lt;/urls&gt;&lt;electronic-resource-num&gt;https://doi.org/10.1007/s11625-019-00711-x&lt;/electronic-resource-num&gt;&lt;/record&gt;&lt;/Cite&gt;&lt;/EndNote&gt;</w:instrText>
            </w:r>
            <w:r w:rsidRPr="00FF510F">
              <w:rPr>
                <w:rFonts w:ascii="Corbel" w:hAnsi="Corbel" w:cstheme="minorHAnsi"/>
                <w:sz w:val="16"/>
                <w:szCs w:val="16"/>
                <w:lang w:val="en-US"/>
              </w:rPr>
              <w:fldChar w:fldCharType="separate"/>
            </w:r>
            <w:r w:rsidR="006E27EC">
              <w:rPr>
                <w:rFonts w:ascii="Corbel" w:hAnsi="Corbel" w:cstheme="minorHAnsi"/>
                <w:noProof/>
                <w:sz w:val="16"/>
                <w:szCs w:val="16"/>
                <w:lang w:val="en-US"/>
              </w:rPr>
              <w:t>(Allen et al., 2019)</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and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 AuthorYear="1"&gt;&lt;Author&gt;ClimateWorks Australia&lt;/Author&gt;&lt;Year&gt;2020&lt;/Year&gt;&lt;RecNum&gt;1484&lt;/RecNum&gt;&lt;DisplayText&gt;ClimateWorks Australia (2020)&lt;/DisplayText&gt;&lt;record&gt;&lt;rec-number&gt;1484&lt;/rec-number&gt;&lt;foreign-keys&gt;&lt;key app="EN" db-id="9vsrvaat7fadwtesfsrpw5w5t0x5v500ef25" timestamp="1600963142"&gt;1484&lt;/key&gt;&lt;/foreign-keys&gt;&lt;ref-type name="Generic"&gt;13&lt;/ref-type&gt;&lt;contributors&gt;&lt;authors&gt;&lt;author&gt;ClimateWorks Australia,&lt;/author&gt;&lt;/authors&gt;&lt;/contributors&gt;&lt;titles&gt;&lt;title&gt;Decarbonisation Futures: Solutions, actions and benchmarks for a net zero emissions Australia&lt;/title&gt;&lt;/titles&gt;&lt;dates&gt;&lt;year&gt;2020&lt;/year&gt;&lt;/dates&gt;&lt;pub-location&gt;Melbourne&lt;/pub-location&gt;&lt;publisher&gt;ClimateWorks&lt;/publisher&gt;&lt;urls&gt;&lt;/urls&gt;&lt;/record&gt;&lt;/Cite&gt;&lt;/EndNote&gt;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ClimateWorks Australia (2020)</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and calibrated from baseline data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&lt;EndNote&gt;&lt;Cite&gt;&lt;Author&gt;Australian Department of the Environment and Energy&lt;/Author&gt;&lt;Year&gt;2017&lt;/Year&gt;&lt;RecNum&gt;1079&lt;/RecNum&gt;&lt;DisplayText&gt;(Australian Department of the Environment and Energy, 2017)&lt;/DisplayText&gt;&lt;record&gt;&lt;rec-number&gt;1079&lt;/rec-number&gt;&lt;foreign-keys&gt;&lt;key app="EN" db-id="9vsrvaat7fadwtesfsrpw5w5t0x5v500ef25" timestamp="1565226049"&gt;1079&lt;/key&gt;&lt;/foreign-keys&gt;&lt;ref-type name="Generic"&gt;13&lt;/ref-type&gt;&lt;contributors&gt;&lt;authors&gt;&lt;author&gt;Australian Department of the Environment and Energy,&lt;/author&gt;&lt;/authors&gt;&lt;/contributors&gt;&lt;titles&gt;&lt;title&gt;Australia&amp;apos;s emissions projections 2017&lt;/title&gt;&lt;/titles&gt;&lt;dates&gt;&lt;year&gt;2017&lt;/year&gt;&lt;/dates&gt;&lt;pub-location&gt;Canberra, Australia&lt;/pub-location&gt;&lt;publisher&gt;Australian Government&lt;/publisher&gt;&lt;urls&gt;&lt;related-urls&gt;&lt;url&gt;http://www.environment.gov.au/system/files/resources/eb62f30f-3e0f-4bfa-bb7a-c87818160fcf/files/australia-emissions-projections-2017.pdf&lt;/url&gt;&lt;/related-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(Australian Department of the Environment and Energy, 2017)</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Target of 85% reduction by 2050.</w:t>
            </w:r>
          </w:p>
        </w:tc>
      </w:tr>
      <w:tr w:rsidR="003F50A4" w:rsidRPr="00FF510F" w14:paraId="6EE625F3" w14:textId="77777777" w:rsidTr="003F50A4">
        <w:trPr>
          <w:trHeight w:val="300"/>
        </w:trPr>
        <w:tc>
          <w:tcPr>
            <w:tcW w:w="510" w:type="dxa"/>
            <w:shd w:val="clear" w:color="auto" w:fill="auto"/>
          </w:tcPr>
          <w:p w14:paraId="7EAE3381"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7BFAD11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13.2</w:t>
            </w:r>
          </w:p>
        </w:tc>
        <w:tc>
          <w:tcPr>
            <w:tcW w:w="427" w:type="dxa"/>
            <w:tcBorders>
              <w:left w:val="single" w:sz="4" w:space="0" w:color="auto"/>
              <w:right w:val="single" w:sz="4" w:space="0" w:color="auto"/>
            </w:tcBorders>
          </w:tcPr>
          <w:p w14:paraId="03CD5F22" w14:textId="497E9FF2"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w:t>
            </w:r>
          </w:p>
        </w:tc>
        <w:tc>
          <w:tcPr>
            <w:tcW w:w="992" w:type="dxa"/>
            <w:tcBorders>
              <w:left w:val="single" w:sz="4" w:space="0" w:color="auto"/>
            </w:tcBorders>
            <w:shd w:val="clear" w:color="auto" w:fill="auto"/>
            <w:noWrap/>
          </w:tcPr>
          <w:p w14:paraId="78C75C1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13.</w:t>
            </w:r>
            <w:proofErr w:type="gramStart"/>
            <w:r w:rsidRPr="00FF510F">
              <w:rPr>
                <w:rFonts w:ascii="Corbel" w:hAnsi="Corbel" w:cstheme="minorHAnsi"/>
                <w:sz w:val="16"/>
                <w:szCs w:val="16"/>
                <w:lang w:val="en-US"/>
              </w:rPr>
              <w:t>2.NEW</w:t>
            </w:r>
            <w:proofErr w:type="gramEnd"/>
            <w:r w:rsidRPr="00FF510F">
              <w:rPr>
                <w:rFonts w:ascii="Corbel" w:hAnsi="Corbel" w:cstheme="minorHAnsi"/>
                <w:sz w:val="16"/>
                <w:szCs w:val="16"/>
                <w:lang w:val="en-US"/>
              </w:rPr>
              <w:t>2</w:t>
            </w:r>
          </w:p>
        </w:tc>
        <w:tc>
          <w:tcPr>
            <w:tcW w:w="2977" w:type="dxa"/>
            <w:tcBorders>
              <w:right w:val="single" w:sz="4" w:space="0" w:color="auto"/>
            </w:tcBorders>
            <w:shd w:val="clear" w:color="auto" w:fill="auto"/>
            <w:noWrap/>
          </w:tcPr>
          <w:p w14:paraId="1324B5C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Greenhouse gas emissions per capita (tons CO2-e /person/year) (excluding LULUCF)</w:t>
            </w:r>
          </w:p>
        </w:tc>
        <w:tc>
          <w:tcPr>
            <w:tcW w:w="1276" w:type="dxa"/>
            <w:tcBorders>
              <w:left w:val="single" w:sz="4" w:space="0" w:color="auto"/>
            </w:tcBorders>
            <w:shd w:val="clear" w:color="auto" w:fill="auto"/>
          </w:tcPr>
          <w:p w14:paraId="025F2C0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23.4</w:t>
            </w:r>
          </w:p>
        </w:tc>
        <w:tc>
          <w:tcPr>
            <w:tcW w:w="1134" w:type="dxa"/>
            <w:shd w:val="clear" w:color="auto" w:fill="D9D9D9" w:themeFill="background1" w:themeFillShade="D9"/>
            <w:noWrap/>
          </w:tcPr>
          <w:p w14:paraId="1829B98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13.6</w:t>
            </w:r>
          </w:p>
        </w:tc>
        <w:tc>
          <w:tcPr>
            <w:tcW w:w="1389" w:type="dxa"/>
          </w:tcPr>
          <w:p w14:paraId="13BE47F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2.3</w:t>
            </w:r>
          </w:p>
        </w:tc>
        <w:tc>
          <w:tcPr>
            <w:tcW w:w="2552" w:type="dxa"/>
            <w:shd w:val="clear" w:color="auto" w:fill="auto"/>
          </w:tcPr>
          <w:p w14:paraId="05DC48EB" w14:textId="174FA20D"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as 40% improvement on baseline from National Sustainable Development Council </w:t>
            </w:r>
            <w:r w:rsidRPr="00FF510F">
              <w:rPr>
                <w:rFonts w:ascii="Corbel" w:hAnsi="Corbel" w:cstheme="minorHAnsi"/>
                <w:sz w:val="16"/>
                <w:szCs w:val="16"/>
                <w:lang w:val="en-US"/>
              </w:rPr>
              <w:fldChar w:fldCharType="begin"/>
            </w:r>
            <w:r w:rsidR="006E27EC">
              <w:rPr>
                <w:rFonts w:ascii="Corbel" w:hAnsi="Corbel" w:cstheme="minorHAnsi"/>
                <w:sz w:val="16"/>
                <w:szCs w:val="16"/>
                <w:lang w:val="en-US"/>
              </w:rPr>
              <w:instrText xml:space="preserve"> ADDIN EN.CITE &lt;EndNote&gt;&lt;Cite&gt;&lt;Author&gt;Allen&lt;/Author&gt;&lt;Year&gt;2019&lt;/Year&gt;&lt;RecNum&gt;835&lt;/RecNum&gt;&lt;DisplayText&gt;(Allen et al., 2019)&lt;/DisplayText&gt;&lt;record&gt;&lt;rec-number&gt;835&lt;/rec-number&gt;&lt;foreign-keys&gt;&lt;key app="EN" db-id="9vsrvaat7fadwtesfsrpw5w5t0x5v500ef25" timestamp="1539009388"&gt;835&lt;/key&gt;&lt;/foreign-keys&gt;&lt;ref-type name="Journal Article"&gt;17&lt;/ref-type&gt;&lt;contributors&gt;&lt;authors&gt;&lt;author&gt;Allen, C&lt;/author&gt;&lt;author&gt;Reid, M&lt;/author&gt;&lt;author&gt;Thwaites, JW&lt;/author&gt;&lt;author&gt;Glover, R&lt;/author&gt;&lt;author&gt;Kestin, T&lt;/author&gt;&lt;/authors&gt;&lt;/contributors&gt;&lt;titles&gt;&lt;title&gt;Assessing national progress and priorities for the Sustainable Development Goals (SDGs): experience from Australia&lt;/title&gt;&lt;secondary-title&gt;Sustainability Science&lt;/secondary-title&gt;&lt;/titles&gt;&lt;periodical&gt;&lt;full-title&gt;Sustainability science&lt;/full-title&gt;&lt;/periodical&gt;&lt;pages&gt;521-538&lt;/pages&gt;&lt;volume&gt;15&lt;/volume&gt;&lt;dates&gt;&lt;year&gt;2019&lt;/year&gt;&lt;/dates&gt;&lt;urls&gt;&lt;/urls&gt;&lt;electronic-resource-num&gt;https://doi.org/10.1007/s11625-019-00711-x&lt;/electronic-resource-num&gt;&lt;/record&gt;&lt;/Cite&gt;&lt;/EndNote&gt;</w:instrText>
            </w:r>
            <w:r w:rsidRPr="00FF510F">
              <w:rPr>
                <w:rFonts w:ascii="Corbel" w:hAnsi="Corbel" w:cstheme="minorHAnsi"/>
                <w:sz w:val="16"/>
                <w:szCs w:val="16"/>
                <w:lang w:val="en-US"/>
              </w:rPr>
              <w:fldChar w:fldCharType="separate"/>
            </w:r>
            <w:r w:rsidR="006E27EC">
              <w:rPr>
                <w:rFonts w:ascii="Corbel" w:hAnsi="Corbel" w:cstheme="minorHAnsi"/>
                <w:noProof/>
                <w:sz w:val="16"/>
                <w:szCs w:val="16"/>
                <w:lang w:val="en-US"/>
              </w:rPr>
              <w:t>(Allen et al., 2019)</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and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 AuthorYear="1"&gt;&lt;Author&gt;ClimateWorks Australia&lt;/Author&gt;&lt;Year&gt;2020&lt;/Year&gt;&lt;RecNum&gt;1484&lt;/RecNum&gt;&lt;DisplayText&gt;ClimateWorks Australia (2020)&lt;/DisplayText&gt;&lt;record&gt;&lt;rec-number&gt;1484&lt;/rec-number&gt;&lt;foreign-keys&gt;&lt;key app="EN" db-id="9vsrvaat7fadwtesfsrpw5w5t0x5v500ef25" timestamp="1600963142"&gt;1484&lt;/key&gt;&lt;/foreign-keys&gt;&lt;ref-type name="Generic"&gt;13&lt;/ref-type&gt;&lt;contributors&gt;&lt;authors&gt;&lt;author&gt;ClimateWorks Australia,&lt;/author&gt;&lt;/authors&gt;&lt;/contributors&gt;&lt;titles&gt;&lt;title&gt;Decarbonisation Futures: Solutions, actions and benchmarks for a net zero emissions Australia&lt;/title&gt;&lt;/titles&gt;&lt;dates&gt;&lt;year&gt;2020&lt;/year&gt;&lt;/dates&gt;&lt;pub-location&gt;Melbourne&lt;/pub-location&gt;&lt;publisher&gt;ClimateWorks&lt;/publisher&gt;&lt;urls&gt;&lt;/urls&gt;&lt;/record&gt;&lt;/Cite&gt;&lt;/EndNote&gt;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ClimateWorks Australia (2020)</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calibrated from baseline data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&lt;EndNote&gt;&lt;Cite&gt;&lt;Author&gt;Australian Department of the Environment and Energy&lt;/Author&gt;&lt;Year&gt;2017&lt;/Year&gt;&lt;RecNum&gt;1079&lt;/RecNum&gt;&lt;DisplayText&gt;(Australian Department of the Environment and Energy, 2017)&lt;/DisplayText&gt;&lt;record&gt;&lt;rec-number&gt;1079&lt;/rec-number&gt;&lt;foreign-keys&gt;&lt;key app="EN" db-id="9vsrvaat7fadwtesfsrpw5w5t0x5v500ef25" timestamp="1565226049"&gt;1079&lt;/key&gt;&lt;/foreign-keys&gt;&lt;ref-type name="Generic"&gt;13&lt;/ref-type&gt;&lt;contributors&gt;&lt;authors&gt;&lt;author&gt;Australian Department of the Environment and Energy,&lt;/author&gt;&lt;/authors&gt;&lt;/contributors&gt;&lt;titles&gt;&lt;title&gt;Australia&amp;apos;s emissions projections 2017&lt;/title&gt;&lt;/titles&gt;&lt;dates&gt;&lt;year&gt;2017&lt;/year&gt;&lt;/dates&gt;&lt;pub-location&gt;Canberra, Australia&lt;/pub-location&gt;&lt;publisher&gt;Australian Government&lt;/publisher&gt;&lt;urls&gt;&lt;related-urls&gt;&lt;url&gt;http://www.environment.gov.au/system/files/resources/eb62f30f-3e0f-4bfa-bb7a-c87818160fcf/files/australia-emissions-projections-2017.pdf&lt;/url&gt;&lt;/related-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(Australian Department of the Environment and Energy, 2017)</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Target of 90% reduction by 2050 to bring close to per capita planetary boundary of 1.6t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&lt;EndNote&gt;&lt;Cite&gt;&lt;Author&gt;O’Neill&lt;/Author&gt;&lt;Year&gt;2018&lt;/Year&gt;&lt;RecNum&gt;1213&lt;/RecNum&gt;&lt;DisplayText&gt;(O’Neill et al., 2018)&lt;/DisplayText&gt;&lt;record&gt;&lt;rec-number&gt;1213&lt;/rec-number&gt;&lt;foreign-keys&gt;&lt;key app="EN" db-id="9vsrvaat7fadwtesfsrpw5w5t0x5v500ef25" timestamp="1578984484"&gt;1213&lt;/key&gt;&lt;/foreign-keys&gt;&lt;ref-type name="Journal Article"&gt;17&lt;/ref-type&gt;&lt;contributors&gt;&lt;authors&gt;&lt;author&gt;O’Neill, Daniel W&lt;/author&gt;&lt;author&gt;Fanning, Andrew L&lt;/author&gt;&lt;author&gt;Lamb, William F&lt;/author&gt;&lt;author&gt;Steinberger, Julia K&lt;/author&gt;&lt;/authors&gt;&lt;/contributors&gt;&lt;titles&gt;&lt;title&gt;A good life for all within planetary boundaries&lt;/title&gt;&lt;secondary-title&gt;Nature Sustainability&lt;/secondary-title&gt;&lt;/titles&gt;&lt;periodical&gt;&lt;full-title&gt;Nature Sustainability&lt;/full-title&gt;&lt;/periodical&gt;&lt;pages&gt;88&lt;/pages&gt;&lt;volume&gt;1&lt;/volume&gt;&lt;number&gt;2&lt;/number&gt;&lt;dates&gt;&lt;year&gt;2018&lt;/year&gt;&lt;/dates&gt;&lt;isbn&gt;2398-9629&lt;/isbn&gt;&lt;urls&gt;&lt;/urls&gt;&lt;electronic-resource-num&gt;https://doi.org/10.1038/s41893-018-0021-4&lt;/electronic-resource-num&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(O’Neill et al., 2018)</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6E65A417" w14:textId="77777777" w:rsidTr="003F50A4">
        <w:trPr>
          <w:trHeight w:val="55"/>
        </w:trPr>
        <w:tc>
          <w:tcPr>
            <w:tcW w:w="510" w:type="dxa"/>
            <w:shd w:val="clear" w:color="auto" w:fill="D9D9D9" w:themeFill="background1" w:themeFillShade="D9"/>
          </w:tcPr>
          <w:p w14:paraId="0E4ADF87" w14:textId="77777777" w:rsidR="003F50A4" w:rsidRPr="00FF510F" w:rsidRDefault="003F50A4" w:rsidP="007F346F">
            <w:pPr>
              <w:spacing w:after="0"/>
              <w:rPr>
                <w:rFonts w:ascii="Corbel" w:hAnsi="Corbel" w:cstheme="minorHAnsi"/>
                <w:sz w:val="8"/>
                <w:szCs w:val="8"/>
                <w:lang w:val="en-US"/>
              </w:rPr>
            </w:pPr>
          </w:p>
        </w:tc>
        <w:tc>
          <w:tcPr>
            <w:tcW w:w="4195" w:type="dxa"/>
            <w:tcBorders>
              <w:right w:val="single" w:sz="4" w:space="0" w:color="auto"/>
            </w:tcBorders>
            <w:shd w:val="clear" w:color="auto" w:fill="D9D9D9" w:themeFill="background1" w:themeFillShade="D9"/>
          </w:tcPr>
          <w:p w14:paraId="696E0872" w14:textId="77777777" w:rsidR="003F50A4" w:rsidRPr="00FF510F" w:rsidRDefault="003F50A4" w:rsidP="007F346F">
            <w:pPr>
              <w:spacing w:after="0"/>
              <w:rPr>
                <w:rFonts w:ascii="Corbel" w:hAnsi="Corbel" w:cstheme="minorHAnsi"/>
                <w:sz w:val="8"/>
                <w:szCs w:val="8"/>
                <w:lang w:val="en-US"/>
              </w:rPr>
            </w:pPr>
          </w:p>
        </w:tc>
        <w:tc>
          <w:tcPr>
            <w:tcW w:w="427" w:type="dxa"/>
            <w:tcBorders>
              <w:left w:val="single" w:sz="4" w:space="0" w:color="auto"/>
              <w:right w:val="single" w:sz="4" w:space="0" w:color="auto"/>
            </w:tcBorders>
            <w:shd w:val="clear" w:color="auto" w:fill="D9D9D9" w:themeFill="background1" w:themeFillShade="D9"/>
          </w:tcPr>
          <w:p w14:paraId="63DBF1D7"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07D9B940"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46A46E31"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2D243282"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60B25D7F"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35B9BAC9"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313F8F35" w14:textId="77777777" w:rsidR="003F50A4" w:rsidRPr="00FF510F" w:rsidRDefault="003F50A4" w:rsidP="007F346F">
            <w:pPr>
              <w:spacing w:after="0"/>
              <w:rPr>
                <w:rFonts w:ascii="Corbel" w:hAnsi="Corbel" w:cstheme="minorHAnsi"/>
                <w:sz w:val="8"/>
                <w:szCs w:val="8"/>
                <w:lang w:val="en-US"/>
              </w:rPr>
            </w:pPr>
          </w:p>
        </w:tc>
      </w:tr>
      <w:tr w:rsidR="003F50A4" w:rsidRPr="00FF510F" w14:paraId="4261996B" w14:textId="77777777" w:rsidTr="003F50A4">
        <w:trPr>
          <w:trHeight w:val="300"/>
        </w:trPr>
        <w:tc>
          <w:tcPr>
            <w:tcW w:w="510" w:type="dxa"/>
            <w:shd w:val="clear" w:color="auto" w:fill="auto"/>
          </w:tcPr>
          <w:p w14:paraId="4C54FD4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14</w:t>
            </w:r>
          </w:p>
        </w:tc>
        <w:tc>
          <w:tcPr>
            <w:tcW w:w="4195" w:type="dxa"/>
            <w:tcBorders>
              <w:right w:val="single" w:sz="4" w:space="0" w:color="auto"/>
            </w:tcBorders>
            <w:shd w:val="clear" w:color="auto" w:fill="auto"/>
          </w:tcPr>
          <w:p w14:paraId="7384FDB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14.4 By 2020, effectively regulate harvesting and end overfishing, illegal, </w:t>
            </w:r>
            <w:proofErr w:type="gramStart"/>
            <w:r w:rsidRPr="00FF510F">
              <w:rPr>
                <w:rFonts w:ascii="Corbel" w:hAnsi="Corbel" w:cstheme="minorHAnsi"/>
                <w:sz w:val="16"/>
                <w:szCs w:val="16"/>
                <w:lang w:val="en-US"/>
              </w:rPr>
              <w:t>unreported</w:t>
            </w:r>
            <w:proofErr w:type="gramEnd"/>
            <w:r w:rsidRPr="00FF510F">
              <w:rPr>
                <w:rFonts w:ascii="Corbel" w:hAnsi="Corbel" w:cstheme="minorHAnsi"/>
                <w:sz w:val="16"/>
                <w:szCs w:val="16"/>
                <w:lang w:val="en-US"/>
              </w:rPr>
              <w:t xml:space="preserve"> and unregulated fishing and destructive fishing practices and implement science-based management plans, in order to restore fish stocks in the shortest time feasible, at least to levels that can produce maximum sustainable yield as determined by their biological characteristics</w:t>
            </w:r>
          </w:p>
        </w:tc>
        <w:tc>
          <w:tcPr>
            <w:tcW w:w="427" w:type="dxa"/>
            <w:tcBorders>
              <w:left w:val="single" w:sz="4" w:space="0" w:color="auto"/>
              <w:right w:val="single" w:sz="4" w:space="0" w:color="auto"/>
            </w:tcBorders>
          </w:tcPr>
          <w:p w14:paraId="3222A54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w:t>
            </w:r>
          </w:p>
        </w:tc>
        <w:tc>
          <w:tcPr>
            <w:tcW w:w="992" w:type="dxa"/>
            <w:tcBorders>
              <w:left w:val="single" w:sz="4" w:space="0" w:color="auto"/>
            </w:tcBorders>
            <w:shd w:val="clear" w:color="auto" w:fill="auto"/>
            <w:noWrap/>
            <w:hideMark/>
          </w:tcPr>
          <w:p w14:paraId="762BF0A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14.4.1</w:t>
            </w:r>
          </w:p>
        </w:tc>
        <w:tc>
          <w:tcPr>
            <w:tcW w:w="2977" w:type="dxa"/>
            <w:tcBorders>
              <w:right w:val="single" w:sz="4" w:space="0" w:color="auto"/>
            </w:tcBorders>
            <w:shd w:val="clear" w:color="auto" w:fill="auto"/>
            <w:noWrap/>
            <w:hideMark/>
          </w:tcPr>
          <w:p w14:paraId="0EBB4E2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Proportion of fish stocks sustainably exploited (%)</w:t>
            </w:r>
          </w:p>
        </w:tc>
        <w:tc>
          <w:tcPr>
            <w:tcW w:w="1276" w:type="dxa"/>
            <w:tcBorders>
              <w:left w:val="single" w:sz="4" w:space="0" w:color="auto"/>
            </w:tcBorders>
            <w:shd w:val="clear" w:color="auto" w:fill="auto"/>
          </w:tcPr>
          <w:p w14:paraId="42B1AC7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0.43</w:t>
            </w:r>
          </w:p>
        </w:tc>
        <w:tc>
          <w:tcPr>
            <w:tcW w:w="1134" w:type="dxa"/>
            <w:shd w:val="clear" w:color="auto" w:fill="D9D9D9" w:themeFill="background1" w:themeFillShade="D9"/>
            <w:noWrap/>
            <w:hideMark/>
          </w:tcPr>
          <w:p w14:paraId="3531647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0.48</w:t>
            </w:r>
          </w:p>
        </w:tc>
        <w:tc>
          <w:tcPr>
            <w:tcW w:w="1389" w:type="dxa"/>
          </w:tcPr>
          <w:p w14:paraId="42E6DA0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0.56</w:t>
            </w:r>
          </w:p>
        </w:tc>
        <w:tc>
          <w:tcPr>
            <w:tcW w:w="2552" w:type="dxa"/>
            <w:shd w:val="clear" w:color="auto" w:fill="auto"/>
          </w:tcPr>
          <w:p w14:paraId="2D481BD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as halt decline and improve by 10% on baseline value by 2030; calibrated from timeseries data (max= 0.85)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&lt;EndNote&gt;&lt;Cite&gt;&lt;Author&gt;Kleisner&lt;/Author&gt;&lt;Year&gt;2015&lt;/Year&gt;&lt;RecNum&gt;1085&lt;/RecNum&gt;&lt;DisplayText&gt;(Kleisner et al., 2015, Pauly and Zeller, 2015)&lt;/DisplayText&gt;&lt;record&gt;&lt;rec-number&gt;1085&lt;/rec-number&gt;&lt;foreign-keys&gt;&lt;key app="EN" db-id="9vsrvaat7fadwtesfsrpw5w5t0x5v500ef25" timestamp="1565229431"&gt;1085&lt;/key&gt;&lt;/foreign-keys&gt;&lt;ref-type name="Generic"&gt;13&lt;/ref-type&gt;&lt;contributors&gt;&lt;authors&gt;&lt;author&gt;Kleisner, K&lt;/author&gt;&lt;author&gt;Brennan, C&lt;/author&gt;&lt;author&gt;Garland, A&lt;/author&gt;&lt;author&gt;Lingard, S&lt;/author&gt;&lt;author&gt;Tracey, S&lt;/author&gt;&lt;author&gt;Sahlqvist, P&lt;/author&gt;&lt;author&gt;Tsolos, A&lt;/author&gt;&lt;author&gt;Pauly, D&lt;/author&gt;&lt;author&gt;Zeller, D&lt;/author&gt;&lt;/authors&gt;&lt;/contributors&gt;&lt;titles&gt;&lt;title&gt;Australia: Reconstructing estimates of total fisheries removal, 1950-2010&lt;/title&gt;&lt;/titles&gt;&lt;dates&gt;&lt;year&gt;2015&lt;/year&gt;&lt;/dates&gt;&lt;pub-location&gt;British Columbia&lt;/pub-location&gt;&lt;publisher&gt;University of British Columbia&lt;/publisher&gt;&lt;urls&gt;&lt;related-urls&gt;&lt;url&gt;http://www.seaaroundus.org/data/#/eez/36?chart=catch-chart&amp;amp;dimension=taxon&amp;amp;measure=tonnage&amp;amp;limit=10&lt;/url&gt;&lt;/related-urls&gt;&lt;/urls&gt;&lt;/record&gt;&lt;/Cite&gt;&lt;Cite&gt;&lt;Author&gt;Pauly&lt;/Author&gt;&lt;Year&gt;2015&lt;/Year&gt;&lt;RecNum&gt;1084&lt;/RecNum&gt;&lt;record&gt;&lt;rec-number&gt;1084&lt;/rec-number&gt;&lt;foreign-keys&gt;&lt;key app="EN" db-id="9vsrvaat7fadwtesfsrpw5w5t0x5v500ef25" timestamp="1565229170"&gt;1084&lt;/key&gt;&lt;/foreign-keys&gt;&lt;ref-type name="Dataset"&gt;59&lt;/ref-type&gt;&lt;contributors&gt;&lt;authors&gt;&lt;author&gt;Pauly, D&lt;/author&gt;&lt;author&gt;Zeller, D&lt;/author&gt;&lt;/authors&gt;&lt;/contributors&gt;&lt;titles&gt;&lt;title&gt;Seas Around Us Concepts, Design and Data&lt;/title&gt;&lt;/titles&gt;&lt;dates&gt;&lt;year&gt;2015&lt;/year&gt;&lt;/dates&gt;&lt;pub-location&gt;British Columbia&lt;/pub-location&gt;&lt;publisher&gt;University of British Columbia&lt;/publisher&gt;&lt;urls&gt;&lt;related-urls&gt;&lt;url&gt;http://www.seaaroundus.org&lt;/url&gt;&lt;/related-urls&gt;&lt;/urls&gt;&lt;access-date&gt;11/11/17&lt;/access-date&gt;&lt;/record&gt;&lt;/Cite&gt;&lt;/EndNote&gt;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(Kleisner et al., 2015, Pauly and Zeller,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In</w:t>
            </w:r>
          </w:p>
        </w:tc>
      </w:tr>
      <w:tr w:rsidR="003F50A4" w:rsidRPr="00FF510F" w14:paraId="3FB3496F" w14:textId="77777777" w:rsidTr="003F50A4">
        <w:trPr>
          <w:trHeight w:val="300"/>
        </w:trPr>
        <w:tc>
          <w:tcPr>
            <w:tcW w:w="510" w:type="dxa"/>
            <w:shd w:val="clear" w:color="auto" w:fill="auto"/>
          </w:tcPr>
          <w:p w14:paraId="35477730"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11B433B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14.5 By 2020, conserve at least 10 per cent of coastal and marine areas, consistent with national and international law and based on the best available scientific information</w:t>
            </w:r>
          </w:p>
        </w:tc>
        <w:tc>
          <w:tcPr>
            <w:tcW w:w="427" w:type="dxa"/>
            <w:tcBorders>
              <w:left w:val="single" w:sz="4" w:space="0" w:color="auto"/>
              <w:right w:val="single" w:sz="4" w:space="0" w:color="auto"/>
            </w:tcBorders>
          </w:tcPr>
          <w:p w14:paraId="520490B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w:t>
            </w:r>
          </w:p>
        </w:tc>
        <w:tc>
          <w:tcPr>
            <w:tcW w:w="992" w:type="dxa"/>
            <w:tcBorders>
              <w:left w:val="single" w:sz="4" w:space="0" w:color="auto"/>
            </w:tcBorders>
            <w:shd w:val="clear" w:color="auto" w:fill="auto"/>
            <w:noWrap/>
            <w:hideMark/>
          </w:tcPr>
          <w:p w14:paraId="143160B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14.5.1</w:t>
            </w:r>
          </w:p>
        </w:tc>
        <w:tc>
          <w:tcPr>
            <w:tcW w:w="2977" w:type="dxa"/>
            <w:tcBorders>
              <w:right w:val="single" w:sz="4" w:space="0" w:color="auto"/>
            </w:tcBorders>
            <w:shd w:val="clear" w:color="auto" w:fill="auto"/>
            <w:noWrap/>
            <w:hideMark/>
          </w:tcPr>
          <w:p w14:paraId="45579C2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Proportion of territorial waters protected (%)</w:t>
            </w:r>
          </w:p>
        </w:tc>
        <w:tc>
          <w:tcPr>
            <w:tcW w:w="1276" w:type="dxa"/>
            <w:tcBorders>
              <w:left w:val="single" w:sz="4" w:space="0" w:color="auto"/>
            </w:tcBorders>
            <w:shd w:val="clear" w:color="auto" w:fill="auto"/>
          </w:tcPr>
          <w:p w14:paraId="4D0E57F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0.35</w:t>
            </w:r>
          </w:p>
          <w:p w14:paraId="3A506EE0" w14:textId="77777777" w:rsidR="003F50A4" w:rsidRPr="00FF510F" w:rsidRDefault="003F50A4" w:rsidP="007F346F">
            <w:pPr>
              <w:spacing w:after="0"/>
              <w:rPr>
                <w:rFonts w:ascii="Corbel" w:hAnsi="Corbel" w:cstheme="minorHAnsi"/>
                <w:sz w:val="16"/>
                <w:szCs w:val="16"/>
                <w:lang w:val="en-US"/>
              </w:rPr>
            </w:pPr>
          </w:p>
        </w:tc>
        <w:tc>
          <w:tcPr>
            <w:tcW w:w="1134" w:type="dxa"/>
            <w:shd w:val="clear" w:color="auto" w:fill="D9D9D9" w:themeFill="background1" w:themeFillShade="D9"/>
            <w:noWrap/>
            <w:hideMark/>
          </w:tcPr>
          <w:p w14:paraId="3ABA554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0.5</w:t>
            </w:r>
          </w:p>
        </w:tc>
        <w:tc>
          <w:tcPr>
            <w:tcW w:w="1389" w:type="dxa"/>
          </w:tcPr>
          <w:p w14:paraId="1967413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auto"/>
          </w:tcPr>
          <w:p w14:paraId="293DB77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of 10% achieved for Australia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National target set at 50% ; calibrated from timeseries data and BAU projection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&lt;EndNote&gt;&lt;Cite&gt;&lt;Author&gt;United Nations&lt;/Author&gt;&lt;Year&gt;2018&lt;/Year&gt;&lt;RecNum&gt;1086&lt;/RecNum&gt;&lt;DisplayText&gt;(United Nations, 2018, IUCN and UNEP-WCMC, 2017)&lt;/DisplayText&gt;&lt;record&gt;&lt;rec-number&gt;1086&lt;/rec-number&gt;&lt;foreign-keys&gt;&lt;key app="EN" db-id="9vsrvaat7fadwtesfsrpw5w5t0x5v500ef25" timestamp="1565230333"&gt;1086&lt;/key&gt;&lt;/foreign-keys&gt;&lt;ref-type name="Online Database"&gt;45&lt;/ref-type&gt;&lt;contributors&gt;&lt;authors&gt;&lt;author&gt;United Nations,&lt;/author&gt;&lt;/authors&gt;&lt;/contributors&gt;&lt;titles&gt;&lt;title&gt;United Nations Global SDG Database&lt;/title&gt;&lt;/titles&gt;&lt;dates&gt;&lt;year&gt;2018&lt;/year&gt;&lt;pub-dates&gt;&lt;date&gt;04/03/18&lt;/date&gt;&lt;/pub-dates&gt;&lt;/dates&gt;&lt;pub-location&gt;New York&lt;/pub-location&gt;&lt;publisher&gt;United Nations&lt;/publisher&gt;&lt;urls&gt;&lt;related-urls&gt;&lt;url&gt;https://unstats.un.org/sdgs/indicators/database/&lt;/url&gt;&lt;/related-urls&gt;&lt;/urls&gt;&lt;/record&gt;&lt;/Cite&gt;&lt;Cite&gt;&lt;Author&gt;IUCN&lt;/Author&gt;&lt;Year&gt;2017&lt;/Year&gt;&lt;RecNum&gt;1087&lt;/RecNum&gt;&lt;record&gt;&lt;rec-number&gt;1087&lt;/rec-number&gt;&lt;foreign-keys&gt;&lt;key app="EN" db-id="9vsrvaat7fadwtesfsrpw5w5t0x5v500ef25" timestamp="1565230490"&gt;1087&lt;/key&gt;&lt;/foreign-keys&gt;&lt;ref-type name="Dataset"&gt;59&lt;/ref-type&gt;&lt;contributors&gt;&lt;authors&gt;&lt;author&gt;IUCN,&lt;/author&gt;&lt;author&gt;UNEP-WCMC,&lt;/author&gt;&lt;/authors&gt;&lt;/contributors&gt;&lt;titles&gt;&lt;title&gt;World Database on Protected Areas&lt;/title&gt;&lt;/titles&gt;&lt;dates&gt;&lt;year&gt;2017&lt;/year&gt;&lt;/dates&gt;&lt;publisher&gt;International Union for the Conservation of Nature and United Nations Environment Programme World Conservation Monitoring Centre&lt;/publisher&gt;&lt;urls&gt;&lt;related-urls&gt;&lt;url&gt;https://www.iucn.org/theme/protected-areas/our-work/world-database-protected-areas&lt;/url&gt;&lt;/related-urls&gt;&lt;/urls&gt;&lt;access-date&gt;12/12/17&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(United Nations, 2018, IUCN and UNEP-WCMC, 2017)</w:t>
            </w:r>
            <w:r w:rsidRPr="00FF510F">
              <w:rPr>
                <w:rFonts w:ascii="Corbel" w:hAnsi="Corbel" w:cstheme="minorHAnsi"/>
                <w:sz w:val="16"/>
                <w:szCs w:val="16"/>
                <w:lang w:val="en-US"/>
              </w:rPr>
              <w:fldChar w:fldCharType="end"/>
            </w:r>
          </w:p>
        </w:tc>
      </w:tr>
      <w:tr w:rsidR="003F50A4" w:rsidRPr="00FF510F" w14:paraId="3964368A" w14:textId="77777777" w:rsidTr="003F50A4">
        <w:trPr>
          <w:trHeight w:val="54"/>
        </w:trPr>
        <w:tc>
          <w:tcPr>
            <w:tcW w:w="510" w:type="dxa"/>
            <w:shd w:val="clear" w:color="auto" w:fill="D9D9D9" w:themeFill="background1" w:themeFillShade="D9"/>
          </w:tcPr>
          <w:p w14:paraId="5C1509EE" w14:textId="77777777" w:rsidR="003F50A4" w:rsidRPr="00FF510F" w:rsidRDefault="003F50A4" w:rsidP="007F346F">
            <w:pPr>
              <w:spacing w:after="0"/>
              <w:rPr>
                <w:rFonts w:ascii="Corbel" w:hAnsi="Corbel" w:cstheme="minorHAnsi"/>
                <w:sz w:val="8"/>
                <w:szCs w:val="8"/>
                <w:lang w:val="en-US"/>
              </w:rPr>
            </w:pPr>
          </w:p>
        </w:tc>
        <w:tc>
          <w:tcPr>
            <w:tcW w:w="4195" w:type="dxa"/>
            <w:tcBorders>
              <w:right w:val="single" w:sz="4" w:space="0" w:color="auto"/>
            </w:tcBorders>
            <w:shd w:val="clear" w:color="auto" w:fill="D9D9D9" w:themeFill="background1" w:themeFillShade="D9"/>
          </w:tcPr>
          <w:p w14:paraId="2E2ACACD" w14:textId="77777777" w:rsidR="003F50A4" w:rsidRPr="00FF510F" w:rsidRDefault="003F50A4" w:rsidP="007F346F">
            <w:pPr>
              <w:spacing w:after="0"/>
              <w:rPr>
                <w:rFonts w:ascii="Corbel" w:hAnsi="Corbel" w:cstheme="minorHAnsi"/>
                <w:sz w:val="8"/>
                <w:szCs w:val="8"/>
                <w:lang w:val="en-US"/>
              </w:rPr>
            </w:pPr>
          </w:p>
        </w:tc>
        <w:tc>
          <w:tcPr>
            <w:tcW w:w="427" w:type="dxa"/>
            <w:tcBorders>
              <w:left w:val="single" w:sz="4" w:space="0" w:color="auto"/>
              <w:right w:val="single" w:sz="4" w:space="0" w:color="auto"/>
            </w:tcBorders>
            <w:shd w:val="clear" w:color="auto" w:fill="D9D9D9" w:themeFill="background1" w:themeFillShade="D9"/>
          </w:tcPr>
          <w:p w14:paraId="7AFDB924"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72B49628"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14F174F2"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0E20177F"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003223BB"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1E916014"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4A1F9A03" w14:textId="77777777" w:rsidR="003F50A4" w:rsidRPr="00FF510F" w:rsidRDefault="003F50A4" w:rsidP="007F346F">
            <w:pPr>
              <w:spacing w:after="0"/>
              <w:rPr>
                <w:rFonts w:ascii="Corbel" w:hAnsi="Corbel" w:cstheme="minorHAnsi"/>
                <w:sz w:val="8"/>
                <w:szCs w:val="8"/>
                <w:lang w:val="en-US"/>
              </w:rPr>
            </w:pPr>
          </w:p>
        </w:tc>
      </w:tr>
      <w:tr w:rsidR="003F50A4" w:rsidRPr="00FF510F" w14:paraId="6C41224A" w14:textId="77777777" w:rsidTr="003F50A4">
        <w:trPr>
          <w:trHeight w:val="300"/>
        </w:trPr>
        <w:tc>
          <w:tcPr>
            <w:tcW w:w="510" w:type="dxa"/>
            <w:shd w:val="clear" w:color="auto" w:fill="auto"/>
          </w:tcPr>
          <w:p w14:paraId="548D109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15</w:t>
            </w:r>
          </w:p>
        </w:tc>
        <w:tc>
          <w:tcPr>
            <w:tcW w:w="4195" w:type="dxa"/>
            <w:tcBorders>
              <w:right w:val="single" w:sz="4" w:space="0" w:color="auto"/>
            </w:tcBorders>
            <w:shd w:val="clear" w:color="auto" w:fill="auto"/>
          </w:tcPr>
          <w:p w14:paraId="42C357F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15.1 By 2020, ensure the conservation, restoration and sustainable use of terrestrial and inland freshwater ecosystems and their services, in particular forests, wetlands, </w:t>
            </w:r>
            <w:proofErr w:type="gramStart"/>
            <w:r w:rsidRPr="00FF510F">
              <w:rPr>
                <w:rFonts w:ascii="Corbel" w:hAnsi="Corbel" w:cstheme="minorHAnsi"/>
                <w:sz w:val="16"/>
                <w:szCs w:val="16"/>
                <w:lang w:val="en-US"/>
              </w:rPr>
              <w:lastRenderedPageBreak/>
              <w:t>mountains</w:t>
            </w:r>
            <w:proofErr w:type="gramEnd"/>
            <w:r w:rsidRPr="00FF510F">
              <w:rPr>
                <w:rFonts w:ascii="Corbel" w:hAnsi="Corbel" w:cstheme="minorHAnsi"/>
                <w:sz w:val="16"/>
                <w:szCs w:val="16"/>
                <w:lang w:val="en-US"/>
              </w:rPr>
              <w:t xml:space="preserve"> and drylands, in line with obligations under international agreements</w:t>
            </w:r>
          </w:p>
        </w:tc>
        <w:tc>
          <w:tcPr>
            <w:tcW w:w="427" w:type="dxa"/>
            <w:tcBorders>
              <w:left w:val="single" w:sz="4" w:space="0" w:color="auto"/>
              <w:right w:val="single" w:sz="4" w:space="0" w:color="auto"/>
            </w:tcBorders>
          </w:tcPr>
          <w:p w14:paraId="0EDF37A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lastRenderedPageBreak/>
              <w:t>6</w:t>
            </w:r>
          </w:p>
        </w:tc>
        <w:tc>
          <w:tcPr>
            <w:tcW w:w="992" w:type="dxa"/>
            <w:tcBorders>
              <w:left w:val="single" w:sz="4" w:space="0" w:color="auto"/>
            </w:tcBorders>
            <w:shd w:val="clear" w:color="auto" w:fill="auto"/>
            <w:noWrap/>
            <w:hideMark/>
          </w:tcPr>
          <w:p w14:paraId="2467B9D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15.1.1</w:t>
            </w:r>
          </w:p>
        </w:tc>
        <w:tc>
          <w:tcPr>
            <w:tcW w:w="2977" w:type="dxa"/>
            <w:tcBorders>
              <w:right w:val="single" w:sz="4" w:space="0" w:color="auto"/>
            </w:tcBorders>
            <w:shd w:val="clear" w:color="auto" w:fill="auto"/>
            <w:noWrap/>
            <w:hideMark/>
          </w:tcPr>
          <w:p w14:paraId="3A507C3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Forest cover (as proportion of total land area) (%)</w:t>
            </w:r>
          </w:p>
        </w:tc>
        <w:tc>
          <w:tcPr>
            <w:tcW w:w="1276" w:type="dxa"/>
            <w:tcBorders>
              <w:left w:val="single" w:sz="4" w:space="0" w:color="auto"/>
            </w:tcBorders>
            <w:shd w:val="clear" w:color="auto" w:fill="auto"/>
          </w:tcPr>
          <w:p w14:paraId="3CB9218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0.17</w:t>
            </w:r>
          </w:p>
        </w:tc>
        <w:tc>
          <w:tcPr>
            <w:tcW w:w="1134" w:type="dxa"/>
            <w:shd w:val="clear" w:color="auto" w:fill="D9D9D9" w:themeFill="background1" w:themeFillShade="D9"/>
            <w:noWrap/>
            <w:hideMark/>
          </w:tcPr>
          <w:p w14:paraId="25489EC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0.175</w:t>
            </w:r>
          </w:p>
        </w:tc>
        <w:tc>
          <w:tcPr>
            <w:tcW w:w="1389" w:type="dxa"/>
          </w:tcPr>
          <w:p w14:paraId="6DFEE9A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7% increase</w:t>
            </w:r>
          </w:p>
        </w:tc>
        <w:tc>
          <w:tcPr>
            <w:tcW w:w="2552" w:type="dxa"/>
            <w:shd w:val="clear" w:color="auto" w:fill="auto"/>
          </w:tcPr>
          <w:p w14:paraId="675613C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15.1 is ensure conservation, while SDG Target 15.3 is for ‘land degradation neutrality’ or LDN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&lt;EndNote&gt;&lt;Cite&gt;&lt;Author&gt;United Nations Development Group&lt;/Author&gt;&lt;Year&gt;2015&lt;/Year&gt;&lt;RecNum&gt;387&lt;/RecNum&gt;&lt;DisplayText&gt;(United Nations Development Group, 2015)&lt;/DisplayText&gt;&lt;record&gt;&lt;rec-number&gt;387&lt;/rec-number&gt;&lt;foreign-keys&gt;&lt;key app="EN" db-id="9vsrvaat7fadwtesfsrpw5w5t0x5v500ef25" timestamp="1491782725"&gt;387&lt;/key&gt;&lt;/foreign-keys&gt;&lt;ref-type name="Report"&gt;27&lt;/ref-type&gt;&lt;contributors&gt;&lt;authors&gt;&lt;author&gt;United Nations Development Group,&lt;/author&gt;&lt;/authors&gt;&lt;tertiary-authors&gt;&lt;author&gt;United Nations Development Group&lt;/author&gt;&lt;/tertiary-authors&gt;&lt;/contributors&gt;&lt;titles&gt;&lt;title&gt;Mainstreaming the 2030 Agenda for Sustainable Development: Interim Reference Guide to UN Country Teams&lt;/title&gt;&lt;/titles&gt;&lt;dates&gt;&lt;year&gt;2015&lt;/year&gt;&lt;/dates&gt;&lt;urls&gt;&lt;/urls&gt;&lt;/record&gt;&lt;/Cite&gt;&lt;/EndNote&gt;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 xml:space="preserve">(United Nations Development </w:t>
            </w:r>
            <w:r w:rsidRPr="00FF510F">
              <w:rPr>
                <w:rFonts w:ascii="Corbel" w:hAnsi="Corbel" w:cstheme="minorHAnsi"/>
                <w:noProof/>
                <w:sz w:val="16"/>
                <w:szCs w:val="16"/>
                <w:lang w:val="en-US"/>
              </w:rPr>
              <w:lastRenderedPageBreak/>
              <w:t>Group,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UN Global Forest Goals include to ‘reverse the loss of forest cover’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&lt;EndNote&gt;&lt;Cite&gt;&lt;Author&gt;United Nations&lt;/Author&gt;&lt;Year&gt;2017&lt;/Year&gt;&lt;RecNum&gt;1088&lt;/RecNum&gt;&lt;DisplayText&gt;(United Nations, 2017)&lt;/DisplayText&gt;&lt;record&gt;&lt;rec-number&gt;1088&lt;/rec-number&gt;&lt;foreign-keys&gt;&lt;key app="EN" db-id="9vsrvaat7fadwtesfsrpw5w5t0x5v500ef25" timestamp="1565235535"&gt;1088&lt;/key&gt;&lt;/foreign-keys&gt;&lt;ref-type name="Generic"&gt;13&lt;/ref-type&gt;&lt;contributors&gt;&lt;authors&gt;&lt;author&gt;United Nations,&lt;/author&gt;&lt;/authors&gt;&lt;/contributors&gt;&lt;titles&gt;&lt;title&gt;United Nations Strategic Plan for Forests 2017-2030&lt;/title&gt;&lt;/titles&gt;&lt;volume&gt;E/RES/2017/4&lt;/volume&gt;&lt;dates&gt;&lt;year&gt;2017&lt;/year&gt;&lt;/dates&gt;&lt;pub-location&gt;New York&lt;/pub-location&gt;&lt;publisher&gt;United Nations&lt;/publisher&gt;&lt;urls&gt;&lt;related-urls&gt;&lt;url&gt;https://documents-dds-ny.un.org/doc/UNDOC/GEN/N17/184/62/PDF/N1718462.pdf?OpenElement&lt;/url&gt;&lt;/related-urls&gt;&lt;/urls&gt;&lt;/record&gt;&lt;/Cite&gt;&lt;/EndNote&gt;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(United Nations, 2017)</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UNCCD guidelines set as no net loss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&lt;EndNote&gt;&lt;Cite&gt;&lt;Author&gt;Orr&lt;/Author&gt;&lt;Year&gt;2017&lt;/Year&gt;&lt;RecNum&gt;889&lt;/RecNum&gt;&lt;DisplayText&gt;(Orr et al., 2017)&lt;/DisplayText&gt;&lt;record&gt;&lt;rec-number&gt;889&lt;/rec-number&gt;&lt;foreign-keys&gt;&lt;key app="EN" db-id="9vsrvaat7fadwtesfsrpw5w5t0x5v500ef25" timestamp="1544054265"&gt;889&lt;/key&gt;&lt;/foreign-keys&gt;&lt;ref-type name="Conference Proceedings"&gt;10&lt;/ref-type&gt;&lt;contributors&gt;&lt;authors&gt;&lt;author&gt;Orr, BJ&lt;/author&gt;&lt;author&gt;Cowie, AL&lt;/author&gt;&lt;author&gt;Castillo Sanchez, VM&lt;/author&gt;&lt;author&gt;Chasek, P&lt;/author&gt;&lt;author&gt;Crossman, ND&lt;/author&gt;&lt;author&gt;Erlewein, A&lt;/author&gt;&lt;author&gt;Louwagie, G&lt;/author&gt;&lt;author&gt;Maron, M&lt;/author&gt;&lt;author&gt;Metternicht, GI&lt;/author&gt;&lt;author&gt;Minelli, S&lt;/author&gt;&lt;/authors&gt;&lt;/contributors&gt;&lt;titles&gt;&lt;title&gt;Scientific conceptual framework for land degradation neutrality&lt;/title&gt;&lt;secondary-title&gt;Bonn, Germany: United Nations Convention to Combat Desertification (UNCCD)&lt;/secondary-title&gt;&lt;/titles&gt;&lt;pages&gt;1-98&lt;/pages&gt;&lt;dates&gt;&lt;year&gt;2017&lt;/year&gt;&lt;/dates&gt;&lt;urls&gt;&lt;/urls&gt;&lt;/record&gt;&lt;/Cite&gt;&lt;/EndNote&gt;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(Orr et al., 2017)</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Target calibrated from timeseries data and BAU projection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&lt;EndNote&gt;&lt;Cite&gt;&lt;Author&gt;ABARES&lt;/Author&gt;&lt;Year&gt;2013&lt;/Year&gt;&lt;RecNum&gt;1034&lt;/RecNum&gt;&lt;DisplayText&gt;(ABARES, 2013)&lt;/DisplayText&gt;&lt;record&gt;&lt;rec-number&gt;1034&lt;/rec-number&gt;&lt;foreign-keys&gt;&lt;key app="EN" db-id="9vsrvaat7fadwtesfsrpw5w5t0x5v500ef25" timestamp="1565072892"&gt;1034&lt;/key&gt;&lt;/foreign-keys&gt;&lt;ref-type name="Generic"&gt;13&lt;/ref-type&gt;&lt;contributors&gt;&lt;authors&gt;&lt;author&gt;ABARES,&lt;/author&gt;&lt;/authors&gt;&lt;/contributors&gt;&lt;titles&gt;&lt;title&gt;Australia&amp;apos;s State of the Forests Report 2013&lt;/title&gt;&lt;/titles&gt;&lt;dates&gt;&lt;year&gt;2013&lt;/year&gt;&lt;/dates&gt;&lt;pub-location&gt;Canberra, Australia&lt;/pub-location&gt;&lt;publisher&gt;Australian Bureau of Agriculture and Resource Economics and Sciences, Commonwealth of Australia&lt;/publisher&gt;&lt;urls&gt;&lt;related-urls&gt;&lt;url&gt;http://www.agriculture.gov.au/abares/forestsaustralia/Pages/SOFR/sofr-2013.aspx&lt;/url&gt;&lt;/related-urls&gt;&lt;/urls&gt;&lt;/record&gt;&lt;/Cite&gt;&lt;/EndNote&gt;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(ABARES, 2013)</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and NSDC target for 3.8% increase by 2030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&lt;EndNote&gt;&lt;Cite&gt;&lt;Author&gt;MSDI&lt;/Author&gt;&lt;Year&gt;2020&lt;/Year&gt;&lt;RecNum&gt;1713&lt;/RecNum&gt;&lt;DisplayText&gt;(MSDI, 2020)&lt;/DisplayText&gt;&lt;record&gt;&lt;rec-number&gt;1713&lt;/rec-number&gt;&lt;foreign-keys&gt;&lt;key app="EN" db-id="9vsrvaat7fadwtesfsrpw5w5t0x5v500ef25" timestamp="1609189914"&gt;1713&lt;/key&gt;&lt;/foreign-keys&gt;&lt;ref-type name="Generic"&gt;13&lt;/ref-type&gt;&lt;contributors&gt;&lt;authors&gt;&lt;author&gt;MSDI,&lt;/author&gt;&lt;/authors&gt;&lt;/contributors&gt;&lt;titles&gt;&lt;title&gt;Transforming Australia 2020 Update&lt;/title&gt;&lt;/titles&gt;&lt;dates&gt;&lt;year&gt;2020&lt;/year&gt;&lt;/dates&gt;&lt;pub-location&gt;Melbourne&lt;/pub-location&gt;&lt;publisher&gt;Monash Sustainable Development Institute&lt;/publisher&gt;&lt;urls&gt;&lt;/urls&gt;&lt;electronic-resource-num&gt;https://www.sdgtransformingaustralia.com/&lt;/electronic-resource-num&gt;&lt;/record&gt;&lt;/Cite&gt;&lt;/EndNote&gt;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(MSDI, 2020)</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and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 AuthorYear="1"&gt;&lt;Author&gt;ClimateWorks Australia&lt;/Author&gt;&lt;Year&gt;2020&lt;/Year&gt;&lt;RecNum&gt;1484&lt;/RecNum&gt;&lt;DisplayText&gt;ClimateWorks Australia (2020)&lt;/DisplayText&gt;&lt;record&gt;&lt;rec-number&gt;1484&lt;/rec-number&gt;&lt;foreign-keys&gt;&lt;key app="EN" db-id="9vsrvaat7fadwtesfsrpw5w5t0x5v500ef25" timestamp="1600963142"&gt;1484&lt;/key&gt;&lt;/foreign-keys&gt;&lt;ref-type name="Generic"&gt;13&lt;/ref-type&gt;&lt;contributors&gt;&lt;authors&gt;&lt;author&gt;ClimateWorks Australia,&lt;/author&gt;&lt;/authors&gt;&lt;/contributors&gt;&lt;titles&gt;&lt;title&gt;Decarbonisation Futures: Solutions, actions and benchmarks for a net zero emissions Australia&lt;/title&gt;&lt;/titles&gt;&lt;dates&gt;&lt;year&gt;2020&lt;/year&gt;&lt;/dates&gt;&lt;pub-location&gt;Melbourne&lt;/pub-location&gt;&lt;publisher&gt;ClimateWorks&lt;/publisher&gt;&lt;urls&gt;&lt;/urls&gt;&lt;/record&gt;&lt;/Cite&gt;&lt;/EndNote&gt;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ClimateWorks Australia (2020)</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Target set at 7% increase by 2050.</w:t>
            </w:r>
          </w:p>
        </w:tc>
      </w:tr>
      <w:tr w:rsidR="003F50A4" w:rsidRPr="00FF510F" w14:paraId="10A1CEAD" w14:textId="77777777" w:rsidTr="003F50A4">
        <w:trPr>
          <w:trHeight w:val="300"/>
        </w:trPr>
        <w:tc>
          <w:tcPr>
            <w:tcW w:w="510" w:type="dxa"/>
            <w:shd w:val="clear" w:color="auto" w:fill="auto"/>
          </w:tcPr>
          <w:p w14:paraId="19CD53CA"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75143D3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15.1</w:t>
            </w:r>
          </w:p>
        </w:tc>
        <w:tc>
          <w:tcPr>
            <w:tcW w:w="427" w:type="dxa"/>
            <w:tcBorders>
              <w:left w:val="single" w:sz="4" w:space="0" w:color="auto"/>
              <w:right w:val="single" w:sz="4" w:space="0" w:color="auto"/>
            </w:tcBorders>
          </w:tcPr>
          <w:p w14:paraId="0B1D21E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w:t>
            </w:r>
          </w:p>
        </w:tc>
        <w:tc>
          <w:tcPr>
            <w:tcW w:w="992" w:type="dxa"/>
            <w:tcBorders>
              <w:left w:val="single" w:sz="4" w:space="0" w:color="auto"/>
            </w:tcBorders>
            <w:shd w:val="clear" w:color="auto" w:fill="auto"/>
            <w:noWrap/>
            <w:hideMark/>
          </w:tcPr>
          <w:p w14:paraId="77AA4A1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15.1.2</w:t>
            </w:r>
          </w:p>
        </w:tc>
        <w:tc>
          <w:tcPr>
            <w:tcW w:w="2977" w:type="dxa"/>
            <w:tcBorders>
              <w:right w:val="single" w:sz="4" w:space="0" w:color="auto"/>
            </w:tcBorders>
            <w:shd w:val="clear" w:color="auto" w:fill="auto"/>
            <w:noWrap/>
            <w:hideMark/>
          </w:tcPr>
          <w:p w14:paraId="5AEA71B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Proportion of terrestrial area protected (%)</w:t>
            </w:r>
          </w:p>
        </w:tc>
        <w:tc>
          <w:tcPr>
            <w:tcW w:w="1276" w:type="dxa"/>
            <w:tcBorders>
              <w:left w:val="single" w:sz="4" w:space="0" w:color="auto"/>
            </w:tcBorders>
            <w:shd w:val="clear" w:color="auto" w:fill="auto"/>
          </w:tcPr>
          <w:p w14:paraId="6F1A177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0.13</w:t>
            </w:r>
          </w:p>
        </w:tc>
        <w:tc>
          <w:tcPr>
            <w:tcW w:w="1134" w:type="dxa"/>
            <w:shd w:val="clear" w:color="auto" w:fill="D9D9D9" w:themeFill="background1" w:themeFillShade="D9"/>
            <w:noWrap/>
          </w:tcPr>
          <w:p w14:paraId="5703AFE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0.2</w:t>
            </w:r>
          </w:p>
        </w:tc>
        <w:tc>
          <w:tcPr>
            <w:tcW w:w="1389" w:type="dxa"/>
          </w:tcPr>
          <w:p w14:paraId="437F680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0.3</w:t>
            </w:r>
          </w:p>
        </w:tc>
        <w:tc>
          <w:tcPr>
            <w:tcW w:w="2552" w:type="dxa"/>
            <w:shd w:val="clear" w:color="auto" w:fill="auto"/>
          </w:tcPr>
          <w:p w14:paraId="09C61F0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Aichi target of 17% terrestrial areas protected by 2020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&lt;EndNote&gt;&lt;Cite&gt;&lt;Author&gt;United Nations Convention on Biological Diversity&lt;/Author&gt;&lt;Year&gt;2010&lt;/Year&gt;&lt;RecNum&gt;1089&lt;/RecNum&gt;&lt;DisplayText&gt;(United Nations Convention on Biological Diversity, 2010)&lt;/DisplayText&gt;&lt;record&gt;&lt;rec-number&gt;1089&lt;/rec-number&gt;&lt;foreign-keys&gt;&lt;key app="EN" db-id="9vsrvaat7fadwtesfsrpw5w5t0x5v500ef25" timestamp="1565236188"&gt;1089&lt;/key&gt;&lt;/foreign-keys&gt;&lt;ref-type name="Generic"&gt;13&lt;/ref-type&gt;&lt;contributors&gt;&lt;authors&gt;&lt;author&gt;United Nations Convention on Biological Diversity,&lt;/author&gt;&lt;/authors&gt;&lt;/contributors&gt;&lt;titles&gt;&lt;title&gt;Strategic Plan for Biodiversity 2011-2020&lt;/title&gt;&lt;/titles&gt;&lt;dates&gt;&lt;year&gt;2010&lt;/year&gt;&lt;/dates&gt;&lt;pub-location&gt;Montreal, Canada&lt;/pub-location&gt;&lt;publisher&gt;United Nations&lt;/publisher&gt;&lt;urls&gt;&lt;related-urls&gt;&lt;url&gt;https://www.cbd.int/decision/cop/?id=12268&lt;/url&gt;&lt;/related-urls&gt;&lt;/urls&gt;&lt;/record&gt;&lt;/Cite&gt;&lt;/EndNote&gt;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(United Nations Convention on Biological Diversity, 2010)</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Target set at 20% by 2030 and 30% by 2050; calibrated from timeseries data and BAU projection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&lt;EndNote&gt;&lt;Cite&gt;&lt;Author&gt;IUCN&lt;/Author&gt;&lt;Year&gt;2017&lt;/Year&gt;&lt;RecNum&gt;1087&lt;/RecNum&gt;&lt;DisplayText&gt;(IUCN and UNEP-WCMC, 2017)&lt;/DisplayText&gt;&lt;record&gt;&lt;rec-number&gt;1087&lt;/rec-number&gt;&lt;foreign-keys&gt;&lt;key app="EN" db-id="9vsrvaat7fadwtesfsrpw5w5t0x5v500ef25" timestamp="1565230490"&gt;1087&lt;/key&gt;&lt;/foreign-keys&gt;&lt;ref-type name="Dataset"&gt;59&lt;/ref-type&gt;&lt;contributors&gt;&lt;authors&gt;&lt;author&gt;IUCN,&lt;/author&gt;&lt;author&gt;UNEP-WCMC,&lt;/author&gt;&lt;/authors&gt;&lt;/contributors&gt;&lt;titles&gt;&lt;title&gt;World Database on Protected Areas&lt;/title&gt;&lt;/titles&gt;&lt;dates&gt;&lt;year&gt;2017&lt;/year&gt;&lt;/dates&gt;&lt;publisher&gt;International Union for the Conservation of Nature and United Nations Environment Programme World Conservation Monitoring Centre&lt;/publisher&gt;&lt;urls&gt;&lt;related-urls&gt;&lt;url&gt;https://www.iucn.org/theme/protected-areas/our-work/world-database-protected-areas&lt;/url&gt;&lt;/related-urls&gt;&lt;/urls&gt;&lt;access-date&gt;12/12/17&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(IUCN and UNEP-WCMC, 2017)</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686B7747" w14:textId="77777777" w:rsidTr="003F50A4">
        <w:trPr>
          <w:trHeight w:val="300"/>
        </w:trPr>
        <w:tc>
          <w:tcPr>
            <w:tcW w:w="510" w:type="dxa"/>
            <w:shd w:val="clear" w:color="auto" w:fill="auto"/>
          </w:tcPr>
          <w:p w14:paraId="2A8288FB"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6CCDDF9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15.3 By 2030, combat desertification, restore degraded land and soil, including land affected by desertification, </w:t>
            </w:r>
            <w:proofErr w:type="gramStart"/>
            <w:r w:rsidRPr="00FF510F">
              <w:rPr>
                <w:rFonts w:ascii="Corbel" w:hAnsi="Corbel" w:cstheme="minorHAnsi"/>
                <w:sz w:val="16"/>
                <w:szCs w:val="16"/>
                <w:lang w:val="en-US"/>
              </w:rPr>
              <w:t>drought</w:t>
            </w:r>
            <w:proofErr w:type="gramEnd"/>
            <w:r w:rsidRPr="00FF510F">
              <w:rPr>
                <w:rFonts w:ascii="Corbel" w:hAnsi="Corbel" w:cstheme="minorHAnsi"/>
                <w:sz w:val="16"/>
                <w:szCs w:val="16"/>
                <w:lang w:val="en-US"/>
              </w:rPr>
              <w:t xml:space="preserve"> and floods, and strive to achieve a land degradation-neutral world</w:t>
            </w:r>
          </w:p>
        </w:tc>
        <w:tc>
          <w:tcPr>
            <w:tcW w:w="427" w:type="dxa"/>
            <w:tcBorders>
              <w:left w:val="single" w:sz="4" w:space="0" w:color="auto"/>
              <w:right w:val="single" w:sz="4" w:space="0" w:color="auto"/>
            </w:tcBorders>
          </w:tcPr>
          <w:p w14:paraId="36CD65D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w:t>
            </w:r>
          </w:p>
        </w:tc>
        <w:tc>
          <w:tcPr>
            <w:tcW w:w="992" w:type="dxa"/>
            <w:tcBorders>
              <w:left w:val="single" w:sz="4" w:space="0" w:color="auto"/>
            </w:tcBorders>
            <w:shd w:val="clear" w:color="auto" w:fill="auto"/>
            <w:noWrap/>
          </w:tcPr>
          <w:p w14:paraId="00C9881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15.3.1.ALT</w:t>
            </w:r>
          </w:p>
        </w:tc>
        <w:tc>
          <w:tcPr>
            <w:tcW w:w="2977" w:type="dxa"/>
            <w:tcBorders>
              <w:right w:val="single" w:sz="4" w:space="0" w:color="auto"/>
            </w:tcBorders>
            <w:shd w:val="clear" w:color="auto" w:fill="auto"/>
            <w:noWrap/>
          </w:tcPr>
          <w:p w14:paraId="4E765B5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Soil Organic Carbon density (</w:t>
            </w:r>
            <w:proofErr w:type="spellStart"/>
            <w:r w:rsidRPr="00FF510F">
              <w:rPr>
                <w:rFonts w:ascii="Corbel" w:hAnsi="Corbel" w:cstheme="minorHAnsi"/>
                <w:sz w:val="16"/>
                <w:szCs w:val="16"/>
                <w:lang w:val="en-US"/>
              </w:rPr>
              <w:t>dmnl</w:t>
            </w:r>
            <w:proofErr w:type="spellEnd"/>
            <w:r w:rsidRPr="00FF510F">
              <w:rPr>
                <w:rFonts w:ascii="Corbel" w:hAnsi="Corbel" w:cstheme="minorHAnsi"/>
                <w:sz w:val="16"/>
                <w:szCs w:val="16"/>
                <w:lang w:val="en-US"/>
              </w:rPr>
              <w:t>)</w:t>
            </w:r>
          </w:p>
        </w:tc>
        <w:tc>
          <w:tcPr>
            <w:tcW w:w="1276" w:type="dxa"/>
            <w:tcBorders>
              <w:left w:val="single" w:sz="4" w:space="0" w:color="auto"/>
            </w:tcBorders>
            <w:shd w:val="clear" w:color="auto" w:fill="auto"/>
          </w:tcPr>
          <w:p w14:paraId="2D9A8D3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0.00336</w:t>
            </w:r>
          </w:p>
        </w:tc>
        <w:tc>
          <w:tcPr>
            <w:tcW w:w="1134" w:type="dxa"/>
            <w:shd w:val="clear" w:color="auto" w:fill="D9D9D9" w:themeFill="background1" w:themeFillShade="D9"/>
            <w:noWrap/>
          </w:tcPr>
          <w:p w14:paraId="1D286B4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0.00336</w:t>
            </w:r>
          </w:p>
        </w:tc>
        <w:tc>
          <w:tcPr>
            <w:tcW w:w="1389" w:type="dxa"/>
          </w:tcPr>
          <w:p w14:paraId="32A80C4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auto"/>
          </w:tcPr>
          <w:p w14:paraId="73ED0F2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as maintain or improve based on SDG Target 15.3 which requires ‘no net loss’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&lt;EndNote&gt;&lt;Cite&gt;&lt;Author&gt;UNGA&lt;/Author&gt;&lt;Year&gt;2015&lt;/Year&gt;&lt;RecNum&gt;92&lt;/RecNum&gt;&lt;DisplayText&gt;(UNGA, 2015)&lt;/DisplayText&gt;&lt;record&gt;&lt;rec-number&gt;92&lt;/rec-number&gt;&lt;foreign-keys&gt;&lt;key app="EN" db-id="9vsrvaat7fadwtesfsrpw5w5t0x5v500ef25" timestamp="1445701578"&gt;92&lt;/key&gt;&lt;/foreign-keys&gt;&lt;ref-type name="Generic"&gt;13&lt;/ref-type&gt;&lt;contributors&gt;&lt;authors&gt;&lt;author&gt;UNGA,&lt;/author&gt;&lt;/authors&gt;&lt;/contributors&gt;&lt;titles&gt;&lt;title&gt;Transforming our world: the 2030 Agenda for Sustainable Development, outcome document of the United Nations summit for the adoption of the post-2015 agenda&lt;/title&gt;&lt;secondary-title&gt;RES/A/70/L.1.&lt;/secondary-title&gt;&lt;/titles&gt;&lt;dates&gt;&lt;year&gt;2015&lt;/year&gt;&lt;/dates&gt;&lt;pub-location&gt;New York&lt;/pub-location&gt;&lt;publisher&gt;United Nations General Assembly&lt;/publisher&gt;&lt;urls&gt;&lt;/urls&gt;&lt;/record&gt;&lt;/Cite&gt;&lt;/EndNote&gt;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(UNGA, 2015)</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and guidelines from the UN Convention to Combat Desertification on SoC </w:t>
            </w:r>
            <w:r w:rsidRPr="00FF510F">
              <w:rPr>
                <w:rFonts w:ascii="Corbel" w:hAnsi="Corbel" w:cstheme="minorHAnsi"/>
                <w:sz w:val="16"/>
                <w:szCs w:val="16"/>
                <w:lang w:val="en-US"/>
              </w:rPr>
              <w:fldChar w:fldCharType="begin">
                <w:fldData xml:space="preserve">PEVuZE5vdGU+PENpdGU+PEF1dGhvcj5Db3dpZTwvQXV0aG9yPjxZZWFyPjIwMTg8L1llYXI+PFJl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</w:fldData>
              </w:fldChar>
            </w:r>
            <w:r w:rsidRPr="00FF510F">
              <w:rPr>
                <w:rFonts w:ascii="Corbel" w:hAnsi="Corbel" w:cstheme="minorHAnsi"/>
                <w:sz w:val="16"/>
                <w:szCs w:val="16"/>
                <w:lang w:val="en-US"/>
              </w:rPr>
              <w:instrText xml:space="preserve"> ADDIN EN.CITE </w:instrText>
            </w:r>
            <w:r w:rsidRPr="00FF510F">
              <w:rPr>
                <w:rFonts w:ascii="Corbel" w:hAnsi="Corbel" w:cstheme="minorHAnsi"/>
                <w:sz w:val="16"/>
                <w:szCs w:val="16"/>
                <w:lang w:val="en-US"/>
              </w:rPr>
              <w:fldChar w:fldCharType="begin">
                <w:fldData xml:space="preserve">PEVuZE5vdGU+PENpdGU+PEF1dGhvcj5Db3dpZTwvQXV0aG9yPjxZZWFyPjIwMTg8L1llYXI+PFJl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</w:fldData>
              </w:fldChar>
            </w:r>
            <w:r w:rsidRPr="00FF510F">
              <w:rPr>
                <w:rFonts w:ascii="Corbel" w:hAnsi="Corbel" w:cstheme="minorHAnsi"/>
                <w:sz w:val="16"/>
                <w:szCs w:val="16"/>
                <w:lang w:val="en-US"/>
              </w:rPr>
              <w:instrText xml:space="preserve"> ADDIN EN.CITE.DATA </w:instrText>
            </w:r>
            <w:r w:rsidRPr="00FF510F">
              <w:rPr>
                <w:rFonts w:ascii="Corbel" w:hAnsi="Corbel" w:cstheme="minorHAnsi"/>
                <w:sz w:val="16"/>
                <w:szCs w:val="16"/>
                <w:lang w:val="en-US"/>
              </w:rPr>
            </w:r>
            <w:r w:rsidRPr="00FF510F">
              <w:rPr>
                <w:rFonts w:ascii="Corbel" w:hAnsi="Corbel" w:cstheme="minorHAnsi"/>
                <w:sz w:val="16"/>
                <w:szCs w:val="16"/>
                <w:lang w:val="en-US"/>
              </w:rPr>
              <w:fldChar w:fldCharType="end"/>
            </w:r>
            <w:r w:rsidRPr="00FF510F">
              <w:rPr>
                <w:rFonts w:ascii="Corbel" w:hAnsi="Corbel" w:cstheme="minorHAnsi"/>
                <w:sz w:val="16"/>
                <w:szCs w:val="16"/>
                <w:lang w:val="en-US"/>
              </w:rPr>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(Cowie et al., 2018, Orr et al., 2017)</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589B2248" w14:textId="77777777" w:rsidTr="003F50A4">
        <w:trPr>
          <w:trHeight w:val="300"/>
        </w:trPr>
        <w:tc>
          <w:tcPr>
            <w:tcW w:w="510" w:type="dxa"/>
            <w:shd w:val="clear" w:color="auto" w:fill="auto"/>
          </w:tcPr>
          <w:p w14:paraId="7DCBC178"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0CCA214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15.5 Take urgent and significant action to reduce the degradation of natural habitats, halt the loss of biodiversity and, by 2020, protect and prevent the extinction of threatened species</w:t>
            </w:r>
          </w:p>
        </w:tc>
        <w:tc>
          <w:tcPr>
            <w:tcW w:w="427" w:type="dxa"/>
            <w:tcBorders>
              <w:left w:val="single" w:sz="4" w:space="0" w:color="auto"/>
              <w:right w:val="single" w:sz="4" w:space="0" w:color="auto"/>
            </w:tcBorders>
          </w:tcPr>
          <w:p w14:paraId="3E195EB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6</w:t>
            </w:r>
          </w:p>
        </w:tc>
        <w:tc>
          <w:tcPr>
            <w:tcW w:w="992" w:type="dxa"/>
            <w:tcBorders>
              <w:left w:val="single" w:sz="4" w:space="0" w:color="auto"/>
            </w:tcBorders>
            <w:shd w:val="clear" w:color="auto" w:fill="auto"/>
            <w:noWrap/>
            <w:hideMark/>
          </w:tcPr>
          <w:p w14:paraId="6E527E7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15.5.1</w:t>
            </w:r>
          </w:p>
        </w:tc>
        <w:tc>
          <w:tcPr>
            <w:tcW w:w="2977" w:type="dxa"/>
            <w:tcBorders>
              <w:right w:val="single" w:sz="4" w:space="0" w:color="auto"/>
            </w:tcBorders>
            <w:shd w:val="clear" w:color="auto" w:fill="auto"/>
            <w:noWrap/>
            <w:hideMark/>
          </w:tcPr>
          <w:p w14:paraId="6DCBB1F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Red List Index (score 0-1) </w:t>
            </w:r>
          </w:p>
        </w:tc>
        <w:tc>
          <w:tcPr>
            <w:tcW w:w="1276" w:type="dxa"/>
            <w:tcBorders>
              <w:left w:val="single" w:sz="4" w:space="0" w:color="auto"/>
            </w:tcBorders>
            <w:shd w:val="clear" w:color="auto" w:fill="auto"/>
          </w:tcPr>
          <w:p w14:paraId="3A76424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0.82</w:t>
            </w:r>
          </w:p>
        </w:tc>
        <w:tc>
          <w:tcPr>
            <w:tcW w:w="1134" w:type="dxa"/>
            <w:shd w:val="clear" w:color="auto" w:fill="D9D9D9" w:themeFill="background1" w:themeFillShade="D9"/>
            <w:noWrap/>
            <w:hideMark/>
          </w:tcPr>
          <w:p w14:paraId="65DA05B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0.82</w:t>
            </w:r>
          </w:p>
        </w:tc>
        <w:tc>
          <w:tcPr>
            <w:tcW w:w="1389" w:type="dxa"/>
          </w:tcPr>
          <w:p w14:paraId="78195E5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auto"/>
          </w:tcPr>
          <w:p w14:paraId="004455C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15.5 is to ‘halt </w:t>
            </w:r>
            <w:proofErr w:type="gramStart"/>
            <w:r w:rsidRPr="00FF510F">
              <w:rPr>
                <w:rFonts w:ascii="Corbel" w:hAnsi="Corbel" w:cstheme="minorHAnsi"/>
                <w:sz w:val="16"/>
                <w:szCs w:val="16"/>
                <w:lang w:val="en-US"/>
              </w:rPr>
              <w:t>loss’</w:t>
            </w:r>
            <w:proofErr w:type="gramEnd"/>
            <w:r w:rsidRPr="00FF510F">
              <w:rPr>
                <w:rFonts w:ascii="Corbel" w:hAnsi="Corbel" w:cstheme="minorHAnsi"/>
                <w:sz w:val="16"/>
                <w:szCs w:val="16"/>
                <w:lang w:val="en-US"/>
              </w:rPr>
              <w:t xml:space="preserve">.  Target set as maintain baseline value; calibrated from timeseries data </w:t>
            </w:r>
            <w:r w:rsidRPr="00FF510F">
              <w:rPr>
                <w:rFonts w:ascii="Corbel" w:hAnsi="Corbel" w:cstheme="minorHAnsi"/>
                <w:sz w:val="16"/>
                <w:szCs w:val="16"/>
                <w:lang w:val="en-US"/>
              </w:rPr>
              <w:fldChar w:fldCharType="begin">
                <w:fldData xml:space="preserve">PEVuZE5vdGU+PENpdGU+PEF1dGhvcj5HbG9iYWwgRW52aXJvbm1lbnQgRmFjaWxpdHk8L0F1dGhv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</w:fldData>
              </w:fldChar>
            </w:r>
            <w:r w:rsidRPr="00FF510F">
              <w:rPr>
                <w:rFonts w:ascii="Corbel" w:hAnsi="Corbel" w:cstheme="minorHAnsi"/>
                <w:sz w:val="16"/>
                <w:szCs w:val="16"/>
                <w:lang w:val="en-US"/>
              </w:rPr>
              <w:instrText xml:space="preserve"> ADDIN EN.CITE </w:instrText>
            </w:r>
            <w:r w:rsidRPr="00FF510F">
              <w:rPr>
                <w:rFonts w:ascii="Corbel" w:hAnsi="Corbel" w:cstheme="minorHAnsi"/>
                <w:sz w:val="16"/>
                <w:szCs w:val="16"/>
                <w:lang w:val="en-US"/>
              </w:rPr>
              <w:fldChar w:fldCharType="begin">
                <w:fldData xml:space="preserve">PEVuZE5vdGU+PENpdGU+PEF1dGhvcj5HbG9iYWwgRW52aXJvbm1lbnQgRmFjaWxpdHk8L0F1dGhv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</w:fldData>
              </w:fldChar>
            </w:r>
            <w:r w:rsidRPr="00FF510F">
              <w:rPr>
                <w:rFonts w:ascii="Corbel" w:hAnsi="Corbel" w:cstheme="minorHAnsi"/>
                <w:sz w:val="16"/>
                <w:szCs w:val="16"/>
                <w:lang w:val="en-US"/>
              </w:rPr>
              <w:instrText xml:space="preserve"> ADDIN EN.CITE.DATA </w:instrText>
            </w:r>
            <w:r w:rsidRPr="00FF510F">
              <w:rPr>
                <w:rFonts w:ascii="Corbel" w:hAnsi="Corbel" w:cstheme="minorHAnsi"/>
                <w:sz w:val="16"/>
                <w:szCs w:val="16"/>
                <w:lang w:val="en-US"/>
              </w:rPr>
            </w:r>
            <w:r w:rsidRPr="00FF510F">
              <w:rPr>
                <w:rFonts w:ascii="Corbel" w:hAnsi="Corbel" w:cstheme="minorHAnsi"/>
                <w:sz w:val="16"/>
                <w:szCs w:val="16"/>
                <w:lang w:val="en-US"/>
              </w:rPr>
              <w:fldChar w:fldCharType="end"/>
            </w:r>
            <w:r w:rsidRPr="00FF510F">
              <w:rPr>
                <w:rFonts w:ascii="Corbel" w:hAnsi="Corbel" w:cstheme="minorHAnsi"/>
                <w:sz w:val="16"/>
                <w:szCs w:val="16"/>
                <w:lang w:val="en-US"/>
              </w:rPr>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(Global Environment Facility, 2005, World Bank, 2022b, Pandey et al., 2006)</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7F06DDF6" w14:textId="77777777" w:rsidTr="003F50A4">
        <w:trPr>
          <w:trHeight w:val="54"/>
        </w:trPr>
        <w:tc>
          <w:tcPr>
            <w:tcW w:w="510" w:type="dxa"/>
            <w:shd w:val="clear" w:color="auto" w:fill="D9D9D9" w:themeFill="background1" w:themeFillShade="D9"/>
          </w:tcPr>
          <w:p w14:paraId="527F1B71" w14:textId="77777777" w:rsidR="003F50A4" w:rsidRPr="00FF510F" w:rsidRDefault="003F50A4" w:rsidP="007F346F">
            <w:pPr>
              <w:spacing w:after="0"/>
              <w:rPr>
                <w:rFonts w:ascii="Corbel" w:hAnsi="Corbel" w:cstheme="minorHAnsi"/>
                <w:sz w:val="8"/>
                <w:szCs w:val="8"/>
                <w:lang w:val="en-US"/>
              </w:rPr>
            </w:pPr>
          </w:p>
        </w:tc>
        <w:tc>
          <w:tcPr>
            <w:tcW w:w="4195" w:type="dxa"/>
            <w:tcBorders>
              <w:right w:val="single" w:sz="4" w:space="0" w:color="auto"/>
            </w:tcBorders>
            <w:shd w:val="clear" w:color="auto" w:fill="D9D9D9" w:themeFill="background1" w:themeFillShade="D9"/>
          </w:tcPr>
          <w:p w14:paraId="714CACDE" w14:textId="77777777" w:rsidR="003F50A4" w:rsidRPr="00FF510F" w:rsidRDefault="003F50A4" w:rsidP="007F346F">
            <w:pPr>
              <w:spacing w:after="0"/>
              <w:rPr>
                <w:rFonts w:ascii="Corbel" w:hAnsi="Corbel" w:cstheme="minorHAnsi"/>
                <w:sz w:val="8"/>
                <w:szCs w:val="8"/>
                <w:lang w:val="en-US"/>
              </w:rPr>
            </w:pPr>
          </w:p>
        </w:tc>
        <w:tc>
          <w:tcPr>
            <w:tcW w:w="427" w:type="dxa"/>
            <w:tcBorders>
              <w:left w:val="single" w:sz="4" w:space="0" w:color="auto"/>
              <w:right w:val="single" w:sz="4" w:space="0" w:color="auto"/>
            </w:tcBorders>
            <w:shd w:val="clear" w:color="auto" w:fill="D9D9D9" w:themeFill="background1" w:themeFillShade="D9"/>
          </w:tcPr>
          <w:p w14:paraId="3B3AF46D"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5FBFCB91"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5BF16EF0"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5839D14A"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3D1EF77F"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6809A763"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55678284" w14:textId="77777777" w:rsidR="003F50A4" w:rsidRPr="00FF510F" w:rsidRDefault="003F50A4" w:rsidP="007F346F">
            <w:pPr>
              <w:spacing w:after="0"/>
              <w:rPr>
                <w:rFonts w:ascii="Corbel" w:hAnsi="Corbel" w:cstheme="minorHAnsi"/>
                <w:sz w:val="8"/>
                <w:szCs w:val="8"/>
                <w:lang w:val="en-US"/>
              </w:rPr>
            </w:pPr>
          </w:p>
        </w:tc>
      </w:tr>
      <w:tr w:rsidR="003F50A4" w:rsidRPr="00FF510F" w14:paraId="4E273B5E" w14:textId="77777777" w:rsidTr="003F50A4">
        <w:trPr>
          <w:trHeight w:val="300"/>
        </w:trPr>
        <w:tc>
          <w:tcPr>
            <w:tcW w:w="510" w:type="dxa"/>
            <w:shd w:val="clear" w:color="auto" w:fill="auto"/>
          </w:tcPr>
          <w:p w14:paraId="457E28A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16</w:t>
            </w:r>
          </w:p>
        </w:tc>
        <w:tc>
          <w:tcPr>
            <w:tcW w:w="4195" w:type="dxa"/>
            <w:tcBorders>
              <w:right w:val="single" w:sz="4" w:space="0" w:color="auto"/>
            </w:tcBorders>
            <w:shd w:val="clear" w:color="auto" w:fill="auto"/>
          </w:tcPr>
          <w:p w14:paraId="13EAFD2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16.1 Significantly reduce all forms of violence and related death rates everywhere</w:t>
            </w:r>
          </w:p>
        </w:tc>
        <w:tc>
          <w:tcPr>
            <w:tcW w:w="427" w:type="dxa"/>
            <w:tcBorders>
              <w:left w:val="single" w:sz="4" w:space="0" w:color="auto"/>
              <w:right w:val="single" w:sz="4" w:space="0" w:color="auto"/>
            </w:tcBorders>
          </w:tcPr>
          <w:p w14:paraId="2CBB3C05" w14:textId="5A567E07" w:rsidR="003F50A4" w:rsidRPr="00FF510F" w:rsidRDefault="003F50A4" w:rsidP="007F346F">
            <w:pPr>
              <w:spacing w:after="0"/>
              <w:rPr>
                <w:rFonts w:ascii="Corbel" w:hAnsi="Corbel" w:cstheme="minorHAnsi"/>
                <w:sz w:val="16"/>
                <w:szCs w:val="16"/>
                <w:lang w:val="en-US"/>
              </w:rPr>
            </w:pPr>
          </w:p>
        </w:tc>
        <w:tc>
          <w:tcPr>
            <w:tcW w:w="992" w:type="dxa"/>
            <w:tcBorders>
              <w:left w:val="single" w:sz="4" w:space="0" w:color="auto"/>
            </w:tcBorders>
            <w:shd w:val="clear" w:color="auto" w:fill="auto"/>
            <w:noWrap/>
            <w:hideMark/>
          </w:tcPr>
          <w:p w14:paraId="25FA686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16.1.1</w:t>
            </w:r>
          </w:p>
        </w:tc>
        <w:tc>
          <w:tcPr>
            <w:tcW w:w="2977" w:type="dxa"/>
            <w:tcBorders>
              <w:right w:val="single" w:sz="4" w:space="0" w:color="auto"/>
            </w:tcBorders>
            <w:shd w:val="clear" w:color="auto" w:fill="auto"/>
            <w:noWrap/>
            <w:hideMark/>
          </w:tcPr>
          <w:p w14:paraId="12850AE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Total mortality rate - violence </w:t>
            </w:r>
          </w:p>
        </w:tc>
        <w:tc>
          <w:tcPr>
            <w:tcW w:w="1276" w:type="dxa"/>
            <w:tcBorders>
              <w:left w:val="single" w:sz="4" w:space="0" w:color="auto"/>
            </w:tcBorders>
            <w:shd w:val="clear" w:color="auto" w:fill="auto"/>
          </w:tcPr>
          <w:p w14:paraId="1500B3B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0.000022</w:t>
            </w:r>
          </w:p>
        </w:tc>
        <w:tc>
          <w:tcPr>
            <w:tcW w:w="1134" w:type="dxa"/>
            <w:shd w:val="clear" w:color="auto" w:fill="D9D9D9" w:themeFill="background1" w:themeFillShade="D9"/>
            <w:noWrap/>
            <w:hideMark/>
          </w:tcPr>
          <w:p w14:paraId="56FC0F6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0.00002</w:t>
            </w:r>
          </w:p>
        </w:tc>
        <w:tc>
          <w:tcPr>
            <w:tcW w:w="1389" w:type="dxa"/>
          </w:tcPr>
          <w:p w14:paraId="1EE7058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auto"/>
          </w:tcPr>
          <w:p w14:paraId="1FCB1D1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16.1 is to ‘significantly reduce’. Baseline is low for Australia. Target set as maintain or decrease; calibrated from timeseries data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&lt;EndNote&gt;&lt;Cite&gt;&lt;Author&gt;WHO&lt;/Author&gt;&lt;Year&gt;2018&lt;/Year&gt;&lt;RecNum&gt;1092&lt;/RecNum&gt;&lt;DisplayText&gt;(WHO, 2018, United Nations, 2018)&lt;/DisplayText&gt;&lt;record&gt;&lt;rec-number&gt;1092&lt;/rec-number&gt;&lt;foreign-keys&gt;&lt;key app="EN" db-id="9vsrvaat7fadwtesfsrpw5w5t0x5v500ef25" timestamp="1565238311"&gt;1092&lt;/key&gt;&lt;/foreign-keys&gt;&lt;ref-type name="Dataset"&gt;59&lt;/ref-type&gt;&lt;contributors&gt;&lt;authors&gt;&lt;author&gt;WHO,&lt;/author&gt;&lt;/authors&gt;&lt;/contributors&gt;&lt;titles&gt;&lt;title&gt;Global Health Estimates: Disease burden by Cause, Age, Sex, Country and Region&lt;/title&gt;&lt;/titles&gt;&lt;dates&gt;&lt;year&gt;2018&lt;/year&gt;&lt;/dates&gt;&lt;pub-location&gt;Switzerland&lt;/pub-location&gt;&lt;publisher&gt;World Health Organisation&lt;/publisher&gt;&lt;urls&gt;&lt;related-urls&gt;&lt;url&gt;https://www.who.int/healthinfo/global_burden_disease/estimates/en/index1.html&lt;/url&gt;&lt;/related-urls&gt;&lt;/urls&gt;&lt;access-date&gt;05/04/18&lt;/access-date&gt;&lt;/record&gt;&lt;/Cite&gt;&lt;Cite&gt;&lt;Author&gt;United Nations&lt;/Author&gt;&lt;Year&gt;2018&lt;/Year&gt;&lt;RecNum&gt;1086&lt;/RecNum&gt;&lt;record&gt;&lt;rec-number&gt;1086&lt;/rec-number&gt;&lt;foreign-keys&gt;&lt;key app="EN" db-id="9vsrvaat7fadwtesfsrpw5w5t0x5v500ef25" timestamp="1565230333"&gt;1086&lt;/key&gt;&lt;/foreign-keys&gt;&lt;ref-type name="Online Database"&gt;45&lt;/ref-type&gt;&lt;contributors&gt;&lt;authors&gt;&lt;author&gt;United Nations,&lt;/author&gt;&lt;/authors&gt;&lt;/contributors&gt;&lt;titles&gt;&lt;title&gt;United Nations Global SDG Database&lt;/title&gt;&lt;/titles&gt;&lt;dates&gt;&lt;year&gt;2018&lt;/year&gt;&lt;pub-dates&gt;&lt;date&gt;04/03/18&lt;/date&gt;&lt;/pub-dates&gt;&lt;/dates&gt;&lt;pub-location&gt;New York&lt;/pub-location&gt;&lt;publisher&gt;United Nations&lt;/publisher&gt;&lt;urls&gt;&lt;related-urls&gt;&lt;url&gt;https://unstats.un.org/sdgs/indicators/database/&lt;/url&gt;&lt;/related-urls&gt;&lt;/urls&gt;&lt;/record&gt;&lt;/Cite&gt;&lt;/EndNote&gt;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(WHO, 2018, United Nations, 2018)</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2EA4B919" w14:textId="77777777" w:rsidTr="003F50A4">
        <w:trPr>
          <w:trHeight w:val="300"/>
        </w:trPr>
        <w:tc>
          <w:tcPr>
            <w:tcW w:w="510" w:type="dxa"/>
            <w:shd w:val="clear" w:color="auto" w:fill="auto"/>
          </w:tcPr>
          <w:p w14:paraId="521D5A57"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4B1FA99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16.5 Substantially reduce corruption and bribery in all their forms</w:t>
            </w:r>
          </w:p>
        </w:tc>
        <w:tc>
          <w:tcPr>
            <w:tcW w:w="427" w:type="dxa"/>
            <w:tcBorders>
              <w:left w:val="single" w:sz="4" w:space="0" w:color="auto"/>
              <w:right w:val="single" w:sz="4" w:space="0" w:color="auto"/>
            </w:tcBorders>
          </w:tcPr>
          <w:p w14:paraId="3D0151F8" w14:textId="432DC14A" w:rsidR="003F50A4" w:rsidRPr="00FF510F" w:rsidRDefault="003F50A4" w:rsidP="007F346F">
            <w:pPr>
              <w:spacing w:after="0"/>
              <w:rPr>
                <w:rFonts w:ascii="Corbel" w:hAnsi="Corbel" w:cstheme="minorHAnsi"/>
                <w:sz w:val="16"/>
                <w:szCs w:val="16"/>
                <w:lang w:val="en-US"/>
              </w:rPr>
            </w:pPr>
          </w:p>
        </w:tc>
        <w:tc>
          <w:tcPr>
            <w:tcW w:w="992" w:type="dxa"/>
            <w:tcBorders>
              <w:left w:val="single" w:sz="4" w:space="0" w:color="auto"/>
            </w:tcBorders>
            <w:shd w:val="clear" w:color="auto" w:fill="auto"/>
            <w:noWrap/>
            <w:hideMark/>
          </w:tcPr>
          <w:p w14:paraId="76B27D5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16.5.2</w:t>
            </w:r>
          </w:p>
        </w:tc>
        <w:tc>
          <w:tcPr>
            <w:tcW w:w="2977" w:type="dxa"/>
            <w:tcBorders>
              <w:right w:val="single" w:sz="4" w:space="0" w:color="auto"/>
            </w:tcBorders>
            <w:shd w:val="clear" w:color="auto" w:fill="auto"/>
            <w:noWrap/>
            <w:hideMark/>
          </w:tcPr>
          <w:p w14:paraId="38807D0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Bribery incidence (score 0-1)</w:t>
            </w:r>
          </w:p>
        </w:tc>
        <w:tc>
          <w:tcPr>
            <w:tcW w:w="1276" w:type="dxa"/>
            <w:tcBorders>
              <w:left w:val="single" w:sz="4" w:space="0" w:color="auto"/>
            </w:tcBorders>
            <w:shd w:val="clear" w:color="auto" w:fill="auto"/>
          </w:tcPr>
          <w:p w14:paraId="3449556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0.23</w:t>
            </w:r>
          </w:p>
        </w:tc>
        <w:tc>
          <w:tcPr>
            <w:tcW w:w="1134" w:type="dxa"/>
            <w:shd w:val="clear" w:color="auto" w:fill="D9D9D9" w:themeFill="background1" w:themeFillShade="D9"/>
            <w:noWrap/>
            <w:hideMark/>
          </w:tcPr>
          <w:p w14:paraId="7C5D29E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0.21</w:t>
            </w:r>
          </w:p>
        </w:tc>
        <w:tc>
          <w:tcPr>
            <w:tcW w:w="1389" w:type="dxa"/>
          </w:tcPr>
          <w:p w14:paraId="1D1E521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auto"/>
          </w:tcPr>
          <w:p w14:paraId="2F3F68D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16.5 is to substantially reduce. Baseline is low for Australia. </w:t>
            </w:r>
            <w:r w:rsidRPr="00FF510F">
              <w:rPr>
                <w:rFonts w:ascii="Corbel" w:hAnsi="Corbel" w:cstheme="minorHAnsi"/>
                <w:sz w:val="16"/>
                <w:szCs w:val="16"/>
                <w:lang w:val="en-US"/>
              </w:rPr>
              <w:lastRenderedPageBreak/>
              <w:t xml:space="preserve">Target set at 10% improvement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&lt;EndNote&gt;&lt;Cite&gt;&lt;Author&gt;Transparency International&lt;/Author&gt;&lt;Year&gt;2016&lt;/Year&gt;&lt;RecNum&gt;1093&lt;/RecNum&gt;&lt;DisplayText&gt;(Transparency International, 2016)&lt;/DisplayText&gt;&lt;record&gt;&lt;rec-number&gt;1093&lt;/rec-number&gt;&lt;foreign-keys&gt;&lt;key app="EN" db-id="9vsrvaat7fadwtesfsrpw5w5t0x5v500ef25" timestamp="1565238709"&gt;1093&lt;/key&gt;&lt;/foreign-keys&gt;&lt;ref-type name="Dataset"&gt;59&lt;/ref-type&gt;&lt;contributors&gt;&lt;authors&gt;&lt;author&gt;Transparency International,&lt;/author&gt;&lt;/authors&gt;&lt;/contributors&gt;&lt;titles&gt;&lt;title&gt;Corruption Perception Index&lt;/title&gt;&lt;/titles&gt;&lt;dates&gt;&lt;year&gt;2016&lt;/year&gt;&lt;/dates&gt;&lt;pub-location&gt;Berlin&lt;/pub-location&gt;&lt;publisher&gt;Transparency International&lt;/publisher&gt;&lt;urls&gt;&lt;related-urls&gt;&lt;url&gt;https://www.transparency.org/research/cpi/overview&lt;/url&gt;&lt;/related-urls&gt;&lt;/urls&gt;&lt;access-date&gt;12/12/17&lt;/access-date&gt;&lt;/record&gt;&lt;/Cite&gt;&lt;/EndNote&gt;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(Transparency International, 2016)</w:t>
            </w:r>
            <w:r w:rsidRPr="00FF510F">
              <w:rPr>
                <w:rFonts w:ascii="Corbel" w:hAnsi="Corbel" w:cstheme="minorHAnsi"/>
                <w:sz w:val="16"/>
                <w:szCs w:val="16"/>
                <w:lang w:val="en-US"/>
              </w:rPr>
              <w:fldChar w:fldCharType="end"/>
            </w:r>
          </w:p>
        </w:tc>
      </w:tr>
      <w:tr w:rsidR="003F50A4" w:rsidRPr="00FF510F" w14:paraId="048794A6" w14:textId="77777777" w:rsidTr="003F50A4">
        <w:trPr>
          <w:trHeight w:val="300"/>
        </w:trPr>
        <w:tc>
          <w:tcPr>
            <w:tcW w:w="510" w:type="dxa"/>
            <w:shd w:val="clear" w:color="auto" w:fill="auto"/>
          </w:tcPr>
          <w:p w14:paraId="005DBD24"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272DC56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16.6 Develop effective, </w:t>
            </w:r>
            <w:proofErr w:type="gramStart"/>
            <w:r w:rsidRPr="00FF510F">
              <w:rPr>
                <w:rFonts w:ascii="Corbel" w:hAnsi="Corbel" w:cstheme="minorHAnsi"/>
                <w:sz w:val="16"/>
                <w:szCs w:val="16"/>
                <w:lang w:val="en-US"/>
              </w:rPr>
              <w:t>accountable</w:t>
            </w:r>
            <w:proofErr w:type="gramEnd"/>
            <w:r w:rsidRPr="00FF510F">
              <w:rPr>
                <w:rFonts w:ascii="Corbel" w:hAnsi="Corbel" w:cstheme="minorHAnsi"/>
                <w:sz w:val="16"/>
                <w:szCs w:val="16"/>
                <w:lang w:val="en-US"/>
              </w:rPr>
              <w:t xml:space="preserve"> and transparent institutions at all levels</w:t>
            </w:r>
          </w:p>
        </w:tc>
        <w:tc>
          <w:tcPr>
            <w:tcW w:w="427" w:type="dxa"/>
            <w:tcBorders>
              <w:left w:val="single" w:sz="4" w:space="0" w:color="auto"/>
              <w:right w:val="single" w:sz="4" w:space="0" w:color="auto"/>
            </w:tcBorders>
          </w:tcPr>
          <w:p w14:paraId="07A0822E" w14:textId="4D5CF931" w:rsidR="003F50A4" w:rsidRPr="00FF510F" w:rsidRDefault="003F50A4" w:rsidP="007F346F">
            <w:pPr>
              <w:spacing w:after="0"/>
              <w:rPr>
                <w:rFonts w:ascii="Corbel" w:hAnsi="Corbel" w:cstheme="minorHAnsi"/>
                <w:sz w:val="16"/>
                <w:szCs w:val="16"/>
                <w:lang w:val="en-US"/>
              </w:rPr>
            </w:pPr>
          </w:p>
        </w:tc>
        <w:tc>
          <w:tcPr>
            <w:tcW w:w="992" w:type="dxa"/>
            <w:tcBorders>
              <w:left w:val="single" w:sz="4" w:space="0" w:color="auto"/>
            </w:tcBorders>
            <w:shd w:val="clear" w:color="auto" w:fill="auto"/>
            <w:noWrap/>
          </w:tcPr>
          <w:p w14:paraId="33AED4E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16.6.</w:t>
            </w:r>
            <w:proofErr w:type="gramStart"/>
            <w:r w:rsidRPr="00FF510F">
              <w:rPr>
                <w:rFonts w:ascii="Corbel" w:hAnsi="Corbel" w:cstheme="minorHAnsi"/>
                <w:sz w:val="16"/>
                <w:szCs w:val="16"/>
                <w:lang w:val="en-US"/>
              </w:rPr>
              <w:t>2.ALT</w:t>
            </w:r>
            <w:proofErr w:type="gramEnd"/>
            <w:r w:rsidRPr="00FF510F">
              <w:rPr>
                <w:rFonts w:ascii="Corbel" w:hAnsi="Corbel" w:cstheme="minorHAnsi"/>
                <w:sz w:val="16"/>
                <w:szCs w:val="16"/>
                <w:lang w:val="en-US"/>
              </w:rPr>
              <w:t>1</w:t>
            </w:r>
          </w:p>
        </w:tc>
        <w:tc>
          <w:tcPr>
            <w:tcW w:w="2977" w:type="dxa"/>
            <w:tcBorders>
              <w:right w:val="single" w:sz="4" w:space="0" w:color="auto"/>
            </w:tcBorders>
            <w:shd w:val="clear" w:color="auto" w:fill="auto"/>
            <w:noWrap/>
          </w:tcPr>
          <w:p w14:paraId="5529C87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Government effectiveness (score -2.5 to +2.5)</w:t>
            </w:r>
          </w:p>
        </w:tc>
        <w:tc>
          <w:tcPr>
            <w:tcW w:w="1276" w:type="dxa"/>
            <w:tcBorders>
              <w:left w:val="single" w:sz="4" w:space="0" w:color="auto"/>
            </w:tcBorders>
            <w:shd w:val="clear" w:color="auto" w:fill="auto"/>
          </w:tcPr>
          <w:p w14:paraId="3EFBE8A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1.6</w:t>
            </w:r>
          </w:p>
        </w:tc>
        <w:tc>
          <w:tcPr>
            <w:tcW w:w="1134" w:type="dxa"/>
            <w:shd w:val="clear" w:color="auto" w:fill="D9D9D9" w:themeFill="background1" w:themeFillShade="D9"/>
            <w:noWrap/>
          </w:tcPr>
          <w:p w14:paraId="61181DD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1.9</w:t>
            </w:r>
          </w:p>
        </w:tc>
        <w:tc>
          <w:tcPr>
            <w:tcW w:w="1389" w:type="dxa"/>
          </w:tcPr>
          <w:p w14:paraId="753D812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auto"/>
          </w:tcPr>
          <w:p w14:paraId="5391341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at 1.9 on index scale; calibrated from timeseries data and top performing countries (max (2015) = 2.24)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&lt;EndNote&gt;&lt;Cite&gt;&lt;Author&gt;Kaufman&lt;/Author&gt;&lt;Year&gt;2016&lt;/Year&gt;&lt;RecNum&gt;1045&lt;/RecNum&gt;&lt;DisplayText&gt;(Kaufman and Kraay, 2016)&lt;/DisplayText&gt;&lt;record&gt;&lt;rec-number&gt;1045&lt;/rec-number&gt;&lt;foreign-keys&gt;&lt;key app="EN" db-id="9vsrvaat7fadwtesfsrpw5w5t0x5v500ef25" timestamp="1565084453"&gt;1045&lt;/key&gt;&lt;/foreign-keys&gt;&lt;ref-type name="Dataset"&gt;59&lt;/ref-type&gt;&lt;contributors&gt;&lt;authors&gt;&lt;author&gt;Kaufman, D&lt;/author&gt;&lt;author&gt;Kraay, A&lt;/author&gt;&lt;/authors&gt;&lt;/contributors&gt;&lt;titles&gt;&lt;title&gt;Worldwide Governance Indicators&lt;/title&gt;&lt;/titles&gt;&lt;dates&gt;&lt;year&gt;2016&lt;/year&gt;&lt;/dates&gt;&lt;pub-location&gt;Washington, USA&lt;/pub-location&gt;&lt;publisher&gt;The World Bank&lt;/publisher&gt;&lt;urls&gt;&lt;related-urls&gt;&lt;url&gt;http://info.worldbank.org/governance/wgi/index.aspx#home&lt;/url&gt;&lt;/related-urls&gt;&lt;/urls&gt;&lt;access-date&gt;11/12/17&lt;/access-date&gt;&lt;/record&gt;&lt;/Cite&gt;&lt;/EndNote&gt;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(Kaufman and Kraay, 2016)</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and historic maximum for Australia (2.0).</w:t>
            </w:r>
          </w:p>
        </w:tc>
      </w:tr>
      <w:tr w:rsidR="003F50A4" w:rsidRPr="00FF510F" w14:paraId="19BDB1AC" w14:textId="77777777" w:rsidTr="003F50A4">
        <w:trPr>
          <w:trHeight w:val="300"/>
        </w:trPr>
        <w:tc>
          <w:tcPr>
            <w:tcW w:w="510" w:type="dxa"/>
            <w:shd w:val="clear" w:color="auto" w:fill="auto"/>
          </w:tcPr>
          <w:p w14:paraId="605E4C51"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1CA2991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16.6</w:t>
            </w:r>
          </w:p>
        </w:tc>
        <w:tc>
          <w:tcPr>
            <w:tcW w:w="427" w:type="dxa"/>
            <w:tcBorders>
              <w:left w:val="single" w:sz="4" w:space="0" w:color="auto"/>
              <w:right w:val="single" w:sz="4" w:space="0" w:color="auto"/>
            </w:tcBorders>
          </w:tcPr>
          <w:p w14:paraId="2DD5437C" w14:textId="02D0A751" w:rsidR="003F50A4" w:rsidRPr="00FF510F" w:rsidRDefault="003F50A4" w:rsidP="007F346F">
            <w:pPr>
              <w:spacing w:after="0"/>
              <w:rPr>
                <w:rFonts w:ascii="Corbel" w:hAnsi="Corbel" w:cstheme="minorHAnsi"/>
                <w:sz w:val="16"/>
                <w:szCs w:val="16"/>
                <w:lang w:val="en-US"/>
              </w:rPr>
            </w:pPr>
          </w:p>
        </w:tc>
        <w:tc>
          <w:tcPr>
            <w:tcW w:w="992" w:type="dxa"/>
            <w:tcBorders>
              <w:left w:val="single" w:sz="4" w:space="0" w:color="auto"/>
            </w:tcBorders>
            <w:shd w:val="clear" w:color="auto" w:fill="auto"/>
            <w:noWrap/>
          </w:tcPr>
          <w:p w14:paraId="698AB98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16.6.</w:t>
            </w:r>
            <w:proofErr w:type="gramStart"/>
            <w:r w:rsidRPr="00FF510F">
              <w:rPr>
                <w:rFonts w:ascii="Corbel" w:hAnsi="Corbel" w:cstheme="minorHAnsi"/>
                <w:sz w:val="16"/>
                <w:szCs w:val="16"/>
                <w:lang w:val="en-US"/>
              </w:rPr>
              <w:t>2.ALT</w:t>
            </w:r>
            <w:proofErr w:type="gramEnd"/>
            <w:r w:rsidRPr="00FF510F">
              <w:rPr>
                <w:rFonts w:ascii="Corbel" w:hAnsi="Corbel" w:cstheme="minorHAnsi"/>
                <w:sz w:val="16"/>
                <w:szCs w:val="16"/>
                <w:lang w:val="en-US"/>
              </w:rPr>
              <w:t>2</w:t>
            </w:r>
          </w:p>
        </w:tc>
        <w:tc>
          <w:tcPr>
            <w:tcW w:w="2977" w:type="dxa"/>
            <w:tcBorders>
              <w:right w:val="single" w:sz="4" w:space="0" w:color="auto"/>
            </w:tcBorders>
            <w:shd w:val="clear" w:color="auto" w:fill="auto"/>
            <w:noWrap/>
          </w:tcPr>
          <w:p w14:paraId="09FC1C7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Political stability (score -2.5 to +2.5)</w:t>
            </w:r>
          </w:p>
        </w:tc>
        <w:tc>
          <w:tcPr>
            <w:tcW w:w="1276" w:type="dxa"/>
            <w:tcBorders>
              <w:left w:val="single" w:sz="4" w:space="0" w:color="auto"/>
            </w:tcBorders>
            <w:shd w:val="clear" w:color="auto" w:fill="auto"/>
          </w:tcPr>
          <w:p w14:paraId="27DD432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0.9</w:t>
            </w:r>
          </w:p>
        </w:tc>
        <w:tc>
          <w:tcPr>
            <w:tcW w:w="1134" w:type="dxa"/>
            <w:shd w:val="clear" w:color="auto" w:fill="D9D9D9" w:themeFill="background1" w:themeFillShade="D9"/>
            <w:noWrap/>
          </w:tcPr>
          <w:p w14:paraId="6E65BF9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1.8</w:t>
            </w:r>
          </w:p>
        </w:tc>
        <w:tc>
          <w:tcPr>
            <w:tcW w:w="1389" w:type="dxa"/>
          </w:tcPr>
          <w:p w14:paraId="5073622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auto"/>
          </w:tcPr>
          <w:p w14:paraId="7588BCB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at 1.8 on index scale; calibrated from timeseries data; data on top performing countries and BAU projection (max (2015) =  1.94)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&lt;EndNote&gt;&lt;Cite&gt;&lt;Author&gt;Kaufman&lt;/Author&gt;&lt;Year&gt;2016&lt;/Year&gt;&lt;RecNum&gt;1045&lt;/RecNum&gt;&lt;DisplayText&gt;(Kaufman and Kraay, 2016)&lt;/DisplayText&gt;&lt;record&gt;&lt;rec-number&gt;1045&lt;/rec-number&gt;&lt;foreign-keys&gt;&lt;key app="EN" db-id="9vsrvaat7fadwtesfsrpw5w5t0x5v500ef25" timestamp="1565084453"&gt;1045&lt;/key&gt;&lt;/foreign-keys&gt;&lt;ref-type name="Dataset"&gt;59&lt;/ref-type&gt;&lt;contributors&gt;&lt;authors&gt;&lt;author&gt;Kaufman, D&lt;/author&gt;&lt;author&gt;Kraay, A&lt;/author&gt;&lt;/authors&gt;&lt;/contributors&gt;&lt;titles&gt;&lt;title&gt;Worldwide Governance Indicators&lt;/title&gt;&lt;/titles&gt;&lt;dates&gt;&lt;year&gt;2016&lt;/year&gt;&lt;/dates&gt;&lt;pub-location&gt;Washington, USA&lt;/pub-location&gt;&lt;publisher&gt;The World Bank&lt;/publisher&gt;&lt;urls&gt;&lt;related-urls&gt;&lt;url&gt;http://info.worldbank.org/governance/wgi/index.aspx#home&lt;/url&gt;&lt;/related-urls&gt;&lt;/urls&gt;&lt;access-date&gt;11/12/17&lt;/access-date&gt;&lt;/record&gt;&lt;/Cite&gt;&lt;/EndNote&gt;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(Kaufman and Kraay, 2016)</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5F746492" w14:textId="77777777" w:rsidTr="003F50A4">
        <w:trPr>
          <w:trHeight w:val="300"/>
        </w:trPr>
        <w:tc>
          <w:tcPr>
            <w:tcW w:w="510" w:type="dxa"/>
            <w:shd w:val="clear" w:color="auto" w:fill="auto"/>
          </w:tcPr>
          <w:p w14:paraId="1D55D5A6"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00F203B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16.7 Ensure responsive, inclusive, </w:t>
            </w:r>
            <w:proofErr w:type="gramStart"/>
            <w:r w:rsidRPr="00FF510F">
              <w:rPr>
                <w:rFonts w:ascii="Corbel" w:hAnsi="Corbel" w:cstheme="minorHAnsi"/>
                <w:sz w:val="16"/>
                <w:szCs w:val="16"/>
                <w:lang w:val="en-US"/>
              </w:rPr>
              <w:t>participatory</w:t>
            </w:r>
            <w:proofErr w:type="gramEnd"/>
            <w:r w:rsidRPr="00FF510F">
              <w:rPr>
                <w:rFonts w:ascii="Corbel" w:hAnsi="Corbel" w:cstheme="minorHAnsi"/>
                <w:sz w:val="16"/>
                <w:szCs w:val="16"/>
                <w:lang w:val="en-US"/>
              </w:rPr>
              <w:t xml:space="preserve"> and representative decision-making at all levels</w:t>
            </w:r>
          </w:p>
        </w:tc>
        <w:tc>
          <w:tcPr>
            <w:tcW w:w="427" w:type="dxa"/>
            <w:tcBorders>
              <w:left w:val="single" w:sz="4" w:space="0" w:color="auto"/>
              <w:right w:val="single" w:sz="4" w:space="0" w:color="auto"/>
            </w:tcBorders>
          </w:tcPr>
          <w:p w14:paraId="7779B625" w14:textId="19AF9217" w:rsidR="003F50A4" w:rsidRPr="00FF510F" w:rsidRDefault="003F50A4" w:rsidP="007F346F">
            <w:pPr>
              <w:spacing w:after="0"/>
              <w:rPr>
                <w:rFonts w:ascii="Corbel" w:hAnsi="Corbel" w:cstheme="minorHAnsi"/>
                <w:sz w:val="16"/>
                <w:szCs w:val="16"/>
                <w:lang w:val="en-US"/>
              </w:rPr>
            </w:pPr>
          </w:p>
        </w:tc>
        <w:tc>
          <w:tcPr>
            <w:tcW w:w="992" w:type="dxa"/>
            <w:tcBorders>
              <w:left w:val="single" w:sz="4" w:space="0" w:color="auto"/>
            </w:tcBorders>
            <w:shd w:val="clear" w:color="auto" w:fill="auto"/>
            <w:noWrap/>
            <w:hideMark/>
          </w:tcPr>
          <w:p w14:paraId="134DA75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16.7.2alt</w:t>
            </w:r>
          </w:p>
        </w:tc>
        <w:tc>
          <w:tcPr>
            <w:tcW w:w="2977" w:type="dxa"/>
            <w:tcBorders>
              <w:right w:val="single" w:sz="4" w:space="0" w:color="auto"/>
            </w:tcBorders>
            <w:shd w:val="clear" w:color="auto" w:fill="auto"/>
            <w:noWrap/>
            <w:hideMark/>
          </w:tcPr>
          <w:p w14:paraId="2518D4A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Normalized average governance index (proxy score 0-1)</w:t>
            </w:r>
          </w:p>
        </w:tc>
        <w:tc>
          <w:tcPr>
            <w:tcW w:w="1276" w:type="dxa"/>
            <w:tcBorders>
              <w:left w:val="single" w:sz="4" w:space="0" w:color="auto"/>
            </w:tcBorders>
            <w:shd w:val="clear" w:color="auto" w:fill="auto"/>
          </w:tcPr>
          <w:p w14:paraId="44A1BDD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0.8</w:t>
            </w:r>
          </w:p>
        </w:tc>
        <w:tc>
          <w:tcPr>
            <w:tcW w:w="1134" w:type="dxa"/>
            <w:shd w:val="clear" w:color="auto" w:fill="D9D9D9" w:themeFill="background1" w:themeFillShade="D9"/>
            <w:noWrap/>
            <w:hideMark/>
          </w:tcPr>
          <w:p w14:paraId="0BFBBD8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0.82</w:t>
            </w:r>
          </w:p>
        </w:tc>
        <w:tc>
          <w:tcPr>
            <w:tcW w:w="1389" w:type="dxa"/>
          </w:tcPr>
          <w:p w14:paraId="53A31CF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auto"/>
          </w:tcPr>
          <w:p w14:paraId="339B14A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at 0.82 on normalized scale (10% improvement); calibrated from BAU projection and World Bank governance data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&lt;EndNote&gt;&lt;Cite&gt;&lt;Author&gt;Kaufman&lt;/Author&gt;&lt;Year&gt;2016&lt;/Year&gt;&lt;RecNum&gt;1045&lt;/RecNum&gt;&lt;DisplayText&gt;(Kaufman and Kraay, 2016)&lt;/DisplayText&gt;&lt;record&gt;&lt;rec-number&gt;1045&lt;/rec-number&gt;&lt;foreign-keys&gt;&lt;key app="EN" db-id="9vsrvaat7fadwtesfsrpw5w5t0x5v500ef25" timestamp="1565084453"&gt;1045&lt;/key&gt;&lt;/foreign-keys&gt;&lt;ref-type name="Dataset"&gt;59&lt;/ref-type&gt;&lt;contributors&gt;&lt;authors&gt;&lt;author&gt;Kaufman, D&lt;/author&gt;&lt;author&gt;Kraay, A&lt;/author&gt;&lt;/authors&gt;&lt;/contributors&gt;&lt;titles&gt;&lt;title&gt;Worldwide Governance Indicators&lt;/title&gt;&lt;/titles&gt;&lt;dates&gt;&lt;year&gt;2016&lt;/year&gt;&lt;/dates&gt;&lt;pub-location&gt;Washington, USA&lt;/pub-location&gt;&lt;publisher&gt;The World Bank&lt;/publisher&gt;&lt;urls&gt;&lt;related-urls&gt;&lt;url&gt;http://info.worldbank.org/governance/wgi/index.aspx#home&lt;/url&gt;&lt;/related-urls&gt;&lt;/urls&gt;&lt;access-date&gt;11/12/17&lt;/access-date&gt;&lt;/record&gt;&lt;/Cite&gt;&lt;/EndNote&gt;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(Kaufman and Kraay, 2016)</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467C3963" w14:textId="77777777" w:rsidTr="003F50A4">
        <w:trPr>
          <w:trHeight w:val="54"/>
        </w:trPr>
        <w:tc>
          <w:tcPr>
            <w:tcW w:w="510" w:type="dxa"/>
            <w:shd w:val="clear" w:color="auto" w:fill="D9D9D9" w:themeFill="background1" w:themeFillShade="D9"/>
          </w:tcPr>
          <w:p w14:paraId="0F431254" w14:textId="77777777" w:rsidR="003F50A4" w:rsidRPr="00FF510F" w:rsidRDefault="003F50A4" w:rsidP="007F346F">
            <w:pPr>
              <w:spacing w:after="0"/>
              <w:rPr>
                <w:rFonts w:ascii="Corbel" w:hAnsi="Corbel" w:cstheme="minorHAnsi"/>
                <w:sz w:val="8"/>
                <w:szCs w:val="8"/>
                <w:lang w:val="en-US"/>
              </w:rPr>
            </w:pPr>
          </w:p>
        </w:tc>
        <w:tc>
          <w:tcPr>
            <w:tcW w:w="4195" w:type="dxa"/>
            <w:tcBorders>
              <w:right w:val="single" w:sz="4" w:space="0" w:color="auto"/>
            </w:tcBorders>
            <w:shd w:val="clear" w:color="auto" w:fill="D9D9D9" w:themeFill="background1" w:themeFillShade="D9"/>
          </w:tcPr>
          <w:p w14:paraId="1B22D977" w14:textId="77777777" w:rsidR="003F50A4" w:rsidRPr="00FF510F" w:rsidRDefault="003F50A4" w:rsidP="007F346F">
            <w:pPr>
              <w:spacing w:after="0"/>
              <w:rPr>
                <w:rFonts w:ascii="Corbel" w:hAnsi="Corbel" w:cstheme="minorHAnsi"/>
                <w:sz w:val="8"/>
                <w:szCs w:val="8"/>
                <w:lang w:val="en-US"/>
              </w:rPr>
            </w:pPr>
          </w:p>
        </w:tc>
        <w:tc>
          <w:tcPr>
            <w:tcW w:w="427" w:type="dxa"/>
            <w:tcBorders>
              <w:left w:val="single" w:sz="4" w:space="0" w:color="auto"/>
              <w:right w:val="single" w:sz="4" w:space="0" w:color="auto"/>
            </w:tcBorders>
            <w:shd w:val="clear" w:color="auto" w:fill="D9D9D9" w:themeFill="background1" w:themeFillShade="D9"/>
          </w:tcPr>
          <w:p w14:paraId="6D45B752"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2696AE5D"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7DABFD13"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4A18B332"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309F5138"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6AFB92D4"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503CC5C7" w14:textId="77777777" w:rsidR="003F50A4" w:rsidRPr="00FF510F" w:rsidRDefault="003F50A4" w:rsidP="007F346F">
            <w:pPr>
              <w:spacing w:after="0"/>
              <w:rPr>
                <w:rFonts w:ascii="Corbel" w:hAnsi="Corbel" w:cstheme="minorHAnsi"/>
                <w:sz w:val="8"/>
                <w:szCs w:val="8"/>
                <w:lang w:val="en-US"/>
              </w:rPr>
            </w:pPr>
          </w:p>
        </w:tc>
      </w:tr>
      <w:tr w:rsidR="003F50A4" w:rsidRPr="00FF510F" w14:paraId="0E84AD68" w14:textId="77777777" w:rsidTr="003F50A4">
        <w:trPr>
          <w:trHeight w:val="300"/>
        </w:trPr>
        <w:tc>
          <w:tcPr>
            <w:tcW w:w="510" w:type="dxa"/>
            <w:shd w:val="clear" w:color="auto" w:fill="auto"/>
          </w:tcPr>
          <w:p w14:paraId="26B2597E"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231FF80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17.1 Strengthen domestic resource mobilization, including through international support to developing countries, to improve domestic capacity for tax and other revenue collection</w:t>
            </w:r>
          </w:p>
        </w:tc>
        <w:tc>
          <w:tcPr>
            <w:tcW w:w="427" w:type="dxa"/>
            <w:tcBorders>
              <w:left w:val="single" w:sz="4" w:space="0" w:color="auto"/>
              <w:right w:val="single" w:sz="4" w:space="0" w:color="auto"/>
            </w:tcBorders>
          </w:tcPr>
          <w:p w14:paraId="4230D502" w14:textId="7F8430A7" w:rsidR="003F50A4" w:rsidRPr="00FF510F" w:rsidRDefault="003F50A4" w:rsidP="007F346F">
            <w:pPr>
              <w:spacing w:after="0"/>
              <w:rPr>
                <w:rFonts w:ascii="Corbel" w:hAnsi="Corbel" w:cstheme="minorHAnsi"/>
                <w:sz w:val="16"/>
                <w:szCs w:val="16"/>
                <w:lang w:val="en-US"/>
              </w:rPr>
            </w:pPr>
          </w:p>
        </w:tc>
        <w:tc>
          <w:tcPr>
            <w:tcW w:w="992" w:type="dxa"/>
            <w:tcBorders>
              <w:left w:val="single" w:sz="4" w:space="0" w:color="auto"/>
            </w:tcBorders>
            <w:shd w:val="clear" w:color="auto" w:fill="auto"/>
            <w:noWrap/>
            <w:hideMark/>
          </w:tcPr>
          <w:p w14:paraId="6668742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17.1.1a</w:t>
            </w:r>
          </w:p>
        </w:tc>
        <w:tc>
          <w:tcPr>
            <w:tcW w:w="2977" w:type="dxa"/>
            <w:tcBorders>
              <w:right w:val="single" w:sz="4" w:space="0" w:color="auto"/>
            </w:tcBorders>
            <w:shd w:val="clear" w:color="auto" w:fill="auto"/>
            <w:noWrap/>
            <w:hideMark/>
          </w:tcPr>
          <w:p w14:paraId="503D18D8"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Domestic revenue as share of GDP (%)</w:t>
            </w:r>
          </w:p>
        </w:tc>
        <w:tc>
          <w:tcPr>
            <w:tcW w:w="1276" w:type="dxa"/>
            <w:tcBorders>
              <w:left w:val="single" w:sz="4" w:space="0" w:color="auto"/>
            </w:tcBorders>
            <w:shd w:val="clear" w:color="auto" w:fill="auto"/>
          </w:tcPr>
          <w:p w14:paraId="52EEE90A"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0.344</w:t>
            </w:r>
          </w:p>
        </w:tc>
        <w:tc>
          <w:tcPr>
            <w:tcW w:w="1134" w:type="dxa"/>
            <w:shd w:val="clear" w:color="auto" w:fill="D9D9D9" w:themeFill="background1" w:themeFillShade="D9"/>
            <w:noWrap/>
            <w:hideMark/>
          </w:tcPr>
          <w:p w14:paraId="326F04E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0.344</w:t>
            </w:r>
          </w:p>
        </w:tc>
        <w:tc>
          <w:tcPr>
            <w:tcW w:w="1389" w:type="dxa"/>
          </w:tcPr>
          <w:p w14:paraId="681C6E81"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auto"/>
          </w:tcPr>
          <w:p w14:paraId="25C8417A" w14:textId="472D2CD2"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SDG Target 17.1 is to strengthen. Target set maintain baseline; calibrated from timeseries data (max = 0.37) </w:t>
            </w:r>
            <w:r w:rsidRPr="00FF510F">
              <w:rPr>
                <w:rFonts w:ascii="Corbel" w:hAnsi="Corbel" w:cstheme="minorHAnsi"/>
                <w:sz w:val="16"/>
                <w:szCs w:val="16"/>
                <w:lang w:val="en-US"/>
              </w:rPr>
              <w:fldChar w:fldCharType="begin">
                <w:fldData xml:space="preserve">PEVuZE5vdGU+PENpdGU+PEF1dGhvcj5BQlM8L0F1dGhvcj48WWVhcj4yMDIxPC9ZZWFyPjxSZWNO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</w:fldData>
              </w:fldChar>
            </w:r>
            <w:r w:rsidR="00695152">
              <w:rPr>
                <w:rFonts w:ascii="Corbel" w:hAnsi="Corbel" w:cstheme="minorHAnsi"/>
                <w:sz w:val="16"/>
                <w:szCs w:val="16"/>
                <w:lang w:val="en-US"/>
              </w:rPr>
              <w:instrText xml:space="preserve"> ADDIN EN.CITE </w:instrText>
            </w:r>
            <w:r w:rsidR="00695152">
              <w:rPr>
                <w:rFonts w:ascii="Corbel" w:hAnsi="Corbel" w:cstheme="minorHAnsi"/>
                <w:sz w:val="16"/>
                <w:szCs w:val="16"/>
                <w:lang w:val="en-US"/>
              </w:rPr>
              <w:fldChar w:fldCharType="begin">
                <w:fldData xml:space="preserve">PEVuZE5vdGU+PENpdGU+PEF1dGhvcj5BQlM8L0F1dGhvcj48WWVhcj4yMDIxPC9ZZWFyPjxSZWNO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</w:fldData>
              </w:fldChar>
            </w:r>
            <w:r w:rsidR="00695152">
              <w:rPr>
                <w:rFonts w:ascii="Corbel" w:hAnsi="Corbel" w:cstheme="minorHAnsi"/>
                <w:sz w:val="16"/>
                <w:szCs w:val="16"/>
                <w:lang w:val="en-US"/>
              </w:rPr>
              <w:instrText xml:space="preserve"> ADDIN EN.CITE.DATA </w:instrText>
            </w:r>
            <w:r w:rsidR="00695152">
              <w:rPr>
                <w:rFonts w:ascii="Corbel" w:hAnsi="Corbel" w:cstheme="minorHAnsi"/>
                <w:sz w:val="16"/>
                <w:szCs w:val="16"/>
                <w:lang w:val="en-US"/>
              </w:rPr>
            </w:r>
            <w:r w:rsidR="00695152">
              <w:rPr>
                <w:rFonts w:ascii="Corbel" w:hAnsi="Corbel" w:cstheme="minorHAnsi"/>
                <w:sz w:val="16"/>
                <w:szCs w:val="16"/>
                <w:lang w:val="en-US"/>
              </w:rPr>
              <w:fldChar w:fldCharType="end"/>
            </w:r>
            <w:r w:rsidRPr="00FF510F">
              <w:rPr>
                <w:rFonts w:ascii="Corbel" w:hAnsi="Corbel" w:cstheme="minorHAnsi"/>
                <w:sz w:val="16"/>
                <w:szCs w:val="16"/>
                <w:lang w:val="en-US"/>
              </w:rPr>
            </w:r>
            <w:r w:rsidRPr="00FF510F">
              <w:rPr>
                <w:rFonts w:ascii="Corbel" w:hAnsi="Corbel" w:cstheme="minorHAnsi"/>
                <w:sz w:val="16"/>
                <w:szCs w:val="16"/>
                <w:lang w:val="en-US"/>
              </w:rPr>
              <w:fldChar w:fldCharType="separate"/>
            </w:r>
            <w:r w:rsidR="00695152">
              <w:rPr>
                <w:rFonts w:ascii="Corbel" w:hAnsi="Corbel" w:cstheme="minorHAnsi"/>
                <w:noProof/>
                <w:sz w:val="16"/>
                <w:szCs w:val="16"/>
                <w:lang w:val="en-US"/>
              </w:rPr>
              <w:t>(ABS, 2021b, World Bank, 2022b, OECD, 2018b)</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719C7706" w14:textId="77777777" w:rsidTr="003F50A4">
        <w:trPr>
          <w:trHeight w:val="300"/>
        </w:trPr>
        <w:tc>
          <w:tcPr>
            <w:tcW w:w="510" w:type="dxa"/>
            <w:shd w:val="clear" w:color="auto" w:fill="auto"/>
          </w:tcPr>
          <w:p w14:paraId="12FD1838"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1296E0F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17.1</w:t>
            </w:r>
          </w:p>
        </w:tc>
        <w:tc>
          <w:tcPr>
            <w:tcW w:w="427" w:type="dxa"/>
            <w:tcBorders>
              <w:left w:val="single" w:sz="4" w:space="0" w:color="auto"/>
              <w:right w:val="single" w:sz="4" w:space="0" w:color="auto"/>
            </w:tcBorders>
          </w:tcPr>
          <w:p w14:paraId="12567BB9" w14:textId="0D4B85A2" w:rsidR="003F50A4" w:rsidRPr="00FF510F" w:rsidRDefault="003F50A4" w:rsidP="007F346F">
            <w:pPr>
              <w:spacing w:after="0"/>
              <w:rPr>
                <w:rFonts w:ascii="Corbel" w:hAnsi="Corbel" w:cstheme="minorHAnsi"/>
                <w:sz w:val="16"/>
                <w:szCs w:val="16"/>
                <w:lang w:val="en-US"/>
              </w:rPr>
            </w:pPr>
          </w:p>
        </w:tc>
        <w:tc>
          <w:tcPr>
            <w:tcW w:w="992" w:type="dxa"/>
            <w:tcBorders>
              <w:left w:val="single" w:sz="4" w:space="0" w:color="auto"/>
            </w:tcBorders>
            <w:shd w:val="clear" w:color="auto" w:fill="auto"/>
            <w:noWrap/>
            <w:hideMark/>
          </w:tcPr>
          <w:p w14:paraId="1AD51923"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17.1.2</w:t>
            </w:r>
          </w:p>
        </w:tc>
        <w:tc>
          <w:tcPr>
            <w:tcW w:w="2977" w:type="dxa"/>
            <w:tcBorders>
              <w:right w:val="single" w:sz="4" w:space="0" w:color="auto"/>
            </w:tcBorders>
            <w:shd w:val="clear" w:color="auto" w:fill="auto"/>
            <w:noWrap/>
            <w:hideMark/>
          </w:tcPr>
          <w:p w14:paraId="7C321EA4"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Tax burden </w:t>
            </w:r>
          </w:p>
        </w:tc>
        <w:tc>
          <w:tcPr>
            <w:tcW w:w="1276" w:type="dxa"/>
            <w:tcBorders>
              <w:left w:val="single" w:sz="4" w:space="0" w:color="auto"/>
            </w:tcBorders>
            <w:shd w:val="clear" w:color="auto" w:fill="auto"/>
          </w:tcPr>
          <w:p w14:paraId="29CE6BF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0.65</w:t>
            </w:r>
          </w:p>
        </w:tc>
        <w:tc>
          <w:tcPr>
            <w:tcW w:w="1134" w:type="dxa"/>
            <w:shd w:val="clear" w:color="auto" w:fill="D9D9D9" w:themeFill="background1" w:themeFillShade="D9"/>
            <w:noWrap/>
            <w:hideMark/>
          </w:tcPr>
          <w:p w14:paraId="6F11D732"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&lt;0.65</w:t>
            </w:r>
          </w:p>
        </w:tc>
        <w:tc>
          <w:tcPr>
            <w:tcW w:w="1389" w:type="dxa"/>
          </w:tcPr>
          <w:p w14:paraId="1A7996E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auto"/>
          </w:tcPr>
          <w:p w14:paraId="459EA13D" w14:textId="044CEF84"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at maintain baseline; calibrated off historic data and BAU projection (max = 0.68) </w:t>
            </w:r>
            <w:r w:rsidRPr="00FF510F">
              <w:rPr>
                <w:rFonts w:ascii="Corbel" w:hAnsi="Corbel" w:cstheme="minorHAnsi"/>
                <w:sz w:val="16"/>
                <w:szCs w:val="16"/>
                <w:lang w:val="en-US"/>
              </w:rPr>
              <w:fldChar w:fldCharType="begin">
                <w:fldData xml:space="preserve">PEVuZE5vdGU+PENpdGU+PEF1dGhvcj5BQlM8L0F1dGhvcj48WWVhcj4yMDIxPC9ZZWFyPjxSZWNO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</w:fldData>
              </w:fldChar>
            </w:r>
            <w:r w:rsidR="00695152">
              <w:rPr>
                <w:rFonts w:ascii="Corbel" w:hAnsi="Corbel" w:cstheme="minorHAnsi"/>
                <w:sz w:val="16"/>
                <w:szCs w:val="16"/>
                <w:lang w:val="en-US"/>
              </w:rPr>
              <w:instrText xml:space="preserve"> ADDIN EN.CITE </w:instrText>
            </w:r>
            <w:r w:rsidR="00695152">
              <w:rPr>
                <w:rFonts w:ascii="Corbel" w:hAnsi="Corbel" w:cstheme="minorHAnsi"/>
                <w:sz w:val="16"/>
                <w:szCs w:val="16"/>
                <w:lang w:val="en-US"/>
              </w:rPr>
              <w:fldChar w:fldCharType="begin">
                <w:fldData xml:space="preserve">PEVuZE5vdGU+PENpdGU+PEF1dGhvcj5BQlM8L0F1dGhvcj48WWVhcj4yMDIxPC9ZZWFyPjxSZWNO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</w:fldData>
              </w:fldChar>
            </w:r>
            <w:r w:rsidR="00695152">
              <w:rPr>
                <w:rFonts w:ascii="Corbel" w:hAnsi="Corbel" w:cstheme="minorHAnsi"/>
                <w:sz w:val="16"/>
                <w:szCs w:val="16"/>
                <w:lang w:val="en-US"/>
              </w:rPr>
              <w:instrText xml:space="preserve"> ADDIN EN.CITE.DATA </w:instrText>
            </w:r>
            <w:r w:rsidR="00695152">
              <w:rPr>
                <w:rFonts w:ascii="Corbel" w:hAnsi="Corbel" w:cstheme="minorHAnsi"/>
                <w:sz w:val="16"/>
                <w:szCs w:val="16"/>
                <w:lang w:val="en-US"/>
              </w:rPr>
            </w:r>
            <w:r w:rsidR="00695152">
              <w:rPr>
                <w:rFonts w:ascii="Corbel" w:hAnsi="Corbel" w:cstheme="minorHAnsi"/>
                <w:sz w:val="16"/>
                <w:szCs w:val="16"/>
                <w:lang w:val="en-US"/>
              </w:rPr>
              <w:fldChar w:fldCharType="end"/>
            </w:r>
            <w:r w:rsidRPr="00FF510F">
              <w:rPr>
                <w:rFonts w:ascii="Corbel" w:hAnsi="Corbel" w:cstheme="minorHAnsi"/>
                <w:sz w:val="16"/>
                <w:szCs w:val="16"/>
                <w:lang w:val="en-US"/>
              </w:rPr>
            </w:r>
            <w:r w:rsidRPr="00FF510F">
              <w:rPr>
                <w:rFonts w:ascii="Corbel" w:hAnsi="Corbel" w:cstheme="minorHAnsi"/>
                <w:sz w:val="16"/>
                <w:szCs w:val="16"/>
                <w:lang w:val="en-US"/>
              </w:rPr>
              <w:fldChar w:fldCharType="separate"/>
            </w:r>
            <w:r w:rsidR="00695152">
              <w:rPr>
                <w:rFonts w:ascii="Corbel" w:hAnsi="Corbel" w:cstheme="minorHAnsi"/>
                <w:noProof/>
                <w:sz w:val="16"/>
                <w:szCs w:val="16"/>
                <w:lang w:val="en-US"/>
              </w:rPr>
              <w:t>(ABS, 2021b, World Bank, 2022b, ABS, 2017c, OECD, 2018b)</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w:t>
            </w:r>
          </w:p>
        </w:tc>
      </w:tr>
      <w:tr w:rsidR="003F50A4" w:rsidRPr="00FF510F" w14:paraId="4F086DE5" w14:textId="77777777" w:rsidTr="003F50A4">
        <w:trPr>
          <w:trHeight w:val="300"/>
        </w:trPr>
        <w:tc>
          <w:tcPr>
            <w:tcW w:w="510" w:type="dxa"/>
            <w:shd w:val="clear" w:color="auto" w:fill="auto"/>
          </w:tcPr>
          <w:p w14:paraId="1A8F2787"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00EC33BF"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17.1</w:t>
            </w:r>
          </w:p>
        </w:tc>
        <w:tc>
          <w:tcPr>
            <w:tcW w:w="427" w:type="dxa"/>
            <w:tcBorders>
              <w:left w:val="single" w:sz="4" w:space="0" w:color="auto"/>
              <w:right w:val="single" w:sz="4" w:space="0" w:color="auto"/>
            </w:tcBorders>
          </w:tcPr>
          <w:p w14:paraId="458B8D08" w14:textId="25526135" w:rsidR="003F50A4" w:rsidRPr="00FF510F" w:rsidRDefault="003F50A4" w:rsidP="007F346F">
            <w:pPr>
              <w:spacing w:after="0"/>
              <w:rPr>
                <w:rFonts w:ascii="Corbel" w:hAnsi="Corbel" w:cstheme="minorHAnsi"/>
                <w:sz w:val="16"/>
                <w:szCs w:val="16"/>
                <w:lang w:val="en-US"/>
              </w:rPr>
            </w:pPr>
          </w:p>
        </w:tc>
        <w:tc>
          <w:tcPr>
            <w:tcW w:w="992" w:type="dxa"/>
            <w:tcBorders>
              <w:left w:val="single" w:sz="4" w:space="0" w:color="auto"/>
            </w:tcBorders>
            <w:shd w:val="clear" w:color="auto" w:fill="auto"/>
            <w:noWrap/>
          </w:tcPr>
          <w:p w14:paraId="15AE55AB"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17.1.2ALT</w:t>
            </w:r>
          </w:p>
        </w:tc>
        <w:tc>
          <w:tcPr>
            <w:tcW w:w="2977" w:type="dxa"/>
            <w:tcBorders>
              <w:right w:val="single" w:sz="4" w:space="0" w:color="auto"/>
            </w:tcBorders>
            <w:shd w:val="clear" w:color="auto" w:fill="auto"/>
            <w:noWrap/>
          </w:tcPr>
          <w:p w14:paraId="5C193F9C"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Government surplus or deficit as proportion GDP</w:t>
            </w:r>
          </w:p>
        </w:tc>
        <w:tc>
          <w:tcPr>
            <w:tcW w:w="1276" w:type="dxa"/>
            <w:tcBorders>
              <w:left w:val="single" w:sz="4" w:space="0" w:color="auto"/>
            </w:tcBorders>
            <w:shd w:val="clear" w:color="auto" w:fill="auto"/>
          </w:tcPr>
          <w:p w14:paraId="4FAA303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-0.024</w:t>
            </w:r>
          </w:p>
        </w:tc>
        <w:tc>
          <w:tcPr>
            <w:tcW w:w="1134" w:type="dxa"/>
            <w:shd w:val="clear" w:color="auto" w:fill="D9D9D9" w:themeFill="background1" w:themeFillShade="D9"/>
            <w:noWrap/>
          </w:tcPr>
          <w:p w14:paraId="4F099BEE"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-0.01</w:t>
            </w:r>
          </w:p>
        </w:tc>
        <w:tc>
          <w:tcPr>
            <w:tcW w:w="1389" w:type="dxa"/>
          </w:tcPr>
          <w:p w14:paraId="3EAFD865"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auto"/>
          </w:tcPr>
          <w:p w14:paraId="7B0D79D9"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at less than or equal to 1% GDP; calibrated from timeseries data and BAU projection (max = 0.040; min = 0.015) </w:t>
            </w:r>
            <w:r w:rsidRPr="00FF510F">
              <w:rPr>
                <w:rFonts w:ascii="Corbel" w:hAnsi="Corbel" w:cstheme="minorHAnsi"/>
                <w:sz w:val="16"/>
                <w:szCs w:val="16"/>
                <w:lang w:val="en-US"/>
              </w:rPr>
              <w:fldChar w:fldCharType="begin"/>
            </w:r>
            <w:r w:rsidRPr="00FF510F">
              <w:rPr>
                <w:rFonts w:ascii="Corbel" w:hAnsi="Corbel" w:cstheme="minorHAnsi"/>
                <w:sz w:val="16"/>
                <w:szCs w:val="16"/>
                <w:lang w:val="en-US"/>
              </w:rPr>
              <w:instrText xml:space="preserve"> ADDIN EN.CITE &lt;EndNote&gt;&lt;Cite&gt;&lt;Author&gt;ABS&lt;/Author&gt;&lt;Year&gt;2021&lt;/Year&gt;&lt;RecNum&gt;1042&lt;/RecNum&gt;&lt;DisplayText&gt;(ABS, 2021b, World Bank, 2022b)&lt;/DisplayText&gt;&lt;record&gt;&lt;rec-number&gt;1042&lt;/rec-number&gt;&lt;foreign-keys&gt;&lt;key app="EN" db-id="9vsrvaat7fadwtesfsrpw5w5t0x5v500ef25" timestamp="1565083323"&gt;1042&lt;/key&gt;&lt;/foreign-keys&gt;&lt;ref-type name="Dataset"&gt;59&lt;/ref-type&gt;&lt;contributors&gt;&lt;authors&gt;&lt;author&gt;ABS,&lt;/author&gt;&lt;/authors&gt;&lt;/contributors&gt;&lt;titles&gt;&lt;title&gt;5512.0 - Government Finance Statistics, Australia&lt;/title&gt;&lt;/titles&gt;&lt;dates&gt;&lt;year&gt;2021&lt;/year&gt;&lt;/dates&gt;&lt;pub-location&gt;Canberra, Australia&lt;/pub-location&gt;&lt;publisher&gt;Australian Bureau of Statistics&lt;/publisher&gt;&lt;urls&gt;&lt;related-urls&gt;&lt;url&gt;https://www.abs.gov.au/AUSSTATS/abs@.nsf/mf/5512.0&lt;/url&gt;&lt;/related-urls&gt;&lt;/urls&gt;&lt;access-date&gt;11/12/17&lt;/access-date&gt;&lt;/record&gt;&lt;/Cite&gt;&lt;Cite&gt;&lt;Author&gt;World Bank&lt;/Author&gt;&lt;Year&gt;2022&lt;/Year&gt;&lt;RecNum&gt;1061&lt;/RecNum&gt;&lt;record&gt;&lt;rec-number&gt;1061&lt;/rec-number&gt;&lt;foreign-keys&gt;&lt;key app="EN" db-id="9vsrvaat7fadwtesfsrpw5w5t0x5v500ef25" timestamp="1565160465"&gt;1061&lt;/key&gt;&lt;/foreign-keys&gt;&lt;ref-type name="Dataset"&gt;59&lt;/ref-type&gt;&lt;contributors&gt;&lt;authors&gt;&lt;author&gt;World Bank,&lt;/author&gt;&lt;/authors&gt;&lt;/contributors&gt;&lt;titles&gt;&lt;title&gt;World Development Indicators DataBank&lt;/title&gt;&lt;/titles&gt;&lt;dates&gt;&lt;year&gt;2022&lt;/year&gt;&lt;/dates&gt;&lt;pub-location&gt;Washington, USA&lt;/pub-location&gt;&lt;urls&gt;&lt;related-urls&gt;&lt;url&gt;https://data.worldbank.org/indicator/SP.DYN.CONU.ZS?view=chart&lt;/url&gt;&lt;/related-urls&gt;&lt;/urls&gt;&lt;access-date&gt;08/08/18&lt;/access-date&gt;&lt;/record&gt;&lt;/Cite&gt;&lt;/EndNote&gt;</w:instrText>
            </w:r>
            <w:r w:rsidRPr="00FF510F">
              <w:rPr>
                <w:rFonts w:ascii="Corbel" w:hAnsi="Corbel" w:cstheme="minorHAnsi"/>
                <w:sz w:val="16"/>
                <w:szCs w:val="16"/>
                <w:lang w:val="en-US"/>
              </w:rPr>
              <w:fldChar w:fldCharType="separate"/>
            </w:r>
            <w:r w:rsidRPr="00FF510F">
              <w:rPr>
                <w:rFonts w:ascii="Corbel" w:hAnsi="Corbel" w:cstheme="minorHAnsi"/>
                <w:noProof/>
                <w:sz w:val="16"/>
                <w:szCs w:val="16"/>
                <w:lang w:val="en-US"/>
              </w:rPr>
              <w:t>(ABS, 2021b, World Bank, 2022b)</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w:t>
            </w:r>
          </w:p>
        </w:tc>
      </w:tr>
      <w:tr w:rsidR="003F50A4" w:rsidRPr="00FF510F" w14:paraId="20C8383E" w14:textId="77777777" w:rsidTr="003F50A4">
        <w:trPr>
          <w:trHeight w:val="1529"/>
        </w:trPr>
        <w:tc>
          <w:tcPr>
            <w:tcW w:w="510" w:type="dxa"/>
            <w:shd w:val="clear" w:color="auto" w:fill="auto"/>
          </w:tcPr>
          <w:p w14:paraId="116CD1F8" w14:textId="77777777" w:rsidR="003F50A4" w:rsidRPr="00FF510F" w:rsidRDefault="003F50A4" w:rsidP="007F346F">
            <w:pPr>
              <w:spacing w:after="0"/>
              <w:rPr>
                <w:rFonts w:ascii="Corbel" w:hAnsi="Corbel" w:cstheme="minorHAnsi"/>
                <w:sz w:val="16"/>
                <w:szCs w:val="16"/>
                <w:lang w:val="en-US"/>
              </w:rPr>
            </w:pPr>
          </w:p>
        </w:tc>
        <w:tc>
          <w:tcPr>
            <w:tcW w:w="4195" w:type="dxa"/>
            <w:tcBorders>
              <w:right w:val="single" w:sz="4" w:space="0" w:color="auto"/>
            </w:tcBorders>
            <w:shd w:val="clear" w:color="auto" w:fill="auto"/>
          </w:tcPr>
          <w:p w14:paraId="16BFE08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17.4 Assist developing countries in attaining long-term debt sustainability through coordinated policies aimed at fostering debt financing, debt relief and debt restructuring, as appropriate, and address the external debt of highly indebted poor countries to reduce debt distress</w:t>
            </w:r>
          </w:p>
        </w:tc>
        <w:tc>
          <w:tcPr>
            <w:tcW w:w="427" w:type="dxa"/>
            <w:tcBorders>
              <w:left w:val="single" w:sz="4" w:space="0" w:color="auto"/>
              <w:right w:val="single" w:sz="4" w:space="0" w:color="auto"/>
            </w:tcBorders>
          </w:tcPr>
          <w:p w14:paraId="7E7D9578" w14:textId="5E1FD3F4" w:rsidR="003F50A4" w:rsidRPr="00FF510F" w:rsidRDefault="003F50A4" w:rsidP="007F346F">
            <w:pPr>
              <w:spacing w:after="0"/>
              <w:rPr>
                <w:rFonts w:ascii="Corbel" w:hAnsi="Corbel" w:cstheme="minorHAnsi"/>
                <w:sz w:val="16"/>
                <w:szCs w:val="16"/>
                <w:lang w:val="en-US"/>
              </w:rPr>
            </w:pPr>
          </w:p>
        </w:tc>
        <w:tc>
          <w:tcPr>
            <w:tcW w:w="992" w:type="dxa"/>
            <w:tcBorders>
              <w:left w:val="single" w:sz="4" w:space="0" w:color="auto"/>
            </w:tcBorders>
            <w:shd w:val="clear" w:color="auto" w:fill="auto"/>
            <w:noWrap/>
            <w:hideMark/>
          </w:tcPr>
          <w:p w14:paraId="32DC0BD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17.4.1</w:t>
            </w:r>
          </w:p>
        </w:tc>
        <w:tc>
          <w:tcPr>
            <w:tcW w:w="2977" w:type="dxa"/>
            <w:tcBorders>
              <w:right w:val="single" w:sz="4" w:space="0" w:color="auto"/>
            </w:tcBorders>
            <w:shd w:val="clear" w:color="auto" w:fill="auto"/>
            <w:noWrap/>
            <w:hideMark/>
          </w:tcPr>
          <w:p w14:paraId="3EBFED16"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Interest on public debt as share of export</w:t>
            </w:r>
          </w:p>
        </w:tc>
        <w:tc>
          <w:tcPr>
            <w:tcW w:w="1276" w:type="dxa"/>
            <w:tcBorders>
              <w:left w:val="single" w:sz="4" w:space="0" w:color="auto"/>
            </w:tcBorders>
            <w:shd w:val="clear" w:color="auto" w:fill="auto"/>
          </w:tcPr>
          <w:p w14:paraId="63F729A0"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0.08</w:t>
            </w:r>
          </w:p>
        </w:tc>
        <w:tc>
          <w:tcPr>
            <w:tcW w:w="1134" w:type="dxa"/>
            <w:shd w:val="clear" w:color="auto" w:fill="D9D9D9" w:themeFill="background1" w:themeFillShade="D9"/>
            <w:noWrap/>
            <w:hideMark/>
          </w:tcPr>
          <w:p w14:paraId="1C04C7A7"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0.08</w:t>
            </w:r>
          </w:p>
        </w:tc>
        <w:tc>
          <w:tcPr>
            <w:tcW w:w="1389" w:type="dxa"/>
          </w:tcPr>
          <w:p w14:paraId="7E6C140D" w14:textId="77777777"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No change</w:t>
            </w:r>
          </w:p>
        </w:tc>
        <w:tc>
          <w:tcPr>
            <w:tcW w:w="2552" w:type="dxa"/>
            <w:shd w:val="clear" w:color="auto" w:fill="auto"/>
          </w:tcPr>
          <w:p w14:paraId="134A3461" w14:textId="729625E6" w:rsidR="003F50A4" w:rsidRPr="00FF510F" w:rsidRDefault="003F50A4" w:rsidP="007F346F">
            <w:pPr>
              <w:spacing w:after="0"/>
              <w:rPr>
                <w:rFonts w:ascii="Corbel" w:hAnsi="Corbel" w:cstheme="minorHAnsi"/>
                <w:sz w:val="16"/>
                <w:szCs w:val="16"/>
                <w:lang w:val="en-US"/>
              </w:rPr>
            </w:pPr>
            <w:r w:rsidRPr="00FF510F">
              <w:rPr>
                <w:rFonts w:ascii="Corbel" w:hAnsi="Corbel" w:cstheme="minorHAnsi"/>
                <w:sz w:val="16"/>
                <w:szCs w:val="16"/>
                <w:lang w:val="en-US"/>
              </w:rPr>
              <w:t xml:space="preserve">Target set as return to pre-COVID levels; calibrated from timeseries data </w:t>
            </w:r>
            <w:r w:rsidRPr="00FF510F">
              <w:rPr>
                <w:rFonts w:ascii="Corbel" w:hAnsi="Corbel" w:cstheme="minorHAnsi"/>
                <w:sz w:val="16"/>
                <w:szCs w:val="16"/>
                <w:lang w:val="en-US"/>
              </w:rPr>
              <w:fldChar w:fldCharType="begin"/>
            </w:r>
            <w:r w:rsidR="006B083C">
              <w:rPr>
                <w:rFonts w:ascii="Corbel" w:hAnsi="Corbel" w:cstheme="minorHAnsi"/>
                <w:sz w:val="16"/>
                <w:szCs w:val="16"/>
                <w:lang w:val="en-US"/>
              </w:rPr>
              <w:instrText xml:space="preserve"> ADDIN EN.CITE &lt;EndNote&gt;&lt;Cite&gt;&lt;Author&gt;IMF&lt;/Author&gt;&lt;Year&gt;2019&lt;/Year&gt;&lt;RecNum&gt;1053&lt;/RecNum&gt;&lt;DisplayText&gt;(IMF, 2019, World Bank, 2022b)&lt;/DisplayText&gt;&lt;record&gt;&lt;rec-number&gt;1053&lt;/rec-number&gt;&lt;foreign-keys&gt;&lt;key app="EN" db-id="9vsrvaat7fadwtesfsrpw5w5t0x5v500ef25" timestamp="1565086952"&gt;1053&lt;/key&gt;&lt;/foreign-keys&gt;&lt;ref-type name="Dataset"&gt;59&lt;/ref-type&gt;&lt;contributors&gt;&lt;authors&gt;&lt;author&gt;IMF&lt;/author&gt;&lt;/authors&gt;&lt;secondary-authors&gt;&lt;author&gt;International Monetary Fund&lt;/author&gt;&lt;/secondary-authors&gt;&lt;/contributors&gt;&lt;titles&gt;&lt;title&gt;Government Finance Statistics&lt;/title&gt;&lt;/titles&gt;&lt;dates&gt;&lt;year&gt;2019&lt;/year&gt;&lt;/dates&gt;&lt;pub-location&gt;Washington, USA&lt;/pub-location&gt;&lt;urls&gt;&lt;related-urls&gt;&lt;url&gt;http://data.imf.org/?sk=a0867067-d23c-4ebc-ad23-d3b015045405&lt;/url&gt;&lt;/related-urls&gt;&lt;/urls&gt;&lt;access-date&gt;15/02/18&lt;/access-date&gt;&lt;/record&gt;&lt;/Cite&gt;&lt;Cite&gt;&lt;Author&gt;World Bank&lt;/Author&gt;&lt;Year&gt;2022&lt;/Year&gt;&lt;RecNum&gt;1061&lt;/RecNum&gt;&lt;record&gt;&lt;rec-number&gt;1061&lt;/rec-number&gt;&lt;foreign-keys&gt;&lt;key app="EN" db-id="9vsrvaat7fadwtesfsrpw5w5t0x5v500ef25" timestamp="1565160465"&gt;1061&lt;/key&gt;&lt;/foreign-keys&gt;&lt;ref-type name="Dataset"&gt;59&lt;/ref-type&gt;&lt;contributors&gt;&lt;authors&gt;&lt;author&gt;World Bank,&lt;/author&gt;&lt;/authors&gt;&lt;/contributors&gt;&lt;titles&gt;&lt;title&gt;World Development Indicators DataBank&lt;/title&gt;&lt;/titles&gt;&lt;dates&gt;&lt;year&gt;2022&lt;/year&gt;&lt;/dates&gt;&lt;pub-location&gt;Washington, USA&lt;/pub-location&gt;&lt;urls&gt;&lt;related-urls&gt;&lt;url&gt;https://data.worldbank.org/indicator/SP.DYN.CONU.ZS?view=chart&lt;/url&gt;&lt;/related-urls&gt;&lt;/urls&gt;&lt;access-date&gt;08/08/18&lt;/access-date&gt;&lt;/record&gt;&lt;/Cite&gt;&lt;/EndNote&gt;</w:instrText>
            </w:r>
            <w:r w:rsidRPr="00FF510F">
              <w:rPr>
                <w:rFonts w:ascii="Corbel" w:hAnsi="Corbel" w:cstheme="minorHAnsi"/>
                <w:sz w:val="16"/>
                <w:szCs w:val="16"/>
                <w:lang w:val="en-US"/>
              </w:rPr>
              <w:fldChar w:fldCharType="separate"/>
            </w:r>
            <w:r w:rsidR="006B083C">
              <w:rPr>
                <w:rFonts w:ascii="Corbel" w:hAnsi="Corbel" w:cstheme="minorHAnsi"/>
                <w:noProof/>
                <w:sz w:val="16"/>
                <w:szCs w:val="16"/>
                <w:lang w:val="en-US"/>
              </w:rPr>
              <w:t>(IMF, 2019, World Bank, 2022b)</w:t>
            </w:r>
            <w:r w:rsidRPr="00FF510F">
              <w:rPr>
                <w:rFonts w:ascii="Corbel" w:hAnsi="Corbel" w:cstheme="minorHAnsi"/>
                <w:sz w:val="16"/>
                <w:szCs w:val="16"/>
                <w:lang w:val="en-US"/>
              </w:rPr>
              <w:fldChar w:fldCharType="end"/>
            </w:r>
            <w:r w:rsidRPr="00FF510F">
              <w:rPr>
                <w:rFonts w:ascii="Corbel" w:hAnsi="Corbel" w:cstheme="minorHAnsi"/>
                <w:sz w:val="16"/>
                <w:szCs w:val="16"/>
                <w:lang w:val="en-US"/>
              </w:rPr>
              <w:t xml:space="preserve"> and BAU projection. </w:t>
            </w:r>
          </w:p>
        </w:tc>
      </w:tr>
      <w:tr w:rsidR="003F50A4" w:rsidRPr="00FF510F" w14:paraId="25CBF06D" w14:textId="77777777" w:rsidTr="003F50A4">
        <w:trPr>
          <w:trHeight w:val="54"/>
        </w:trPr>
        <w:tc>
          <w:tcPr>
            <w:tcW w:w="510" w:type="dxa"/>
            <w:shd w:val="clear" w:color="auto" w:fill="D9D9D9" w:themeFill="background1" w:themeFillShade="D9"/>
          </w:tcPr>
          <w:p w14:paraId="3C22758B" w14:textId="77777777" w:rsidR="003F50A4" w:rsidRPr="00FF510F" w:rsidRDefault="003F50A4" w:rsidP="007F346F">
            <w:pPr>
              <w:spacing w:after="0"/>
              <w:rPr>
                <w:rFonts w:ascii="Corbel" w:hAnsi="Corbel" w:cstheme="minorHAnsi"/>
                <w:sz w:val="8"/>
                <w:szCs w:val="8"/>
                <w:lang w:val="en-US"/>
              </w:rPr>
            </w:pPr>
          </w:p>
        </w:tc>
        <w:tc>
          <w:tcPr>
            <w:tcW w:w="4195" w:type="dxa"/>
            <w:tcBorders>
              <w:right w:val="single" w:sz="4" w:space="0" w:color="auto"/>
            </w:tcBorders>
            <w:shd w:val="clear" w:color="auto" w:fill="D9D9D9" w:themeFill="background1" w:themeFillShade="D9"/>
          </w:tcPr>
          <w:p w14:paraId="1104393B" w14:textId="77777777" w:rsidR="003F50A4" w:rsidRPr="00FF510F" w:rsidRDefault="003F50A4" w:rsidP="007F346F">
            <w:pPr>
              <w:spacing w:after="0"/>
              <w:rPr>
                <w:rFonts w:ascii="Corbel" w:hAnsi="Corbel" w:cstheme="minorHAnsi"/>
                <w:sz w:val="8"/>
                <w:szCs w:val="8"/>
                <w:lang w:val="en-US"/>
              </w:rPr>
            </w:pPr>
          </w:p>
        </w:tc>
        <w:tc>
          <w:tcPr>
            <w:tcW w:w="427" w:type="dxa"/>
            <w:tcBorders>
              <w:left w:val="single" w:sz="4" w:space="0" w:color="auto"/>
              <w:right w:val="single" w:sz="4" w:space="0" w:color="auto"/>
            </w:tcBorders>
            <w:shd w:val="clear" w:color="auto" w:fill="D9D9D9" w:themeFill="background1" w:themeFillShade="D9"/>
          </w:tcPr>
          <w:p w14:paraId="2488CEF8" w14:textId="77777777" w:rsidR="003F50A4" w:rsidRPr="00FF510F" w:rsidRDefault="003F50A4" w:rsidP="007F346F">
            <w:pPr>
              <w:spacing w:after="0"/>
              <w:rPr>
                <w:rFonts w:ascii="Corbel" w:hAnsi="Corbel" w:cstheme="minorHAnsi"/>
                <w:sz w:val="8"/>
                <w:szCs w:val="8"/>
                <w:lang w:val="en-US"/>
              </w:rPr>
            </w:pPr>
          </w:p>
        </w:tc>
        <w:tc>
          <w:tcPr>
            <w:tcW w:w="992" w:type="dxa"/>
            <w:tcBorders>
              <w:left w:val="single" w:sz="4" w:space="0" w:color="auto"/>
            </w:tcBorders>
            <w:shd w:val="clear" w:color="auto" w:fill="D9D9D9" w:themeFill="background1" w:themeFillShade="D9"/>
            <w:noWrap/>
          </w:tcPr>
          <w:p w14:paraId="2F78B30C" w14:textId="77777777" w:rsidR="003F50A4" w:rsidRPr="00FF510F" w:rsidRDefault="003F50A4" w:rsidP="007F346F">
            <w:pPr>
              <w:spacing w:after="0"/>
              <w:rPr>
                <w:rFonts w:ascii="Corbel" w:hAnsi="Corbel" w:cstheme="minorHAnsi"/>
                <w:sz w:val="8"/>
                <w:szCs w:val="8"/>
                <w:lang w:val="en-US"/>
              </w:rPr>
            </w:pPr>
          </w:p>
        </w:tc>
        <w:tc>
          <w:tcPr>
            <w:tcW w:w="2977" w:type="dxa"/>
            <w:tcBorders>
              <w:right w:val="single" w:sz="4" w:space="0" w:color="auto"/>
            </w:tcBorders>
            <w:shd w:val="clear" w:color="auto" w:fill="D9D9D9" w:themeFill="background1" w:themeFillShade="D9"/>
            <w:noWrap/>
          </w:tcPr>
          <w:p w14:paraId="44799A9E" w14:textId="77777777" w:rsidR="003F50A4" w:rsidRPr="00FF510F" w:rsidRDefault="003F50A4" w:rsidP="007F346F">
            <w:pPr>
              <w:spacing w:after="0"/>
              <w:rPr>
                <w:rFonts w:ascii="Corbel" w:hAnsi="Corbel" w:cstheme="minorHAnsi"/>
                <w:sz w:val="8"/>
                <w:szCs w:val="8"/>
                <w:lang w:val="en-US"/>
              </w:rPr>
            </w:pPr>
          </w:p>
        </w:tc>
        <w:tc>
          <w:tcPr>
            <w:tcW w:w="1276" w:type="dxa"/>
            <w:tcBorders>
              <w:left w:val="single" w:sz="4" w:space="0" w:color="auto"/>
            </w:tcBorders>
            <w:shd w:val="clear" w:color="auto" w:fill="D9D9D9" w:themeFill="background1" w:themeFillShade="D9"/>
          </w:tcPr>
          <w:p w14:paraId="082D6F47" w14:textId="77777777" w:rsidR="003F50A4" w:rsidRPr="00FF510F" w:rsidRDefault="003F50A4" w:rsidP="007F346F">
            <w:pPr>
              <w:spacing w:after="0"/>
              <w:rPr>
                <w:rFonts w:ascii="Corbel" w:hAnsi="Corbel" w:cstheme="minorHAnsi"/>
                <w:sz w:val="8"/>
                <w:szCs w:val="8"/>
                <w:lang w:val="en-US"/>
              </w:rPr>
            </w:pPr>
          </w:p>
        </w:tc>
        <w:tc>
          <w:tcPr>
            <w:tcW w:w="1134" w:type="dxa"/>
            <w:shd w:val="clear" w:color="auto" w:fill="D9D9D9" w:themeFill="background1" w:themeFillShade="D9"/>
            <w:noWrap/>
          </w:tcPr>
          <w:p w14:paraId="52129C08" w14:textId="77777777" w:rsidR="003F50A4" w:rsidRPr="00FF510F" w:rsidRDefault="003F50A4" w:rsidP="007F346F">
            <w:pPr>
              <w:spacing w:after="0"/>
              <w:rPr>
                <w:rFonts w:ascii="Corbel" w:hAnsi="Corbel" w:cstheme="minorHAnsi"/>
                <w:sz w:val="8"/>
                <w:szCs w:val="8"/>
                <w:lang w:val="en-US"/>
              </w:rPr>
            </w:pPr>
          </w:p>
        </w:tc>
        <w:tc>
          <w:tcPr>
            <w:tcW w:w="1389" w:type="dxa"/>
            <w:shd w:val="clear" w:color="auto" w:fill="D9D9D9" w:themeFill="background1" w:themeFillShade="D9"/>
          </w:tcPr>
          <w:p w14:paraId="2EF8C350" w14:textId="77777777" w:rsidR="003F50A4" w:rsidRPr="00FF510F" w:rsidRDefault="003F50A4" w:rsidP="007F346F">
            <w:pPr>
              <w:spacing w:after="0"/>
              <w:rPr>
                <w:rFonts w:ascii="Corbel" w:hAnsi="Corbel" w:cstheme="minorHAnsi"/>
                <w:sz w:val="8"/>
                <w:szCs w:val="8"/>
                <w:lang w:val="en-US"/>
              </w:rPr>
            </w:pPr>
          </w:p>
        </w:tc>
        <w:tc>
          <w:tcPr>
            <w:tcW w:w="2552" w:type="dxa"/>
            <w:shd w:val="clear" w:color="auto" w:fill="D9D9D9" w:themeFill="background1" w:themeFillShade="D9"/>
          </w:tcPr>
          <w:p w14:paraId="186996D4" w14:textId="77777777" w:rsidR="003F50A4" w:rsidRPr="00FF510F" w:rsidRDefault="003F50A4" w:rsidP="007F346F">
            <w:pPr>
              <w:spacing w:after="0"/>
              <w:rPr>
                <w:rFonts w:ascii="Corbel" w:hAnsi="Corbel" w:cstheme="minorHAnsi"/>
                <w:sz w:val="8"/>
                <w:szCs w:val="8"/>
                <w:lang w:val="en-US"/>
              </w:rPr>
            </w:pPr>
          </w:p>
        </w:tc>
      </w:tr>
    </w:tbl>
    <w:p w14:paraId="23198DCD" w14:textId="77777777" w:rsidR="001E163D" w:rsidRPr="001E163D" w:rsidRDefault="001E163D" w:rsidP="001E163D">
      <w:pPr>
        <w:rPr>
          <w:lang w:eastAsia="de-DE"/>
        </w:rPr>
      </w:pPr>
    </w:p>
    <w:p w14:paraId="629D33C7" w14:textId="77777777" w:rsidR="00376A61" w:rsidRDefault="00376A61" w:rsidP="008B671A">
      <w:pPr>
        <w:rPr>
          <w:lang w:val="en-US" w:eastAsia="de-DE"/>
        </w:rPr>
      </w:pPr>
    </w:p>
    <w:p w14:paraId="5BDE15A3" w14:textId="77777777" w:rsidR="00AC51FD" w:rsidRDefault="00AC51FD">
      <w:pPr>
        <w:rPr>
          <w:lang w:val="en-US" w:eastAsia="de-DE"/>
        </w:rPr>
      </w:pPr>
      <w:r>
        <w:rPr>
          <w:lang w:val="en-US" w:eastAsia="de-DE"/>
        </w:rPr>
        <w:br w:type="page"/>
      </w:r>
    </w:p>
    <w:p w14:paraId="08B98BE0" w14:textId="70B3D135" w:rsidR="00837115" w:rsidRDefault="00837115" w:rsidP="00837115">
      <w:pPr>
        <w:pStyle w:val="Heading2"/>
        <w:rPr>
          <w:lang w:val="en-AU"/>
        </w:rPr>
      </w:pPr>
      <w:bookmarkStart w:id="11" w:name="_Toc19554407"/>
      <w:bookmarkStart w:id="12" w:name="_Toc123651721"/>
      <w:r>
        <w:rPr>
          <w:lang w:val="en-AU"/>
        </w:rPr>
        <w:lastRenderedPageBreak/>
        <w:t>Supplementary Table 5.</w:t>
      </w:r>
      <w:r w:rsidRPr="00E16B08">
        <w:rPr>
          <w:lang w:val="en-AU"/>
        </w:rPr>
        <w:t xml:space="preserve"> Error analysis of </w:t>
      </w:r>
      <w:r w:rsidR="00326B2E">
        <w:rPr>
          <w:lang w:val="en-AU"/>
        </w:rPr>
        <w:t>baseline (BBS)</w:t>
      </w:r>
      <w:r>
        <w:rPr>
          <w:lang w:val="en-AU"/>
        </w:rPr>
        <w:t xml:space="preserve"> simulations for a selection of variables</w:t>
      </w:r>
      <w:bookmarkEnd w:id="11"/>
      <w:bookmarkEnd w:id="12"/>
    </w:p>
    <w:tbl>
      <w:tblPr>
        <w:tblStyle w:val="TableGrid2"/>
        <w:tblW w:w="4535" w:type="dxa"/>
        <w:tblInd w:w="-5" w:type="dxa"/>
        <w:tblBorders>
          <w:top w:val="dotted" w:sz="4" w:space="0" w:color="auto"/>
          <w:left w:val="dotted" w:sz="4" w:space="0" w:color="auto"/>
          <w:bottom w:val="dotted" w:sz="4" w:space="0" w:color="auto"/>
          <w:right w:val="dotted" w:sz="4" w:space="0" w:color="auto"/>
          <w:insideH w:val="dotted" w:sz="4" w:space="0" w:color="auto"/>
        </w:tblBorders>
        <w:tblLook w:val="04A0" w:firstRow="1" w:lastRow="0" w:firstColumn="1" w:lastColumn="0" w:noHBand="0" w:noVBand="1"/>
      </w:tblPr>
      <w:tblGrid>
        <w:gridCol w:w="2551"/>
        <w:gridCol w:w="992"/>
        <w:gridCol w:w="992"/>
      </w:tblGrid>
      <w:tr w:rsidR="00837115" w:rsidRPr="006F5FB2" w14:paraId="1401381A" w14:textId="77777777" w:rsidTr="00837115">
        <w:tc>
          <w:tcPr>
            <w:tcW w:w="2551" w:type="dxa"/>
          </w:tcPr>
          <w:p w14:paraId="62FCB864" w14:textId="77777777" w:rsidR="00837115" w:rsidRPr="006F5FB2" w:rsidRDefault="00837115" w:rsidP="004B1031">
            <w:pPr>
              <w:spacing w:before="60" w:after="60"/>
              <w:jc w:val="center"/>
              <w:rPr>
                <w:rFonts w:cstheme="minorHAnsi"/>
                <w:b/>
                <w:iCs/>
                <w:sz w:val="16"/>
                <w:szCs w:val="16"/>
              </w:rPr>
            </w:pPr>
            <w:r w:rsidRPr="006F5FB2">
              <w:rPr>
                <w:rFonts w:cstheme="minorHAnsi"/>
                <w:b/>
                <w:iCs/>
                <w:sz w:val="16"/>
                <w:szCs w:val="16"/>
              </w:rPr>
              <w:t>Variable</w:t>
            </w:r>
          </w:p>
        </w:tc>
        <w:tc>
          <w:tcPr>
            <w:tcW w:w="992" w:type="dxa"/>
          </w:tcPr>
          <w:p w14:paraId="143ACADE" w14:textId="77777777" w:rsidR="00837115" w:rsidRPr="006F5FB2" w:rsidRDefault="00837115" w:rsidP="004B1031">
            <w:pPr>
              <w:spacing w:before="60" w:after="60"/>
              <w:jc w:val="center"/>
              <w:rPr>
                <w:rFonts w:cstheme="minorHAnsi"/>
                <w:b/>
                <w:iCs/>
                <w:sz w:val="16"/>
                <w:szCs w:val="16"/>
              </w:rPr>
            </w:pPr>
            <w:r w:rsidRPr="006F5FB2">
              <w:rPr>
                <w:rFonts w:cstheme="minorHAnsi"/>
                <w:b/>
                <w:iCs/>
                <w:sz w:val="16"/>
                <w:szCs w:val="16"/>
              </w:rPr>
              <w:t>R</w:t>
            </w:r>
            <w:r w:rsidRPr="006F5FB2">
              <w:rPr>
                <w:rFonts w:cstheme="minorHAnsi"/>
                <w:b/>
                <w:iCs/>
                <w:sz w:val="16"/>
                <w:szCs w:val="16"/>
                <w:vertAlign w:val="superscript"/>
              </w:rPr>
              <w:t>2</w:t>
            </w:r>
          </w:p>
        </w:tc>
        <w:tc>
          <w:tcPr>
            <w:tcW w:w="992" w:type="dxa"/>
          </w:tcPr>
          <w:p w14:paraId="4EEA77C2" w14:textId="77777777" w:rsidR="00837115" w:rsidRPr="006F5FB2" w:rsidRDefault="00837115" w:rsidP="004B1031">
            <w:pPr>
              <w:spacing w:before="60" w:after="60"/>
              <w:jc w:val="center"/>
              <w:rPr>
                <w:rFonts w:cstheme="minorHAnsi"/>
                <w:b/>
                <w:iCs/>
                <w:sz w:val="16"/>
                <w:szCs w:val="16"/>
              </w:rPr>
            </w:pPr>
            <w:r w:rsidRPr="006F5FB2">
              <w:rPr>
                <w:rFonts w:cstheme="minorHAnsi"/>
                <w:b/>
                <w:iCs/>
                <w:sz w:val="16"/>
                <w:szCs w:val="16"/>
              </w:rPr>
              <w:t>MAPE</w:t>
            </w:r>
          </w:p>
        </w:tc>
      </w:tr>
      <w:tr w:rsidR="00837115" w:rsidRPr="006F5FB2" w14:paraId="5ED56209" w14:textId="77777777" w:rsidTr="00837115">
        <w:tc>
          <w:tcPr>
            <w:tcW w:w="2551" w:type="dxa"/>
          </w:tcPr>
          <w:p w14:paraId="0DD20322" w14:textId="77777777" w:rsidR="00837115" w:rsidRPr="006F5FB2" w:rsidRDefault="00837115" w:rsidP="004B1031">
            <w:pPr>
              <w:spacing w:before="60" w:after="60"/>
              <w:jc w:val="center"/>
              <w:rPr>
                <w:rFonts w:cstheme="minorHAnsi"/>
                <w:bCs/>
                <w:iCs/>
                <w:sz w:val="16"/>
                <w:szCs w:val="16"/>
              </w:rPr>
            </w:pPr>
            <w:r>
              <w:rPr>
                <w:rFonts w:cstheme="minorHAnsi"/>
                <w:bCs/>
                <w:iCs/>
                <w:sz w:val="16"/>
                <w:szCs w:val="16"/>
              </w:rPr>
              <w:t>Total p</w:t>
            </w:r>
            <w:r w:rsidRPr="006F5FB2">
              <w:rPr>
                <w:rFonts w:cstheme="minorHAnsi"/>
                <w:bCs/>
                <w:iCs/>
                <w:sz w:val="16"/>
                <w:szCs w:val="16"/>
              </w:rPr>
              <w:t>opulation (persons)</w:t>
            </w:r>
          </w:p>
        </w:tc>
        <w:tc>
          <w:tcPr>
            <w:tcW w:w="992" w:type="dxa"/>
          </w:tcPr>
          <w:p w14:paraId="4CCEDFFB" w14:textId="08BF491B" w:rsidR="00837115" w:rsidRPr="006F5FB2" w:rsidRDefault="000A5205" w:rsidP="004B1031">
            <w:pPr>
              <w:spacing w:before="60" w:after="60"/>
              <w:jc w:val="center"/>
              <w:rPr>
                <w:rFonts w:cstheme="minorHAnsi"/>
                <w:bCs/>
                <w:iCs/>
                <w:sz w:val="16"/>
                <w:szCs w:val="16"/>
              </w:rPr>
            </w:pPr>
            <w:r>
              <w:rPr>
                <w:rFonts w:cstheme="minorHAnsi"/>
                <w:bCs/>
                <w:iCs/>
                <w:sz w:val="16"/>
                <w:szCs w:val="16"/>
              </w:rPr>
              <w:t>0.999</w:t>
            </w:r>
          </w:p>
        </w:tc>
        <w:tc>
          <w:tcPr>
            <w:tcW w:w="992" w:type="dxa"/>
          </w:tcPr>
          <w:p w14:paraId="6373717B" w14:textId="6121FAE3" w:rsidR="00837115" w:rsidRPr="006F5FB2" w:rsidRDefault="000A5205" w:rsidP="004B1031">
            <w:pPr>
              <w:spacing w:before="60" w:after="60"/>
              <w:jc w:val="center"/>
              <w:rPr>
                <w:rFonts w:cstheme="minorHAnsi"/>
                <w:bCs/>
                <w:iCs/>
                <w:sz w:val="16"/>
                <w:szCs w:val="16"/>
              </w:rPr>
            </w:pPr>
            <w:r>
              <w:rPr>
                <w:rFonts w:cstheme="minorHAnsi"/>
                <w:bCs/>
                <w:iCs/>
                <w:sz w:val="16"/>
                <w:szCs w:val="16"/>
              </w:rPr>
              <w:t>0.434</w:t>
            </w:r>
          </w:p>
        </w:tc>
      </w:tr>
      <w:tr w:rsidR="00837115" w:rsidRPr="006F5FB2" w14:paraId="35742F70" w14:textId="77777777" w:rsidTr="00837115">
        <w:tc>
          <w:tcPr>
            <w:tcW w:w="2551" w:type="dxa"/>
          </w:tcPr>
          <w:p w14:paraId="3B1ED1C1" w14:textId="77777777" w:rsidR="00837115" w:rsidRPr="006F5FB2" w:rsidRDefault="00837115" w:rsidP="004B1031">
            <w:pPr>
              <w:spacing w:before="60" w:after="60"/>
              <w:jc w:val="center"/>
              <w:rPr>
                <w:rFonts w:cstheme="minorHAnsi"/>
                <w:bCs/>
                <w:iCs/>
                <w:sz w:val="16"/>
                <w:szCs w:val="16"/>
              </w:rPr>
            </w:pPr>
            <w:r w:rsidRPr="006F5FB2">
              <w:rPr>
                <w:rFonts w:cstheme="minorHAnsi"/>
                <w:bCs/>
                <w:iCs/>
                <w:sz w:val="16"/>
                <w:szCs w:val="16"/>
              </w:rPr>
              <w:t>Real GDP ($ 201</w:t>
            </w:r>
            <w:r>
              <w:rPr>
                <w:rFonts w:cstheme="minorHAnsi"/>
                <w:bCs/>
                <w:iCs/>
                <w:sz w:val="16"/>
                <w:szCs w:val="16"/>
              </w:rPr>
              <w:t>7</w:t>
            </w:r>
            <w:r w:rsidRPr="006F5FB2">
              <w:rPr>
                <w:rFonts w:cstheme="minorHAnsi"/>
                <w:bCs/>
                <w:iCs/>
                <w:sz w:val="16"/>
                <w:szCs w:val="16"/>
              </w:rPr>
              <w:t>)</w:t>
            </w:r>
          </w:p>
        </w:tc>
        <w:tc>
          <w:tcPr>
            <w:tcW w:w="992" w:type="dxa"/>
          </w:tcPr>
          <w:p w14:paraId="2861B4D4" w14:textId="700E1A9C" w:rsidR="00837115" w:rsidRPr="006F5FB2" w:rsidRDefault="000A5205" w:rsidP="004B1031">
            <w:pPr>
              <w:spacing w:before="60" w:after="60"/>
              <w:jc w:val="center"/>
              <w:rPr>
                <w:rFonts w:cstheme="minorHAnsi"/>
                <w:bCs/>
                <w:iCs/>
                <w:sz w:val="16"/>
                <w:szCs w:val="16"/>
              </w:rPr>
            </w:pPr>
            <w:r>
              <w:rPr>
                <w:rFonts w:cstheme="minorHAnsi"/>
                <w:bCs/>
                <w:iCs/>
                <w:sz w:val="16"/>
                <w:szCs w:val="16"/>
              </w:rPr>
              <w:t>0.99</w:t>
            </w:r>
            <w:r w:rsidR="00C53B84">
              <w:rPr>
                <w:rFonts w:cstheme="minorHAnsi"/>
                <w:bCs/>
                <w:iCs/>
                <w:sz w:val="16"/>
                <w:szCs w:val="16"/>
              </w:rPr>
              <w:t>7</w:t>
            </w:r>
          </w:p>
        </w:tc>
        <w:tc>
          <w:tcPr>
            <w:tcW w:w="992" w:type="dxa"/>
          </w:tcPr>
          <w:p w14:paraId="389489B8" w14:textId="14E30E57" w:rsidR="00837115" w:rsidRPr="006F5FB2" w:rsidRDefault="000A5205" w:rsidP="004B1031">
            <w:pPr>
              <w:spacing w:before="60" w:after="60"/>
              <w:jc w:val="center"/>
              <w:rPr>
                <w:rFonts w:cstheme="minorHAnsi"/>
                <w:bCs/>
                <w:iCs/>
                <w:sz w:val="16"/>
                <w:szCs w:val="16"/>
              </w:rPr>
            </w:pPr>
            <w:r>
              <w:rPr>
                <w:rFonts w:cstheme="minorHAnsi"/>
                <w:bCs/>
                <w:iCs/>
                <w:sz w:val="16"/>
                <w:szCs w:val="16"/>
              </w:rPr>
              <w:t>1.578</w:t>
            </w:r>
          </w:p>
        </w:tc>
      </w:tr>
      <w:tr w:rsidR="00837115" w:rsidRPr="006F5FB2" w14:paraId="6660A0E5" w14:textId="77777777" w:rsidTr="00837115">
        <w:tc>
          <w:tcPr>
            <w:tcW w:w="2551" w:type="dxa"/>
          </w:tcPr>
          <w:p w14:paraId="454C9C20" w14:textId="77777777" w:rsidR="00837115" w:rsidRPr="006F5FB2" w:rsidRDefault="00837115" w:rsidP="004B1031">
            <w:pPr>
              <w:spacing w:before="60" w:after="60"/>
              <w:jc w:val="center"/>
              <w:rPr>
                <w:rFonts w:cstheme="minorHAnsi"/>
                <w:bCs/>
                <w:iCs/>
                <w:sz w:val="16"/>
                <w:szCs w:val="16"/>
              </w:rPr>
            </w:pPr>
            <w:r>
              <w:rPr>
                <w:rFonts w:cstheme="minorHAnsi"/>
                <w:bCs/>
                <w:iCs/>
                <w:sz w:val="16"/>
                <w:szCs w:val="16"/>
              </w:rPr>
              <w:t>Total i</w:t>
            </w:r>
            <w:r w:rsidRPr="006F5FB2">
              <w:rPr>
                <w:rFonts w:cstheme="minorHAnsi"/>
                <w:bCs/>
                <w:iCs/>
                <w:sz w:val="16"/>
                <w:szCs w:val="16"/>
              </w:rPr>
              <w:t>nvestment ($)</w:t>
            </w:r>
          </w:p>
        </w:tc>
        <w:tc>
          <w:tcPr>
            <w:tcW w:w="992" w:type="dxa"/>
          </w:tcPr>
          <w:p w14:paraId="270E598F" w14:textId="657026E5" w:rsidR="00837115" w:rsidRPr="006F5FB2" w:rsidRDefault="00C53B84" w:rsidP="004B1031">
            <w:pPr>
              <w:spacing w:before="60" w:after="60"/>
              <w:jc w:val="center"/>
              <w:rPr>
                <w:rFonts w:cstheme="minorHAnsi"/>
                <w:bCs/>
                <w:iCs/>
                <w:sz w:val="16"/>
                <w:szCs w:val="16"/>
              </w:rPr>
            </w:pPr>
            <w:r>
              <w:rPr>
                <w:rFonts w:cstheme="minorHAnsi"/>
                <w:bCs/>
                <w:iCs/>
                <w:sz w:val="16"/>
                <w:szCs w:val="16"/>
              </w:rPr>
              <w:t>0</w:t>
            </w:r>
            <w:r w:rsidR="00983D02">
              <w:rPr>
                <w:rFonts w:cstheme="minorHAnsi"/>
                <w:bCs/>
                <w:iCs/>
                <w:sz w:val="16"/>
                <w:szCs w:val="16"/>
              </w:rPr>
              <w:t>.900</w:t>
            </w:r>
          </w:p>
        </w:tc>
        <w:tc>
          <w:tcPr>
            <w:tcW w:w="992" w:type="dxa"/>
          </w:tcPr>
          <w:p w14:paraId="32B50A80" w14:textId="536100DB" w:rsidR="00837115" w:rsidRPr="006F5FB2" w:rsidRDefault="00983D02" w:rsidP="004B1031">
            <w:pPr>
              <w:spacing w:before="60" w:after="60"/>
              <w:jc w:val="center"/>
              <w:rPr>
                <w:rFonts w:cstheme="minorHAnsi"/>
                <w:bCs/>
                <w:iCs/>
                <w:sz w:val="16"/>
                <w:szCs w:val="16"/>
              </w:rPr>
            </w:pPr>
            <w:r>
              <w:rPr>
                <w:rFonts w:cstheme="minorHAnsi"/>
                <w:bCs/>
                <w:iCs/>
                <w:sz w:val="16"/>
                <w:szCs w:val="16"/>
              </w:rPr>
              <w:t>21.234</w:t>
            </w:r>
          </w:p>
        </w:tc>
      </w:tr>
      <w:tr w:rsidR="00837115" w:rsidRPr="006F5FB2" w14:paraId="5DBE9D56" w14:textId="77777777" w:rsidTr="00837115">
        <w:trPr>
          <w:trHeight w:val="279"/>
        </w:trPr>
        <w:tc>
          <w:tcPr>
            <w:tcW w:w="2551" w:type="dxa"/>
          </w:tcPr>
          <w:p w14:paraId="24096D93" w14:textId="77777777" w:rsidR="00837115" w:rsidRPr="006F5FB2" w:rsidRDefault="00837115" w:rsidP="004B1031">
            <w:pPr>
              <w:spacing w:before="60" w:after="60"/>
              <w:jc w:val="center"/>
              <w:rPr>
                <w:rFonts w:cstheme="minorHAnsi"/>
                <w:bCs/>
                <w:iCs/>
                <w:sz w:val="16"/>
                <w:szCs w:val="16"/>
              </w:rPr>
            </w:pPr>
            <w:r w:rsidRPr="006F5FB2">
              <w:rPr>
                <w:rFonts w:cstheme="minorHAnsi"/>
                <w:bCs/>
                <w:iCs/>
                <w:sz w:val="16"/>
                <w:szCs w:val="16"/>
              </w:rPr>
              <w:t>Government Expenditure ($)</w:t>
            </w:r>
          </w:p>
        </w:tc>
        <w:tc>
          <w:tcPr>
            <w:tcW w:w="992" w:type="dxa"/>
          </w:tcPr>
          <w:p w14:paraId="18BD67F6" w14:textId="7AC888C4" w:rsidR="00837115" w:rsidRPr="006F5FB2" w:rsidRDefault="00983D02" w:rsidP="004B1031">
            <w:pPr>
              <w:spacing w:before="60" w:after="60"/>
              <w:jc w:val="center"/>
              <w:rPr>
                <w:rFonts w:cstheme="minorHAnsi"/>
                <w:bCs/>
                <w:iCs/>
                <w:sz w:val="16"/>
                <w:szCs w:val="16"/>
              </w:rPr>
            </w:pPr>
            <w:r>
              <w:rPr>
                <w:rFonts w:cstheme="minorHAnsi"/>
                <w:bCs/>
                <w:iCs/>
                <w:sz w:val="16"/>
                <w:szCs w:val="16"/>
              </w:rPr>
              <w:t>0.999</w:t>
            </w:r>
          </w:p>
        </w:tc>
        <w:tc>
          <w:tcPr>
            <w:tcW w:w="992" w:type="dxa"/>
          </w:tcPr>
          <w:p w14:paraId="74FE603B" w14:textId="6F715EDB" w:rsidR="00837115" w:rsidRPr="00CF2024" w:rsidRDefault="00983D02" w:rsidP="004B1031">
            <w:pPr>
              <w:spacing w:before="60" w:after="60"/>
              <w:jc w:val="center"/>
              <w:rPr>
                <w:rFonts w:cstheme="minorHAnsi"/>
                <w:bCs/>
                <w:iCs/>
                <w:sz w:val="16"/>
                <w:szCs w:val="16"/>
              </w:rPr>
            </w:pPr>
            <w:r>
              <w:rPr>
                <w:rFonts w:cstheme="minorHAnsi"/>
                <w:bCs/>
                <w:iCs/>
                <w:sz w:val="16"/>
                <w:szCs w:val="16"/>
              </w:rPr>
              <w:t>1.429</w:t>
            </w:r>
          </w:p>
        </w:tc>
      </w:tr>
      <w:tr w:rsidR="00F55178" w:rsidRPr="006F5FB2" w14:paraId="1A0E9658" w14:textId="77777777" w:rsidTr="00837115">
        <w:trPr>
          <w:trHeight w:val="279"/>
        </w:trPr>
        <w:tc>
          <w:tcPr>
            <w:tcW w:w="2551" w:type="dxa"/>
          </w:tcPr>
          <w:p w14:paraId="455632CA" w14:textId="58011305" w:rsidR="00F55178" w:rsidRPr="006F5FB2" w:rsidRDefault="00F55178" w:rsidP="004B1031">
            <w:pPr>
              <w:spacing w:before="60" w:after="60"/>
              <w:jc w:val="center"/>
              <w:rPr>
                <w:rFonts w:cstheme="minorHAnsi"/>
                <w:bCs/>
                <w:iCs/>
                <w:sz w:val="16"/>
                <w:szCs w:val="16"/>
              </w:rPr>
            </w:pPr>
            <w:r>
              <w:rPr>
                <w:rFonts w:cstheme="minorHAnsi"/>
                <w:bCs/>
                <w:iCs/>
                <w:sz w:val="16"/>
                <w:szCs w:val="16"/>
              </w:rPr>
              <w:t>Government Revenue ($)</w:t>
            </w:r>
          </w:p>
        </w:tc>
        <w:tc>
          <w:tcPr>
            <w:tcW w:w="992" w:type="dxa"/>
          </w:tcPr>
          <w:p w14:paraId="16E741E2" w14:textId="28E32C6F" w:rsidR="00F55178" w:rsidRDefault="00F55178" w:rsidP="004B1031">
            <w:pPr>
              <w:spacing w:before="60" w:after="60"/>
              <w:jc w:val="center"/>
              <w:rPr>
                <w:rFonts w:cstheme="minorHAnsi"/>
                <w:bCs/>
                <w:iCs/>
                <w:sz w:val="16"/>
                <w:szCs w:val="16"/>
              </w:rPr>
            </w:pPr>
            <w:r>
              <w:rPr>
                <w:rFonts w:cstheme="minorHAnsi"/>
                <w:bCs/>
                <w:iCs/>
                <w:sz w:val="16"/>
                <w:szCs w:val="16"/>
              </w:rPr>
              <w:t>0.999</w:t>
            </w:r>
          </w:p>
        </w:tc>
        <w:tc>
          <w:tcPr>
            <w:tcW w:w="992" w:type="dxa"/>
          </w:tcPr>
          <w:p w14:paraId="40D72E0E" w14:textId="30E6F04F" w:rsidR="00F55178" w:rsidRDefault="00F55178" w:rsidP="004B1031">
            <w:pPr>
              <w:spacing w:before="60" w:after="60"/>
              <w:jc w:val="center"/>
              <w:rPr>
                <w:rFonts w:cstheme="minorHAnsi"/>
                <w:bCs/>
                <w:iCs/>
                <w:sz w:val="16"/>
                <w:szCs w:val="16"/>
              </w:rPr>
            </w:pPr>
            <w:r>
              <w:rPr>
                <w:rFonts w:cstheme="minorHAnsi"/>
                <w:bCs/>
                <w:iCs/>
                <w:sz w:val="16"/>
                <w:szCs w:val="16"/>
              </w:rPr>
              <w:t>1.497</w:t>
            </w:r>
          </w:p>
        </w:tc>
      </w:tr>
      <w:tr w:rsidR="00027C43" w:rsidRPr="006F5FB2" w14:paraId="6A823F1E" w14:textId="77777777" w:rsidTr="00837115">
        <w:trPr>
          <w:trHeight w:val="279"/>
        </w:trPr>
        <w:tc>
          <w:tcPr>
            <w:tcW w:w="2551" w:type="dxa"/>
          </w:tcPr>
          <w:p w14:paraId="4ACF316A" w14:textId="7143BFB5" w:rsidR="00027C43" w:rsidRDefault="00B71D27" w:rsidP="004B1031">
            <w:pPr>
              <w:spacing w:before="60" w:after="60"/>
              <w:jc w:val="center"/>
              <w:rPr>
                <w:rFonts w:cstheme="minorHAnsi"/>
                <w:bCs/>
                <w:iCs/>
                <w:sz w:val="16"/>
                <w:szCs w:val="16"/>
              </w:rPr>
            </w:pPr>
            <w:r>
              <w:rPr>
                <w:rFonts w:cstheme="minorHAnsi"/>
                <w:bCs/>
                <w:iCs/>
                <w:sz w:val="16"/>
                <w:szCs w:val="16"/>
              </w:rPr>
              <w:t>Total Employment (persons)</w:t>
            </w:r>
          </w:p>
        </w:tc>
        <w:tc>
          <w:tcPr>
            <w:tcW w:w="992" w:type="dxa"/>
          </w:tcPr>
          <w:p w14:paraId="09A79411" w14:textId="16DDF38C" w:rsidR="00027C43" w:rsidRDefault="00326457" w:rsidP="004B1031">
            <w:pPr>
              <w:spacing w:before="60" w:after="60"/>
              <w:jc w:val="center"/>
              <w:rPr>
                <w:rFonts w:cstheme="minorHAnsi"/>
                <w:bCs/>
                <w:iCs/>
                <w:sz w:val="16"/>
                <w:szCs w:val="16"/>
              </w:rPr>
            </w:pPr>
            <w:r>
              <w:rPr>
                <w:rFonts w:cstheme="minorHAnsi"/>
                <w:bCs/>
                <w:iCs/>
                <w:sz w:val="16"/>
                <w:szCs w:val="16"/>
              </w:rPr>
              <w:t>0.996</w:t>
            </w:r>
          </w:p>
        </w:tc>
        <w:tc>
          <w:tcPr>
            <w:tcW w:w="992" w:type="dxa"/>
          </w:tcPr>
          <w:p w14:paraId="7CE7FA82" w14:textId="14E6040B" w:rsidR="00027C43" w:rsidRDefault="00326457" w:rsidP="004B1031">
            <w:pPr>
              <w:spacing w:before="60" w:after="60"/>
              <w:jc w:val="center"/>
              <w:rPr>
                <w:rFonts w:cstheme="minorHAnsi"/>
                <w:bCs/>
                <w:iCs/>
                <w:sz w:val="16"/>
                <w:szCs w:val="16"/>
              </w:rPr>
            </w:pPr>
            <w:r>
              <w:rPr>
                <w:rFonts w:cstheme="minorHAnsi"/>
                <w:bCs/>
                <w:iCs/>
                <w:sz w:val="16"/>
                <w:szCs w:val="16"/>
              </w:rPr>
              <w:t>2.255</w:t>
            </w:r>
          </w:p>
        </w:tc>
      </w:tr>
      <w:tr w:rsidR="00837115" w:rsidRPr="006F5FB2" w14:paraId="01E8C288" w14:textId="77777777" w:rsidTr="00837115">
        <w:tc>
          <w:tcPr>
            <w:tcW w:w="2551" w:type="dxa"/>
          </w:tcPr>
          <w:p w14:paraId="74A6C747" w14:textId="77777777" w:rsidR="00837115" w:rsidRPr="006F5FB2" w:rsidRDefault="00837115" w:rsidP="004B1031">
            <w:pPr>
              <w:spacing w:before="60" w:after="60"/>
              <w:jc w:val="center"/>
              <w:rPr>
                <w:rFonts w:cstheme="minorHAnsi"/>
                <w:bCs/>
                <w:iCs/>
                <w:sz w:val="16"/>
                <w:szCs w:val="16"/>
              </w:rPr>
            </w:pPr>
            <w:r w:rsidRPr="006F5FB2">
              <w:rPr>
                <w:rFonts w:cstheme="minorHAnsi"/>
                <w:bCs/>
                <w:iCs/>
                <w:sz w:val="16"/>
                <w:szCs w:val="16"/>
              </w:rPr>
              <w:t xml:space="preserve">Total </w:t>
            </w:r>
            <w:r>
              <w:rPr>
                <w:rFonts w:cstheme="minorHAnsi"/>
                <w:bCs/>
                <w:iCs/>
                <w:sz w:val="16"/>
                <w:szCs w:val="16"/>
              </w:rPr>
              <w:t>f</w:t>
            </w:r>
            <w:r w:rsidRPr="006F5FB2">
              <w:rPr>
                <w:rFonts w:cstheme="minorHAnsi"/>
                <w:bCs/>
                <w:iCs/>
                <w:sz w:val="16"/>
                <w:szCs w:val="16"/>
              </w:rPr>
              <w:t>inal energy consumption (</w:t>
            </w:r>
            <w:proofErr w:type="spellStart"/>
            <w:r w:rsidRPr="006F5FB2">
              <w:rPr>
                <w:rFonts w:cstheme="minorHAnsi"/>
                <w:bCs/>
                <w:iCs/>
                <w:sz w:val="16"/>
                <w:szCs w:val="16"/>
              </w:rPr>
              <w:t>Ktoe</w:t>
            </w:r>
            <w:proofErr w:type="spellEnd"/>
            <w:r w:rsidRPr="006F5FB2">
              <w:rPr>
                <w:rFonts w:cstheme="minorHAnsi"/>
                <w:bCs/>
                <w:iCs/>
                <w:sz w:val="16"/>
                <w:szCs w:val="16"/>
              </w:rPr>
              <w:t>/</w:t>
            </w:r>
            <w:proofErr w:type="spellStart"/>
            <w:r w:rsidRPr="006F5FB2">
              <w:rPr>
                <w:rFonts w:cstheme="minorHAnsi"/>
                <w:bCs/>
                <w:iCs/>
                <w:sz w:val="16"/>
                <w:szCs w:val="16"/>
              </w:rPr>
              <w:t>yr</w:t>
            </w:r>
            <w:proofErr w:type="spellEnd"/>
            <w:r w:rsidRPr="006F5FB2">
              <w:rPr>
                <w:rFonts w:cstheme="minorHAnsi"/>
                <w:bCs/>
                <w:iCs/>
                <w:sz w:val="16"/>
                <w:szCs w:val="16"/>
              </w:rPr>
              <w:t>)</w:t>
            </w:r>
          </w:p>
        </w:tc>
        <w:tc>
          <w:tcPr>
            <w:tcW w:w="992" w:type="dxa"/>
          </w:tcPr>
          <w:p w14:paraId="3D37E33B" w14:textId="1942CF60" w:rsidR="00837115" w:rsidRPr="006F5FB2" w:rsidRDefault="00F55178" w:rsidP="004B1031">
            <w:pPr>
              <w:spacing w:before="60" w:after="60"/>
              <w:jc w:val="center"/>
              <w:rPr>
                <w:rFonts w:cstheme="minorHAnsi"/>
                <w:bCs/>
                <w:iCs/>
                <w:sz w:val="16"/>
                <w:szCs w:val="16"/>
              </w:rPr>
            </w:pPr>
            <w:r>
              <w:rPr>
                <w:rFonts w:cstheme="minorHAnsi"/>
                <w:bCs/>
                <w:iCs/>
                <w:sz w:val="16"/>
                <w:szCs w:val="16"/>
              </w:rPr>
              <w:t>0.954</w:t>
            </w:r>
          </w:p>
        </w:tc>
        <w:tc>
          <w:tcPr>
            <w:tcW w:w="992" w:type="dxa"/>
          </w:tcPr>
          <w:p w14:paraId="5C4944FF" w14:textId="7548A41C" w:rsidR="00837115" w:rsidRPr="006F5FB2" w:rsidRDefault="00FA2BB6" w:rsidP="004B1031">
            <w:pPr>
              <w:spacing w:before="60" w:after="60"/>
              <w:jc w:val="center"/>
              <w:rPr>
                <w:rFonts w:cstheme="minorHAnsi"/>
                <w:bCs/>
                <w:iCs/>
                <w:sz w:val="16"/>
                <w:szCs w:val="16"/>
              </w:rPr>
            </w:pPr>
            <w:r>
              <w:rPr>
                <w:rFonts w:cstheme="minorHAnsi"/>
                <w:bCs/>
                <w:iCs/>
                <w:sz w:val="16"/>
                <w:szCs w:val="16"/>
              </w:rPr>
              <w:t>3.655</w:t>
            </w:r>
          </w:p>
        </w:tc>
      </w:tr>
      <w:tr w:rsidR="00837115" w:rsidRPr="006F5FB2" w14:paraId="7B2082AF" w14:textId="77777777" w:rsidTr="00837115">
        <w:tc>
          <w:tcPr>
            <w:tcW w:w="2551" w:type="dxa"/>
          </w:tcPr>
          <w:p w14:paraId="597B915A" w14:textId="77777777" w:rsidR="00837115" w:rsidRPr="006F5FB2" w:rsidRDefault="00837115" w:rsidP="004B1031">
            <w:pPr>
              <w:spacing w:before="60" w:after="60"/>
              <w:jc w:val="center"/>
              <w:rPr>
                <w:rFonts w:cstheme="minorHAnsi"/>
                <w:bCs/>
                <w:iCs/>
                <w:sz w:val="16"/>
                <w:szCs w:val="16"/>
              </w:rPr>
            </w:pPr>
            <w:r>
              <w:rPr>
                <w:rFonts w:cstheme="minorHAnsi"/>
                <w:bCs/>
                <w:iCs/>
                <w:sz w:val="16"/>
                <w:szCs w:val="16"/>
              </w:rPr>
              <w:t>Domestic material consumption</w:t>
            </w:r>
            <w:r w:rsidRPr="006F5FB2">
              <w:rPr>
                <w:rFonts w:cstheme="minorHAnsi"/>
                <w:bCs/>
                <w:iCs/>
                <w:sz w:val="16"/>
                <w:szCs w:val="16"/>
              </w:rPr>
              <w:t xml:space="preserve"> (</w:t>
            </w:r>
            <w:r>
              <w:rPr>
                <w:rFonts w:cstheme="minorHAnsi"/>
                <w:bCs/>
                <w:iCs/>
                <w:sz w:val="16"/>
                <w:szCs w:val="16"/>
              </w:rPr>
              <w:t>t</w:t>
            </w:r>
            <w:r w:rsidRPr="006F5FB2">
              <w:rPr>
                <w:rFonts w:cstheme="minorHAnsi"/>
                <w:bCs/>
                <w:iCs/>
                <w:sz w:val="16"/>
                <w:szCs w:val="16"/>
              </w:rPr>
              <w:t>)</w:t>
            </w:r>
          </w:p>
        </w:tc>
        <w:tc>
          <w:tcPr>
            <w:tcW w:w="992" w:type="dxa"/>
          </w:tcPr>
          <w:p w14:paraId="74842181" w14:textId="6583E699" w:rsidR="00837115" w:rsidRPr="00EB0575" w:rsidRDefault="00FA2BB6" w:rsidP="004B1031">
            <w:pPr>
              <w:spacing w:before="60" w:after="60"/>
              <w:jc w:val="center"/>
              <w:rPr>
                <w:rFonts w:cstheme="minorHAnsi"/>
                <w:bCs/>
                <w:iCs/>
                <w:sz w:val="16"/>
                <w:szCs w:val="16"/>
              </w:rPr>
            </w:pPr>
            <w:r>
              <w:rPr>
                <w:rFonts w:cstheme="minorHAnsi"/>
                <w:bCs/>
                <w:iCs/>
                <w:sz w:val="16"/>
                <w:szCs w:val="16"/>
              </w:rPr>
              <w:t>0.914</w:t>
            </w:r>
          </w:p>
        </w:tc>
        <w:tc>
          <w:tcPr>
            <w:tcW w:w="992" w:type="dxa"/>
          </w:tcPr>
          <w:p w14:paraId="69C66513" w14:textId="5B260B33" w:rsidR="00837115" w:rsidRPr="00EB0575" w:rsidRDefault="00FA2BB6" w:rsidP="004B1031">
            <w:pPr>
              <w:spacing w:before="60" w:after="60"/>
              <w:jc w:val="center"/>
              <w:rPr>
                <w:rFonts w:cstheme="minorHAnsi"/>
                <w:bCs/>
                <w:iCs/>
                <w:sz w:val="16"/>
                <w:szCs w:val="16"/>
              </w:rPr>
            </w:pPr>
            <w:r>
              <w:rPr>
                <w:rFonts w:cstheme="minorHAnsi"/>
                <w:bCs/>
                <w:iCs/>
                <w:sz w:val="16"/>
                <w:szCs w:val="16"/>
              </w:rPr>
              <w:t>3.975</w:t>
            </w:r>
          </w:p>
        </w:tc>
      </w:tr>
      <w:tr w:rsidR="00837115" w:rsidRPr="006F5FB2" w14:paraId="7D07D447" w14:textId="77777777" w:rsidTr="00837115">
        <w:tc>
          <w:tcPr>
            <w:tcW w:w="2551" w:type="dxa"/>
          </w:tcPr>
          <w:p w14:paraId="29426C49" w14:textId="77777777" w:rsidR="00837115" w:rsidRPr="006F5FB2" w:rsidRDefault="00837115" w:rsidP="004B1031">
            <w:pPr>
              <w:spacing w:before="60" w:after="60"/>
              <w:jc w:val="center"/>
              <w:rPr>
                <w:rFonts w:cstheme="minorHAnsi"/>
                <w:bCs/>
                <w:iCs/>
                <w:sz w:val="16"/>
                <w:szCs w:val="16"/>
              </w:rPr>
            </w:pPr>
            <w:r w:rsidRPr="006F5FB2">
              <w:rPr>
                <w:rFonts w:cstheme="minorHAnsi"/>
                <w:bCs/>
                <w:iCs/>
                <w:sz w:val="16"/>
                <w:szCs w:val="16"/>
              </w:rPr>
              <w:t>GHG</w:t>
            </w:r>
            <w:r>
              <w:rPr>
                <w:rFonts w:cstheme="minorHAnsi"/>
                <w:bCs/>
                <w:iCs/>
                <w:sz w:val="16"/>
                <w:szCs w:val="16"/>
              </w:rPr>
              <w:t>s</w:t>
            </w:r>
            <w:r w:rsidRPr="006F5FB2">
              <w:rPr>
                <w:rFonts w:cstheme="minorHAnsi"/>
                <w:bCs/>
                <w:iCs/>
                <w:sz w:val="16"/>
                <w:szCs w:val="16"/>
              </w:rPr>
              <w:t xml:space="preserve"> in CO2-e</w:t>
            </w:r>
            <w:r>
              <w:rPr>
                <w:rFonts w:cstheme="minorHAnsi"/>
                <w:bCs/>
                <w:iCs/>
                <w:sz w:val="16"/>
                <w:szCs w:val="16"/>
              </w:rPr>
              <w:t>q</w:t>
            </w:r>
            <w:r w:rsidRPr="006F5FB2">
              <w:rPr>
                <w:rFonts w:cstheme="minorHAnsi"/>
                <w:bCs/>
                <w:iCs/>
                <w:sz w:val="16"/>
                <w:szCs w:val="16"/>
              </w:rPr>
              <w:t xml:space="preserve"> (t)</w:t>
            </w:r>
          </w:p>
        </w:tc>
        <w:tc>
          <w:tcPr>
            <w:tcW w:w="992" w:type="dxa"/>
          </w:tcPr>
          <w:p w14:paraId="7440F7F8" w14:textId="49B4E907" w:rsidR="00837115" w:rsidRPr="00EB0575" w:rsidRDefault="00027C43" w:rsidP="004B1031">
            <w:pPr>
              <w:spacing w:before="60" w:after="60"/>
              <w:jc w:val="center"/>
              <w:rPr>
                <w:rFonts w:cstheme="minorHAnsi"/>
                <w:bCs/>
                <w:iCs/>
                <w:sz w:val="16"/>
                <w:szCs w:val="16"/>
              </w:rPr>
            </w:pPr>
            <w:r>
              <w:rPr>
                <w:rFonts w:cstheme="minorHAnsi"/>
                <w:bCs/>
                <w:iCs/>
                <w:sz w:val="16"/>
                <w:szCs w:val="16"/>
              </w:rPr>
              <w:t>0.992</w:t>
            </w:r>
          </w:p>
        </w:tc>
        <w:tc>
          <w:tcPr>
            <w:tcW w:w="992" w:type="dxa"/>
          </w:tcPr>
          <w:p w14:paraId="74690C3F" w14:textId="63F4D8F7" w:rsidR="00837115" w:rsidRPr="00EB0575" w:rsidRDefault="00027C43" w:rsidP="004B1031">
            <w:pPr>
              <w:spacing w:before="60" w:after="60"/>
              <w:jc w:val="center"/>
              <w:rPr>
                <w:rFonts w:cstheme="minorHAnsi"/>
                <w:bCs/>
                <w:iCs/>
                <w:sz w:val="16"/>
                <w:szCs w:val="16"/>
              </w:rPr>
            </w:pPr>
            <w:r>
              <w:rPr>
                <w:rFonts w:cstheme="minorHAnsi"/>
                <w:bCs/>
                <w:iCs/>
                <w:sz w:val="16"/>
                <w:szCs w:val="16"/>
              </w:rPr>
              <w:t>2.628</w:t>
            </w:r>
          </w:p>
        </w:tc>
      </w:tr>
      <w:tr w:rsidR="00837115" w:rsidRPr="006F5FB2" w14:paraId="4519F5E3" w14:textId="77777777" w:rsidTr="00837115">
        <w:tc>
          <w:tcPr>
            <w:tcW w:w="2551" w:type="dxa"/>
          </w:tcPr>
          <w:p w14:paraId="3067B0B0" w14:textId="77777777" w:rsidR="00837115" w:rsidRPr="006F5FB2" w:rsidRDefault="00837115" w:rsidP="004B1031">
            <w:pPr>
              <w:spacing w:before="60" w:after="60"/>
              <w:jc w:val="center"/>
              <w:rPr>
                <w:rFonts w:cstheme="minorHAnsi"/>
                <w:bCs/>
                <w:iCs/>
                <w:sz w:val="16"/>
                <w:szCs w:val="16"/>
              </w:rPr>
            </w:pPr>
            <w:r>
              <w:rPr>
                <w:rFonts w:cstheme="minorHAnsi"/>
                <w:bCs/>
                <w:iCs/>
                <w:sz w:val="16"/>
                <w:szCs w:val="16"/>
              </w:rPr>
              <w:t>Average l</w:t>
            </w:r>
            <w:r w:rsidRPr="006F5FB2">
              <w:rPr>
                <w:rFonts w:cstheme="minorHAnsi"/>
                <w:bCs/>
                <w:iCs/>
                <w:sz w:val="16"/>
                <w:szCs w:val="16"/>
              </w:rPr>
              <w:t>ife expectancy (years)</w:t>
            </w:r>
          </w:p>
        </w:tc>
        <w:tc>
          <w:tcPr>
            <w:tcW w:w="992" w:type="dxa"/>
          </w:tcPr>
          <w:p w14:paraId="14F22462" w14:textId="2B0EFA94" w:rsidR="00837115" w:rsidRPr="006F5FB2" w:rsidRDefault="00027C43" w:rsidP="004B1031">
            <w:pPr>
              <w:spacing w:before="60" w:after="60"/>
              <w:jc w:val="center"/>
              <w:rPr>
                <w:rFonts w:cstheme="minorHAnsi"/>
                <w:bCs/>
                <w:iCs/>
                <w:sz w:val="16"/>
                <w:szCs w:val="16"/>
              </w:rPr>
            </w:pPr>
            <w:r>
              <w:rPr>
                <w:rFonts w:cstheme="minorHAnsi"/>
                <w:bCs/>
                <w:iCs/>
                <w:sz w:val="16"/>
                <w:szCs w:val="16"/>
              </w:rPr>
              <w:t>0.995</w:t>
            </w:r>
          </w:p>
        </w:tc>
        <w:tc>
          <w:tcPr>
            <w:tcW w:w="992" w:type="dxa"/>
          </w:tcPr>
          <w:p w14:paraId="1B7A7CFF" w14:textId="6B302A45" w:rsidR="00837115" w:rsidRPr="006F5FB2" w:rsidRDefault="00027C43" w:rsidP="004B1031">
            <w:pPr>
              <w:spacing w:before="60" w:after="60"/>
              <w:jc w:val="center"/>
              <w:rPr>
                <w:rFonts w:cstheme="minorHAnsi"/>
                <w:bCs/>
                <w:iCs/>
                <w:sz w:val="16"/>
                <w:szCs w:val="16"/>
              </w:rPr>
            </w:pPr>
            <w:r>
              <w:rPr>
                <w:rFonts w:cstheme="minorHAnsi"/>
                <w:bCs/>
                <w:iCs/>
                <w:sz w:val="16"/>
                <w:szCs w:val="16"/>
              </w:rPr>
              <w:t>1.032</w:t>
            </w:r>
          </w:p>
        </w:tc>
      </w:tr>
    </w:tbl>
    <w:p w14:paraId="7663080E" w14:textId="77777777" w:rsidR="00286DC5" w:rsidRDefault="00286DC5">
      <w:pPr>
        <w:rPr>
          <w:lang w:val="en-US" w:eastAsia="de-DE"/>
        </w:rPr>
      </w:pPr>
    </w:p>
    <w:p w14:paraId="337AE215" w14:textId="77777777" w:rsidR="00286DC5" w:rsidRDefault="00286DC5">
      <w:pPr>
        <w:rPr>
          <w:lang w:val="en-US" w:eastAsia="de-DE"/>
        </w:rPr>
      </w:pPr>
      <w:r>
        <w:rPr>
          <w:lang w:val="en-US" w:eastAsia="de-DE"/>
        </w:rPr>
        <w:br w:type="page"/>
      </w:r>
    </w:p>
    <w:p w14:paraId="1DB65D23" w14:textId="5AAB2263" w:rsidR="00286DC5" w:rsidRDefault="00286DC5" w:rsidP="00286DC5">
      <w:pPr>
        <w:pStyle w:val="Heading2"/>
        <w:rPr>
          <w:lang w:val="en-AU"/>
        </w:rPr>
      </w:pPr>
      <w:bookmarkStart w:id="13" w:name="_Toc123651722"/>
      <w:r>
        <w:rPr>
          <w:lang w:val="en-AU"/>
        </w:rPr>
        <w:lastRenderedPageBreak/>
        <w:t>Supplementary Table 6.</w:t>
      </w:r>
      <w:r w:rsidRPr="00E16B08">
        <w:rPr>
          <w:lang w:val="en-AU"/>
        </w:rPr>
        <w:t xml:space="preserve"> </w:t>
      </w:r>
      <w:r w:rsidR="008C21A0">
        <w:rPr>
          <w:lang w:val="en-AU"/>
        </w:rPr>
        <w:t>Sensitivity Analysis (SA)</w:t>
      </w:r>
      <w:r w:rsidR="00652B77">
        <w:rPr>
          <w:lang w:val="en-AU"/>
        </w:rPr>
        <w:t>: sensitivity variables and input ranges</w:t>
      </w:r>
      <w:bookmarkEnd w:id="13"/>
    </w:p>
    <w:tbl>
      <w:tblPr>
        <w:tblStyle w:val="TableGrid"/>
        <w:tblW w:w="0" w:type="auto"/>
        <w:tblLook w:val="04A0" w:firstRow="1" w:lastRow="0" w:firstColumn="1" w:lastColumn="0" w:noHBand="0" w:noVBand="1"/>
      </w:tblPr>
      <w:tblGrid>
        <w:gridCol w:w="1838"/>
        <w:gridCol w:w="12049"/>
      </w:tblGrid>
      <w:tr w:rsidR="008C21A0" w:rsidRPr="00BC6F97" w14:paraId="7A932DF4" w14:textId="77777777" w:rsidTr="008C21A0">
        <w:tc>
          <w:tcPr>
            <w:tcW w:w="1838" w:type="dxa"/>
          </w:tcPr>
          <w:p w14:paraId="19F40433" w14:textId="3A32D529" w:rsidR="008C21A0" w:rsidRPr="00BC6F97" w:rsidRDefault="00BF6D1B" w:rsidP="004B1031">
            <w:pPr>
              <w:rPr>
                <w:b/>
                <w:bCs/>
                <w:sz w:val="18"/>
                <w:szCs w:val="18"/>
              </w:rPr>
            </w:pPr>
            <w:r>
              <w:rPr>
                <w:b/>
                <w:bCs/>
                <w:sz w:val="18"/>
                <w:szCs w:val="18"/>
              </w:rPr>
              <w:t>Variable</w:t>
            </w:r>
          </w:p>
        </w:tc>
        <w:tc>
          <w:tcPr>
            <w:tcW w:w="12049" w:type="dxa"/>
          </w:tcPr>
          <w:p w14:paraId="4151CF86" w14:textId="77777777" w:rsidR="008C21A0" w:rsidRPr="00BC6F97" w:rsidRDefault="008C21A0" w:rsidP="004B1031">
            <w:pPr>
              <w:rPr>
                <w:b/>
                <w:bCs/>
                <w:sz w:val="18"/>
                <w:szCs w:val="18"/>
              </w:rPr>
            </w:pPr>
            <w:r w:rsidRPr="00BC6F97">
              <w:rPr>
                <w:b/>
                <w:bCs/>
                <w:sz w:val="18"/>
                <w:szCs w:val="18"/>
              </w:rPr>
              <w:t>Sensitivity analysis input settings</w:t>
            </w:r>
          </w:p>
        </w:tc>
      </w:tr>
      <w:tr w:rsidR="008C21A0" w:rsidRPr="00B55F09" w14:paraId="1C5DB668" w14:textId="77777777" w:rsidTr="008C21A0">
        <w:tc>
          <w:tcPr>
            <w:tcW w:w="1838" w:type="dxa"/>
          </w:tcPr>
          <w:p w14:paraId="7B56E784" w14:textId="77777777" w:rsidR="008C21A0" w:rsidRPr="00B55F09" w:rsidRDefault="008C21A0" w:rsidP="004B1031">
            <w:pPr>
              <w:rPr>
                <w:b/>
                <w:bCs/>
                <w:sz w:val="18"/>
                <w:szCs w:val="18"/>
              </w:rPr>
            </w:pPr>
            <w:r w:rsidRPr="00B55F09">
              <w:rPr>
                <w:b/>
                <w:bCs/>
                <w:sz w:val="18"/>
                <w:szCs w:val="18"/>
              </w:rPr>
              <w:t>Average mining gross value added (GVA)</w:t>
            </w:r>
          </w:p>
        </w:tc>
        <w:tc>
          <w:tcPr>
            <w:tcW w:w="12049" w:type="dxa"/>
          </w:tcPr>
          <w:p w14:paraId="2D57CCEF" w14:textId="45710CB1" w:rsidR="008C21A0" w:rsidRPr="00BC6F97" w:rsidRDefault="008C21A0" w:rsidP="004B1031">
            <w:pPr>
              <w:rPr>
                <w:iCs/>
                <w:sz w:val="18"/>
                <w:szCs w:val="18"/>
              </w:rPr>
            </w:pPr>
            <w:r w:rsidRPr="00BC6F97">
              <w:rPr>
                <w:iCs/>
                <w:sz w:val="18"/>
                <w:szCs w:val="18"/>
              </w:rPr>
              <w:t xml:space="preserve">For mining commodity prices there are several existing Australian and global studies that studies that project changes in total production of key mining commodities, which generally project increased production in commodities through until 2030 </w:t>
            </w:r>
            <w:r w:rsidRPr="00BC6F97">
              <w:rPr>
                <w:iCs/>
                <w:sz w:val="18"/>
                <w:szCs w:val="18"/>
              </w:rPr>
              <w:fldChar w:fldCharType="begin">
                <w:fldData xml:space="preserve">PEVuZE5vdGU+PENpdGU+PEF1dGhvcj5TeWVkPC9BdXRob3I+PFllYXI+MjAxMDwvWWVhcj48UmVj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</w:fldData>
              </w:fldChar>
            </w:r>
            <w:r w:rsidRPr="00BC6F97">
              <w:rPr>
                <w:iCs/>
                <w:sz w:val="18"/>
                <w:szCs w:val="18"/>
              </w:rPr>
              <w:instrText xml:space="preserve"> ADDIN EN.CITE </w:instrText>
            </w:r>
            <w:r w:rsidRPr="00BC6F97">
              <w:rPr>
                <w:iCs/>
                <w:sz w:val="18"/>
                <w:szCs w:val="18"/>
              </w:rPr>
              <w:fldChar w:fldCharType="begin">
                <w:fldData xml:space="preserve">PEVuZE5vdGU+PENpdGU+PEF1dGhvcj5TeWVkPC9BdXRob3I+PFllYXI+MjAxMDwvWWVhcj48UmVj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</w:fldData>
              </w:fldChar>
            </w:r>
            <w:r w:rsidRPr="00BC6F97">
              <w:rPr>
                <w:iCs/>
                <w:sz w:val="18"/>
                <w:szCs w:val="18"/>
              </w:rPr>
              <w:instrText xml:space="preserve"> ADDIN EN.CITE.DATA </w:instrText>
            </w:r>
            <w:r w:rsidRPr="00BC6F97">
              <w:rPr>
                <w:iCs/>
                <w:sz w:val="18"/>
                <w:szCs w:val="18"/>
              </w:rPr>
            </w:r>
            <w:r w:rsidRPr="00BC6F97">
              <w:rPr>
                <w:iCs/>
                <w:sz w:val="18"/>
                <w:szCs w:val="18"/>
              </w:rPr>
              <w:fldChar w:fldCharType="end"/>
            </w:r>
            <w:r w:rsidRPr="00BC6F97">
              <w:rPr>
                <w:iCs/>
                <w:sz w:val="18"/>
                <w:szCs w:val="18"/>
              </w:rPr>
            </w:r>
            <w:r w:rsidRPr="00BC6F97">
              <w:rPr>
                <w:iCs/>
                <w:sz w:val="18"/>
                <w:szCs w:val="18"/>
              </w:rPr>
              <w:fldChar w:fldCharType="separate"/>
            </w:r>
            <w:r w:rsidRPr="00BC6F97">
              <w:rPr>
                <w:iCs/>
                <w:noProof/>
                <w:sz w:val="18"/>
                <w:szCs w:val="18"/>
              </w:rPr>
              <w:t>(Syed et al., 2010, Riahi et al., 2017, Resources 2030 Taskforce, 2018)</w:t>
            </w:r>
            <w:r w:rsidRPr="00BC6F97">
              <w:rPr>
                <w:sz w:val="18"/>
                <w:szCs w:val="18"/>
              </w:rPr>
              <w:fldChar w:fldCharType="end"/>
            </w:r>
            <w:r w:rsidRPr="00BC6F97">
              <w:rPr>
                <w:iCs/>
                <w:sz w:val="18"/>
                <w:szCs w:val="18"/>
              </w:rPr>
              <w:t xml:space="preserve">. However, these longer-term studies do not explore commodity prices.  For the SA, a plausible range was determined based on timeseries data </w:t>
            </w:r>
            <w:r w:rsidRPr="00BC6F97">
              <w:rPr>
                <w:iCs/>
                <w:sz w:val="18"/>
                <w:szCs w:val="18"/>
              </w:rPr>
              <w:fldChar w:fldCharType="begin"/>
            </w:r>
            <w:r w:rsidR="006C5257">
              <w:rPr>
                <w:iCs/>
                <w:sz w:val="18"/>
                <w:szCs w:val="18"/>
              </w:rPr>
              <w:instrText xml:space="preserve"> ADDIN EN.CITE &lt;EndNote&gt;&lt;Cite&gt;&lt;Author&gt;ABS&lt;/Author&gt;&lt;Year&gt;2017&lt;/Year&gt;&lt;RecNum&gt;1050&lt;/RecNum&gt;&lt;DisplayText&gt;(ABS, 2017e, ABS, 2017c)&lt;/DisplayText&gt;&lt;record&gt;&lt;rec-number&gt;1050&lt;/rec-number&gt;&lt;foreign-keys&gt;&lt;key app="EN" db-id="9vsrvaat7fadwtesfsrpw5w5t0x5v500ef25" timestamp="1565085873"&gt;1050&lt;/key&gt;&lt;/foreign-keys&gt;&lt;ref-type name="Dataset"&gt;59&lt;/ref-type&gt;&lt;contributors&gt;&lt;authors&gt;&lt;author&gt;ABS,&lt;/author&gt;&lt;/authors&gt;&lt;/contributors&gt;&lt;titles&gt;&lt;title&gt;8415.0 - Mining Operations, Australia&lt;/title&gt;&lt;/titles&gt;&lt;dates&gt;&lt;year&gt;2017&lt;/year&gt;&lt;/dates&gt;&lt;pub-location&gt;Canberra, Australia&lt;/pub-location&gt;&lt;publisher&gt;Australian Bureau of Statistics&lt;/publisher&gt;&lt;urls&gt;&lt;related-urls&gt;&lt;url&gt;https://www.abs.gov.au/ausstats/abs@.nsf/0/D96FCC4AEEA50923CA2568A90013940B?Opendocument&lt;/url&gt;&lt;/related-urls&gt;&lt;/urls&gt;&lt;access-date&gt;12/02/18&lt;/access-date&gt;&lt;/record&gt;&lt;/Cite&gt;&lt;Cite&gt;&lt;Author&gt;ABS&lt;/Author&gt;&lt;Year&gt;2017&lt;/Year&gt;&lt;RecNum&gt;1051&lt;/RecNum&gt;&lt;record&gt;&lt;rec-number&gt;1051&lt;/rec-number&gt;&lt;foreign-keys&gt;&lt;key app="EN" db-id="9vsrvaat7fadwtesfsrpw5w5t0x5v500ef25" timestamp="1565085982"&gt;1051&lt;/key&gt;&lt;/foreign-keys&gt;&lt;ref-type name="Dataset"&gt;59&lt;/ref-type&gt;&lt;contributors&gt;&lt;authors&gt;&lt;author&gt;ABS,&lt;/author&gt;&lt;/authors&gt;&lt;/contributors&gt;&lt;titles&gt;&lt;title&gt;5204.0 - Australian System of National Accounts&lt;/title&gt;&lt;/titles&gt;&lt;dates&gt;&lt;year&gt;2017&lt;/year&gt;&lt;/dates&gt;&lt;pub-location&gt;Canberra, Australia&lt;/pub-location&gt;&lt;publisher&gt;Australian Bureau of Statistics&lt;/publisher&gt;&lt;urls&gt;&lt;related-urls&gt;&lt;url&gt;https://www.abs.gov.au/AUSSTATS/abs@.nsf/allprimarymainfeatures/D287F7C09246B5BDCA258331000C3A24?opendocument&lt;/url&gt;&lt;/related-urls&gt;&lt;/urls&gt;&lt;access-date&gt;18/02/18&lt;/access-date&gt;&lt;/record&gt;&lt;/Cite&gt;&lt;/EndNote&gt;</w:instrText>
            </w:r>
            <w:r w:rsidRPr="00BC6F97">
              <w:rPr>
                <w:iCs/>
                <w:sz w:val="18"/>
                <w:szCs w:val="18"/>
              </w:rPr>
              <w:fldChar w:fldCharType="separate"/>
            </w:r>
            <w:r w:rsidR="006C5257">
              <w:rPr>
                <w:iCs/>
                <w:noProof/>
                <w:sz w:val="18"/>
                <w:szCs w:val="18"/>
              </w:rPr>
              <w:t>(ABS, 2017e, ABS, 2017c)</w:t>
            </w:r>
            <w:r w:rsidRPr="00BC6F97">
              <w:rPr>
                <w:sz w:val="18"/>
                <w:szCs w:val="18"/>
              </w:rPr>
              <w:fldChar w:fldCharType="end"/>
            </w:r>
            <w:r w:rsidRPr="00BC6F97">
              <w:rPr>
                <w:iCs/>
                <w:sz w:val="18"/>
                <w:szCs w:val="18"/>
              </w:rPr>
              <w:t xml:space="preserve">, with the range for SA set at +/-30% of projected average mining gross value added (GVA) by 2050. </w:t>
            </w:r>
          </w:p>
        </w:tc>
      </w:tr>
      <w:tr w:rsidR="008C21A0" w:rsidRPr="00B55F09" w14:paraId="7FBB5669" w14:textId="77777777" w:rsidTr="008C21A0">
        <w:tc>
          <w:tcPr>
            <w:tcW w:w="1838" w:type="dxa"/>
          </w:tcPr>
          <w:p w14:paraId="522B757E" w14:textId="77777777" w:rsidR="008C21A0" w:rsidRPr="00B55F09" w:rsidRDefault="008C21A0" w:rsidP="004B1031">
            <w:pPr>
              <w:rPr>
                <w:b/>
                <w:bCs/>
                <w:sz w:val="18"/>
                <w:szCs w:val="18"/>
              </w:rPr>
            </w:pPr>
            <w:r w:rsidRPr="00B11602">
              <w:rPr>
                <w:b/>
                <w:bCs/>
                <w:sz w:val="18"/>
                <w:szCs w:val="18"/>
              </w:rPr>
              <w:t>Average livestock gross value added (GVA)</w:t>
            </w:r>
          </w:p>
        </w:tc>
        <w:tc>
          <w:tcPr>
            <w:tcW w:w="12049" w:type="dxa"/>
          </w:tcPr>
          <w:p w14:paraId="11A4F0EC" w14:textId="45D27309" w:rsidR="008C21A0" w:rsidRPr="00BC6F97" w:rsidRDefault="008C21A0" w:rsidP="004B1031">
            <w:pPr>
              <w:rPr>
                <w:iCs/>
                <w:sz w:val="18"/>
                <w:szCs w:val="18"/>
              </w:rPr>
            </w:pPr>
            <w:r w:rsidRPr="00BC6F97">
              <w:rPr>
                <w:iCs/>
                <w:sz w:val="18"/>
                <w:szCs w:val="18"/>
              </w:rPr>
              <w:t xml:space="preserve">Livestock production projections are calibrated on national economic data </w:t>
            </w:r>
            <w:r w:rsidRPr="00BC6F97">
              <w:rPr>
                <w:iCs/>
                <w:sz w:val="18"/>
                <w:szCs w:val="18"/>
              </w:rPr>
              <w:fldChar w:fldCharType="begin"/>
            </w:r>
            <w:r w:rsidRPr="00BC6F97">
              <w:rPr>
                <w:iCs/>
                <w:sz w:val="18"/>
                <w:szCs w:val="18"/>
              </w:rPr>
              <w:instrText xml:space="preserve"> ADDIN EN.CITE &lt;EndNote&gt;&lt;Cite&gt;&lt;Author&gt;ABS&lt;/Author&gt;&lt;Year&gt;2021&lt;/Year&gt;&lt;RecNum&gt;1860&lt;/RecNum&gt;&lt;DisplayText&gt;(ABS, 2021c)&lt;/DisplayText&gt;&lt;record&gt;&lt;rec-number&gt;1860&lt;/rec-number&gt;&lt;foreign-keys&gt;&lt;key app="EN" db-id="9vsrvaat7fadwtesfsrpw5w5t0x5v500ef25" timestamp="1619501657"&gt;1860&lt;/key&gt;&lt;/foreign-keys&gt;&lt;ref-type name="Generic"&gt;13&lt;/ref-type&gt;&lt;contributors&gt;&lt;authors&gt;&lt;author&gt;ABS&lt;/author&gt;&lt;/authors&gt;&lt;/contributors&gt;&lt;titles&gt;&lt;title&gt;Australian System of National Accounts&lt;/title&gt;&lt;secondary-title&gt;ABS Catalogue Number 5204.0&lt;/secondary-title&gt;&lt;/titles&gt;&lt;dates&gt;&lt;year&gt;2021&lt;/year&gt;&lt;/dates&gt;&lt;pub-location&gt;Canberra&lt;/pub-location&gt;&lt;publisher&gt;Australian Bureau of Statistics&lt;/publisher&gt;&lt;urls&gt;&lt;related-urls&gt;&lt;url&gt;https://www.abs.gov.au/statistics/economy/national-accounts/australian-system-national-accounts&lt;/url&gt;&lt;/related-urls&gt;&lt;/urls&gt;&lt;/record&gt;&lt;/Cite&gt;&lt;/EndNote&gt;</w:instrText>
            </w:r>
            <w:r w:rsidRPr="00BC6F97">
              <w:rPr>
                <w:iCs/>
                <w:sz w:val="18"/>
                <w:szCs w:val="18"/>
              </w:rPr>
              <w:fldChar w:fldCharType="separate"/>
            </w:r>
            <w:r w:rsidRPr="00BC6F97">
              <w:rPr>
                <w:iCs/>
                <w:noProof/>
                <w:sz w:val="18"/>
                <w:szCs w:val="18"/>
              </w:rPr>
              <w:t>(ABS, 2021c)</w:t>
            </w:r>
            <w:r w:rsidRPr="00BC6F97">
              <w:rPr>
                <w:iCs/>
                <w:sz w:val="18"/>
                <w:szCs w:val="18"/>
              </w:rPr>
              <w:fldChar w:fldCharType="end"/>
            </w:r>
            <w:r w:rsidRPr="00BC6F97">
              <w:rPr>
                <w:iCs/>
                <w:sz w:val="18"/>
                <w:szCs w:val="18"/>
              </w:rPr>
              <w:t xml:space="preserve"> which shows that real production has ranged from 14.5 to 22.6b since 2000. Production values declined from 16.3 to 14.7b in 2020 during the pandemic and following the catastrophic bushfires, a fall of around 10%.  The model includes impacts from natural disasters on agricultural capital, however demand for livestock will also be impacted population growth, changing incomes, and shifts in diets. Global projections suggest that demand for meat production will increase by 15% by 2027 </w:t>
            </w:r>
            <w:r w:rsidRPr="00BC6F97">
              <w:rPr>
                <w:iCs/>
                <w:sz w:val="18"/>
                <w:szCs w:val="18"/>
              </w:rPr>
              <w:fldChar w:fldCharType="begin"/>
            </w:r>
            <w:r w:rsidRPr="00BC6F97">
              <w:rPr>
                <w:iCs/>
                <w:sz w:val="18"/>
                <w:szCs w:val="18"/>
              </w:rPr>
              <w:instrText xml:space="preserve"> ADDIN EN.CITE &lt;EndNote&gt;&lt;Cite&gt;&lt;Author&gt;OECD&lt;/Author&gt;&lt;Year&gt;2017&lt;/Year&gt;&lt;RecNum&gt;942&lt;/RecNum&gt;&lt;DisplayText&gt;(OECD and FAO, 2017)&lt;/DisplayText&gt;&lt;record&gt;&lt;rec-number&gt;942&lt;/rec-number&gt;&lt;foreign-keys&gt;&lt;key app="EN" db-id="9vsrvaat7fadwtesfsrpw5w5t0x5v500ef25" timestamp="1544498524"&gt;942&lt;/key&gt;&lt;/foreign-keys&gt;&lt;ref-type name="Generic"&gt;13&lt;/ref-type&gt;&lt;contributors&gt;&lt;authors&gt;&lt;author&gt;OECD,&lt;/author&gt;&lt;author&gt;FAO,&lt;/author&gt;&lt;/authors&gt;&lt;/contributors&gt;&lt;titles&gt;&lt;title&gt;OECD-FAO Agricultural Outlook 2018-2027&lt;/title&gt;&lt;/titles&gt;&lt;dates&gt;&lt;year&gt;2017&lt;/year&gt;&lt;/dates&gt;&lt;pub-location&gt;Rome, Italy&lt;/pub-location&gt;&lt;publisher&gt;Organisation for Economic Cooperation and Development and the UN Food and Agricultural Organisation.&lt;/publisher&gt;&lt;urls&gt;&lt;/urls&gt;&lt;/record&gt;&lt;/Cite&gt;&lt;/EndNote&gt;</w:instrText>
            </w:r>
            <w:r w:rsidRPr="00BC6F97">
              <w:rPr>
                <w:iCs/>
                <w:sz w:val="18"/>
                <w:szCs w:val="18"/>
              </w:rPr>
              <w:fldChar w:fldCharType="separate"/>
            </w:r>
            <w:r w:rsidRPr="00BC6F97">
              <w:rPr>
                <w:iCs/>
                <w:noProof/>
                <w:sz w:val="18"/>
                <w:szCs w:val="18"/>
              </w:rPr>
              <w:t>(OECD and FAO, 2017)</w:t>
            </w:r>
            <w:r w:rsidRPr="00BC6F97">
              <w:rPr>
                <w:iCs/>
                <w:sz w:val="18"/>
                <w:szCs w:val="18"/>
              </w:rPr>
              <w:fldChar w:fldCharType="end"/>
            </w:r>
            <w:r w:rsidRPr="00BC6F97">
              <w:rPr>
                <w:iCs/>
                <w:sz w:val="18"/>
                <w:szCs w:val="18"/>
              </w:rPr>
              <w:t xml:space="preserve">.   For the purposes of the SA, min/max values were set at +/-30% of projected average livestock gross value added (GVA) by 2050.  </w:t>
            </w:r>
          </w:p>
        </w:tc>
      </w:tr>
      <w:tr w:rsidR="008C21A0" w:rsidRPr="00B55F09" w14:paraId="5345C519" w14:textId="77777777" w:rsidTr="008C21A0">
        <w:tc>
          <w:tcPr>
            <w:tcW w:w="1838" w:type="dxa"/>
          </w:tcPr>
          <w:p w14:paraId="50EF01B0" w14:textId="77777777" w:rsidR="008C21A0" w:rsidRPr="00B55F09" w:rsidRDefault="008C21A0" w:rsidP="004B1031">
            <w:pPr>
              <w:rPr>
                <w:b/>
                <w:bCs/>
                <w:sz w:val="18"/>
                <w:szCs w:val="18"/>
              </w:rPr>
            </w:pPr>
            <w:r w:rsidRPr="00B55F09">
              <w:rPr>
                <w:b/>
                <w:bCs/>
                <w:sz w:val="18"/>
                <w:szCs w:val="18"/>
              </w:rPr>
              <w:t>Average global temperature</w:t>
            </w:r>
          </w:p>
        </w:tc>
        <w:tc>
          <w:tcPr>
            <w:tcW w:w="12049" w:type="dxa"/>
          </w:tcPr>
          <w:p w14:paraId="0CA93AE9" w14:textId="56771DC9" w:rsidR="008C21A0" w:rsidRPr="00BC6F97" w:rsidRDefault="008C21A0" w:rsidP="004B1031">
            <w:pPr>
              <w:rPr>
                <w:iCs/>
                <w:sz w:val="18"/>
                <w:szCs w:val="18"/>
              </w:rPr>
            </w:pPr>
            <w:r w:rsidRPr="00BC6F97">
              <w:rPr>
                <w:iCs/>
                <w:sz w:val="18"/>
                <w:szCs w:val="18"/>
              </w:rPr>
              <w:t xml:space="preserve">The SA input range for global average temperatures was based on climate change projections included in the SSPs </w:t>
            </w:r>
            <w:r w:rsidRPr="00BC6F97">
              <w:rPr>
                <w:iCs/>
                <w:sz w:val="18"/>
                <w:szCs w:val="18"/>
              </w:rPr>
              <w:fldChar w:fldCharType="begin"/>
            </w:r>
            <w:r w:rsidRPr="00BC6F97">
              <w:rPr>
                <w:iCs/>
                <w:sz w:val="18"/>
                <w:szCs w:val="18"/>
              </w:rPr>
              <w:instrText xml:space="preserve"> ADDIN EN.CITE &lt;EndNote&gt;&lt;Cite&gt;&lt;Author&gt;Riahi&lt;/Author&gt;&lt;Year&gt;2017&lt;/Year&gt;&lt;RecNum&gt;802&lt;/RecNum&gt;&lt;DisplayText&gt;(Riahi et al., 2017)&lt;/DisplayText&gt;&lt;record&gt;&lt;rec-number&gt;802&lt;/rec-number&gt;&lt;foreign-keys&gt;&lt;key app="EN" db-id="9vsrvaat7fadwtesfsrpw5w5t0x5v500ef25" timestamp="1538912373"&gt;802&lt;/key&gt;&lt;/foreign-keys&gt;&lt;ref-type name="Journal Article"&gt;17&lt;/ref-type&gt;&lt;contributors&gt;&lt;authors&gt;&lt;author&gt;Riahi, Keywan&lt;/author&gt;&lt;author&gt;Van Vuuren, Detlef P&lt;/author&gt;&lt;author&gt;Kriegler, Elmar&lt;/author&gt;&lt;author&gt;Edmonds, Jae&lt;/author&gt;&lt;author&gt;O’neill, Brian C&lt;/author&gt;&lt;author&gt;Fujimori, Shinichiro&lt;/author&gt;&lt;author&gt;Bauer, Nico&lt;/author&gt;&lt;author&gt;Calvin, Katherine&lt;/author&gt;&lt;author&gt;Dellink, Rob&lt;/author&gt;&lt;author&gt;Fricko, Oliver&lt;/author&gt;&lt;/authors&gt;&lt;/contributors&gt;&lt;titles&gt;&lt;title&gt;The shared socioeconomic pathways and their energy, land use, and greenhouse gas emissions implications: an overview&lt;/title&gt;&lt;secondary-title&gt;Global Environmental Change&lt;/secondary-title&gt;&lt;/titles&gt;&lt;periodical&gt;&lt;full-title&gt;Global environmental change&lt;/full-title&gt;&lt;/periodical&gt;&lt;pages&gt;153-168&lt;/pages&gt;&lt;volume&gt;42&lt;/volume&gt;&lt;dates&gt;&lt;year&gt;2017&lt;/year&gt;&lt;/dates&gt;&lt;isbn&gt;0959-3780&lt;/isbn&gt;&lt;urls&gt;&lt;/urls&gt;&lt;electronic-resource-num&gt;https://doi.org/10.1016/j.gloenvcha.2016.05.009&lt;/electronic-resource-num&gt;&lt;/record&gt;&lt;/Cite&gt;&lt;/EndNote&gt;</w:instrText>
            </w:r>
            <w:r w:rsidRPr="00BC6F97">
              <w:rPr>
                <w:iCs/>
                <w:sz w:val="18"/>
                <w:szCs w:val="18"/>
              </w:rPr>
              <w:fldChar w:fldCharType="separate"/>
            </w:r>
            <w:r w:rsidRPr="00BC6F97">
              <w:rPr>
                <w:iCs/>
                <w:sz w:val="18"/>
                <w:szCs w:val="18"/>
              </w:rPr>
              <w:t>(</w:t>
            </w:r>
            <w:proofErr w:type="spellStart"/>
            <w:r w:rsidRPr="00BC6F97">
              <w:rPr>
                <w:iCs/>
                <w:sz w:val="18"/>
                <w:szCs w:val="18"/>
              </w:rPr>
              <w:t>Riahi</w:t>
            </w:r>
            <w:proofErr w:type="spellEnd"/>
            <w:r w:rsidRPr="00BC6F97">
              <w:rPr>
                <w:iCs/>
                <w:sz w:val="18"/>
                <w:szCs w:val="18"/>
              </w:rPr>
              <w:t xml:space="preserve"> et al., 2017)</w:t>
            </w:r>
            <w:r w:rsidRPr="00BC6F97">
              <w:rPr>
                <w:sz w:val="18"/>
                <w:szCs w:val="18"/>
              </w:rPr>
              <w:fldChar w:fldCharType="end"/>
            </w:r>
            <w:r w:rsidRPr="00BC6F97">
              <w:rPr>
                <w:iCs/>
                <w:sz w:val="18"/>
                <w:szCs w:val="18"/>
              </w:rPr>
              <w:t xml:space="preserve"> as well as CSIRO projections for Australia </w:t>
            </w:r>
            <w:r w:rsidRPr="00BC6F97">
              <w:rPr>
                <w:iCs/>
                <w:sz w:val="18"/>
                <w:szCs w:val="18"/>
              </w:rPr>
              <w:fldChar w:fldCharType="begin"/>
            </w:r>
            <w:r w:rsidRPr="00BC6F97">
              <w:rPr>
                <w:iCs/>
                <w:sz w:val="18"/>
                <w:szCs w:val="18"/>
              </w:rPr>
              <w:instrText xml:space="preserve"> ADDIN EN.CITE &lt;EndNote&gt;&lt;Cite&gt;&lt;Author&gt;CSIRO&lt;/Author&gt;&lt;Year&gt;2018&lt;/Year&gt;&lt;RecNum&gt;1057&lt;/RecNum&gt;&lt;DisplayText&gt;(CSIRO, 2018)&lt;/DisplayText&gt;&lt;record&gt;&lt;rec-number&gt;1057&lt;/rec-number&gt;&lt;foreign-keys&gt;&lt;key app="EN" db-id="9vsrvaat7fadwtesfsrpw5w5t0x5v500ef25" timestamp="1565088671"&gt;1057&lt;/key&gt;&lt;/foreign-keys&gt;&lt;ref-type name="Online Database"&gt;45&lt;/ref-type&gt;&lt;contributors&gt;&lt;authors&gt;&lt;author&gt;CSIRO,&lt;/author&gt;&lt;/authors&gt;&lt;/contributors&gt;&lt;titles&gt;&lt;title&gt;Climate Futures Exploration Tool&lt;/title&gt;&lt;/titles&gt;&lt;dates&gt;&lt;year&gt;2018&lt;/year&gt;&lt;/dates&gt;&lt;pub-location&gt;Canberra, Australia&lt;/pub-location&gt;&lt;urls&gt;&lt;related-urls&gt;&lt;url&gt;https://www.climatechangeinaustralia.gov.au/en/climate-projections/climate-futures-tool/projections/&lt;/url&gt;&lt;/related-urls&gt;&lt;/urls&gt;&lt;access-date&gt;06/10/18&lt;/access-date&gt;&lt;/record&gt;&lt;/Cite&gt;&lt;/EndNote&gt;</w:instrText>
            </w:r>
            <w:r w:rsidRPr="00BC6F97">
              <w:rPr>
                <w:iCs/>
                <w:sz w:val="18"/>
                <w:szCs w:val="18"/>
              </w:rPr>
              <w:fldChar w:fldCharType="separate"/>
            </w:r>
            <w:r w:rsidRPr="00BC6F97">
              <w:rPr>
                <w:iCs/>
                <w:sz w:val="18"/>
                <w:szCs w:val="18"/>
              </w:rPr>
              <w:t>(CSIRO, 2018)</w:t>
            </w:r>
            <w:r w:rsidRPr="00BC6F97">
              <w:rPr>
                <w:sz w:val="18"/>
                <w:szCs w:val="18"/>
              </w:rPr>
              <w:fldChar w:fldCharType="end"/>
            </w:r>
            <w:r w:rsidRPr="00BC6F97">
              <w:rPr>
                <w:iCs/>
                <w:sz w:val="18"/>
                <w:szCs w:val="18"/>
              </w:rPr>
              <w:t>. Climate results in the SSPs are based on MAGICC 6.8 and values range from 1.552 to 2.527</w:t>
            </w:r>
            <w:r w:rsidRPr="00BC6F97">
              <w:rPr>
                <w:iCs/>
                <w:sz w:val="18"/>
                <w:szCs w:val="18"/>
                <w:vertAlign w:val="superscript"/>
              </w:rPr>
              <w:t>o</w:t>
            </w:r>
            <w:r w:rsidRPr="00BC6F97">
              <w:rPr>
                <w:iCs/>
                <w:sz w:val="18"/>
                <w:szCs w:val="18"/>
              </w:rPr>
              <w:t>C above pre-industrial levels in 2050, while CSIRO present projections across different RCPs within the range of 0.5 to 3C by 2050. For the purposes of the SA, min/max levels were set at 1-3</w:t>
            </w:r>
            <w:r w:rsidRPr="00BC6F97">
              <w:rPr>
                <w:iCs/>
                <w:sz w:val="18"/>
                <w:szCs w:val="18"/>
                <w:vertAlign w:val="superscript"/>
              </w:rPr>
              <w:t>o</w:t>
            </w:r>
            <w:r w:rsidRPr="00BC6F97">
              <w:rPr>
                <w:iCs/>
                <w:sz w:val="18"/>
                <w:szCs w:val="18"/>
              </w:rPr>
              <w:t>C by 2050. This range adequately captured the assumptions used in the alternative trajectories (</w:t>
            </w:r>
            <w:proofErr w:type="gramStart"/>
            <w:r w:rsidRPr="00BC6F97">
              <w:rPr>
                <w:iCs/>
                <w:sz w:val="18"/>
                <w:szCs w:val="18"/>
              </w:rPr>
              <w:t>i.e.</w:t>
            </w:r>
            <w:proofErr w:type="gramEnd"/>
            <w:r w:rsidRPr="00BC6F97">
              <w:rPr>
                <w:iCs/>
                <w:sz w:val="18"/>
                <w:szCs w:val="18"/>
              </w:rPr>
              <w:t xml:space="preserve"> 1.769 to 1.965</w:t>
            </w:r>
            <w:r w:rsidRPr="00BC6F97">
              <w:rPr>
                <w:iCs/>
                <w:sz w:val="18"/>
                <w:szCs w:val="18"/>
                <w:vertAlign w:val="superscript"/>
              </w:rPr>
              <w:t>o</w:t>
            </w:r>
            <w:r w:rsidRPr="00BC6F97">
              <w:rPr>
                <w:iCs/>
                <w:sz w:val="18"/>
                <w:szCs w:val="18"/>
              </w:rPr>
              <w:t>C).</w:t>
            </w:r>
          </w:p>
        </w:tc>
      </w:tr>
      <w:tr w:rsidR="008C21A0" w:rsidRPr="00B55F09" w14:paraId="61612053" w14:textId="77777777" w:rsidTr="008C21A0">
        <w:tc>
          <w:tcPr>
            <w:tcW w:w="1838" w:type="dxa"/>
          </w:tcPr>
          <w:p w14:paraId="36A742B9" w14:textId="77777777" w:rsidR="008C21A0" w:rsidRPr="00B55F09" w:rsidRDefault="008C21A0" w:rsidP="004B1031">
            <w:pPr>
              <w:rPr>
                <w:b/>
                <w:bCs/>
                <w:sz w:val="18"/>
                <w:szCs w:val="18"/>
              </w:rPr>
            </w:pPr>
            <w:r w:rsidRPr="00B55F09">
              <w:rPr>
                <w:b/>
                <w:bCs/>
                <w:sz w:val="18"/>
                <w:szCs w:val="18"/>
              </w:rPr>
              <w:t>Net migration</w:t>
            </w:r>
          </w:p>
        </w:tc>
        <w:tc>
          <w:tcPr>
            <w:tcW w:w="12049" w:type="dxa"/>
          </w:tcPr>
          <w:p w14:paraId="21269CFB" w14:textId="29667B20" w:rsidR="008C21A0" w:rsidRPr="00BC6F97" w:rsidRDefault="008C21A0" w:rsidP="004B1031">
            <w:pPr>
              <w:rPr>
                <w:iCs/>
                <w:sz w:val="18"/>
                <w:szCs w:val="18"/>
              </w:rPr>
            </w:pPr>
            <w:r w:rsidRPr="00BC6F97">
              <w:rPr>
                <w:iCs/>
                <w:sz w:val="18"/>
                <w:szCs w:val="18"/>
              </w:rPr>
              <w:t xml:space="preserve">The input range for net migration was based on official timeseries data </w:t>
            </w:r>
            <w:r w:rsidRPr="00BC6F97">
              <w:rPr>
                <w:iCs/>
                <w:sz w:val="18"/>
                <w:szCs w:val="18"/>
              </w:rPr>
              <w:fldChar w:fldCharType="begin"/>
            </w:r>
            <w:r w:rsidRPr="00BC6F97">
              <w:rPr>
                <w:iCs/>
                <w:sz w:val="18"/>
                <w:szCs w:val="18"/>
              </w:rPr>
              <w:instrText xml:space="preserve"> ADDIN EN.CITE &lt;EndNote&gt;&lt;Cite&gt;&lt;Author&gt;ABS&lt;/Author&gt;&lt;Year&gt;2021&lt;/Year&gt;&lt;RecNum&gt;1043&lt;/RecNum&gt;&lt;DisplayText&gt;(ABS, 2021a)&lt;/DisplayText&gt;&lt;record&gt;&lt;rec-number&gt;1043&lt;/rec-number&gt;&lt;foreign-keys&gt;&lt;key app="EN" db-id="9vsrvaat7fadwtesfsrpw5w5t0x5v500ef25" timestamp="1565083535"&gt;1043&lt;/key&gt;&lt;/foreign-keys&gt;&lt;ref-type name="Dataset"&gt;59&lt;/ref-type&gt;&lt;contributors&gt;&lt;authors&gt;&lt;author&gt;ABS,&lt;/author&gt;&lt;/authors&gt;&lt;/contributors&gt;&lt;titles&gt;&lt;title&gt;3412.0 - Migration, Australia&lt;/title&gt;&lt;/titles&gt;&lt;dates&gt;&lt;year&gt;2021&lt;/year&gt;&lt;/dates&gt;&lt;pub-location&gt;Canberra, Australia&lt;/pub-location&gt;&lt;publisher&gt;Australian Bureau of Statistics&lt;/publisher&gt;&lt;urls&gt;&lt;related-urls&gt;&lt;url&gt;https://www.abs.gov.au/AUSSTATS/abs@.nsf/allprimarymainfeatures/D55E16D6BF20AA7CCA2583D00016ED30?opendocument&lt;/url&gt;&lt;/related-urls&gt;&lt;/urls&gt;&lt;access-date&gt;28/7/18&lt;/access-date&gt;&lt;/record&gt;&lt;/Cite&gt;&lt;/EndNote&gt;</w:instrText>
            </w:r>
            <w:r w:rsidRPr="00BC6F97">
              <w:rPr>
                <w:iCs/>
                <w:sz w:val="18"/>
                <w:szCs w:val="18"/>
              </w:rPr>
              <w:fldChar w:fldCharType="separate"/>
            </w:r>
            <w:r w:rsidRPr="00BC6F97">
              <w:rPr>
                <w:iCs/>
                <w:noProof/>
                <w:sz w:val="18"/>
                <w:szCs w:val="18"/>
              </w:rPr>
              <w:t>(ABS, 2021a)</w:t>
            </w:r>
            <w:r w:rsidRPr="00BC6F97">
              <w:rPr>
                <w:sz w:val="18"/>
                <w:szCs w:val="18"/>
              </w:rPr>
              <w:fldChar w:fldCharType="end"/>
            </w:r>
            <w:r w:rsidRPr="00BC6F97">
              <w:rPr>
                <w:iCs/>
                <w:sz w:val="18"/>
                <w:szCs w:val="18"/>
              </w:rPr>
              <w:t xml:space="preserve"> and population studies available in the literature </w:t>
            </w:r>
            <w:r w:rsidRPr="00BC6F97">
              <w:rPr>
                <w:iCs/>
                <w:sz w:val="18"/>
                <w:szCs w:val="18"/>
              </w:rPr>
              <w:fldChar w:fldCharType="begin">
                <w:fldData xml:space="preserve">PEVuZE5vdGU+PENpdGU+PEF1dGhvcj5Tb2JlbHM8L0F1dGhvcj48WWVhcj4yMDEwPC9ZZWFyPjxS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</w:fldData>
              </w:fldChar>
            </w:r>
            <w:r w:rsidRPr="00BC6F97">
              <w:rPr>
                <w:iCs/>
                <w:sz w:val="18"/>
                <w:szCs w:val="18"/>
              </w:rPr>
              <w:instrText xml:space="preserve"> ADDIN EN.CITE </w:instrText>
            </w:r>
            <w:r w:rsidRPr="00BC6F97">
              <w:rPr>
                <w:iCs/>
                <w:sz w:val="18"/>
                <w:szCs w:val="18"/>
              </w:rPr>
              <w:fldChar w:fldCharType="begin">
                <w:fldData xml:space="preserve">PEVuZE5vdGU+PENpdGU+PEF1dGhvcj5Tb2JlbHM8L0F1dGhvcj48WWVhcj4yMDEwPC9ZZWFyPjxS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</w:fldData>
              </w:fldChar>
            </w:r>
            <w:r w:rsidRPr="00BC6F97">
              <w:rPr>
                <w:iCs/>
                <w:sz w:val="18"/>
                <w:szCs w:val="18"/>
              </w:rPr>
              <w:instrText xml:space="preserve"> ADDIN EN.CITE.DATA </w:instrText>
            </w:r>
            <w:r w:rsidRPr="00BC6F97">
              <w:rPr>
                <w:sz w:val="18"/>
                <w:szCs w:val="18"/>
              </w:rPr>
            </w:r>
            <w:r w:rsidRPr="00BC6F97">
              <w:rPr>
                <w:sz w:val="18"/>
                <w:szCs w:val="18"/>
              </w:rPr>
              <w:fldChar w:fldCharType="end"/>
            </w:r>
            <w:r w:rsidRPr="00BC6F97">
              <w:rPr>
                <w:iCs/>
                <w:sz w:val="18"/>
                <w:szCs w:val="18"/>
              </w:rPr>
            </w:r>
            <w:r w:rsidRPr="00BC6F97">
              <w:rPr>
                <w:iCs/>
                <w:sz w:val="18"/>
                <w:szCs w:val="18"/>
              </w:rPr>
              <w:fldChar w:fldCharType="separate"/>
            </w:r>
            <w:r w:rsidRPr="00BC6F97">
              <w:rPr>
                <w:iCs/>
                <w:sz w:val="18"/>
                <w:szCs w:val="18"/>
              </w:rPr>
              <w:t>(</w:t>
            </w:r>
            <w:proofErr w:type="spellStart"/>
            <w:r w:rsidRPr="00BC6F97">
              <w:rPr>
                <w:iCs/>
                <w:sz w:val="18"/>
                <w:szCs w:val="18"/>
              </w:rPr>
              <w:t>Sobels</w:t>
            </w:r>
            <w:proofErr w:type="spellEnd"/>
            <w:r w:rsidRPr="00BC6F97">
              <w:rPr>
                <w:iCs/>
                <w:sz w:val="18"/>
                <w:szCs w:val="18"/>
              </w:rPr>
              <w:t xml:space="preserve"> et al., 2010, McDonald and Temple, 2010, Australian Productivity Commission, 2016)</w:t>
            </w:r>
            <w:r w:rsidRPr="00BC6F97">
              <w:rPr>
                <w:sz w:val="18"/>
                <w:szCs w:val="18"/>
              </w:rPr>
              <w:fldChar w:fldCharType="end"/>
            </w:r>
            <w:r w:rsidRPr="00BC6F97">
              <w:rPr>
                <w:iCs/>
                <w:sz w:val="18"/>
                <w:szCs w:val="18"/>
              </w:rPr>
              <w:t xml:space="preserve">.  Net migration is the largest contributor to population growth in Australia. Historic rates of net immigration since 1990 have ranged from approximately 45,000 to 315,000 persons per annum, while modelling studies have used a range from 0 to 1% of total population per annum resulting in a maximum population of 31 million people by 2030. In the model, the trajectories use a net migration target level of 7.8 per thousand people. For the purposes of the SA, min/max levels were set to halve or double this rate by 2050 (3.9 to 15.6).  </w:t>
            </w:r>
          </w:p>
        </w:tc>
      </w:tr>
      <w:tr w:rsidR="008C21A0" w:rsidRPr="00B55F09" w14:paraId="4FA6536B" w14:textId="77777777" w:rsidTr="008C21A0">
        <w:tc>
          <w:tcPr>
            <w:tcW w:w="1838" w:type="dxa"/>
          </w:tcPr>
          <w:p w14:paraId="6621F381" w14:textId="77777777" w:rsidR="008C21A0" w:rsidRPr="00B55F09" w:rsidRDefault="008C21A0" w:rsidP="004B1031">
            <w:pPr>
              <w:rPr>
                <w:b/>
                <w:bCs/>
                <w:sz w:val="18"/>
                <w:szCs w:val="18"/>
              </w:rPr>
            </w:pPr>
            <w:r w:rsidRPr="0015308F">
              <w:rPr>
                <w:b/>
                <w:bCs/>
                <w:sz w:val="18"/>
                <w:szCs w:val="18"/>
              </w:rPr>
              <w:t>Required increase in adaptation capital per degree of increase in temp</w:t>
            </w:r>
          </w:p>
        </w:tc>
        <w:tc>
          <w:tcPr>
            <w:tcW w:w="12049" w:type="dxa"/>
          </w:tcPr>
          <w:p w14:paraId="3F879685" w14:textId="1BBA24D7" w:rsidR="008C21A0" w:rsidRPr="00BC6F97" w:rsidRDefault="008C21A0" w:rsidP="004B1031">
            <w:pPr>
              <w:rPr>
                <w:iCs/>
                <w:sz w:val="18"/>
                <w:szCs w:val="18"/>
              </w:rPr>
            </w:pPr>
            <w:r w:rsidRPr="00BC6F97">
              <w:rPr>
                <w:iCs/>
                <w:sz w:val="18"/>
                <w:szCs w:val="18"/>
              </w:rPr>
              <w:t xml:space="preserve">Another key assumption in the model relates to the cost of adaptation to climate change impacts. Recent estimates of the cost of climate change impacts on Australia suggest that they will cost Australia $73-94b a year by 2060, up from around $38b in 2020 </w:t>
            </w:r>
            <w:r w:rsidRPr="00BC6F97">
              <w:rPr>
                <w:iCs/>
                <w:sz w:val="18"/>
                <w:szCs w:val="18"/>
              </w:rPr>
              <w:fldChar w:fldCharType="begin"/>
            </w:r>
            <w:r w:rsidRPr="00BC6F97">
              <w:rPr>
                <w:iCs/>
                <w:sz w:val="18"/>
                <w:szCs w:val="18"/>
              </w:rPr>
              <w:instrText xml:space="preserve"> ADDIN EN.CITE &lt;EndNote&gt;&lt;Cite&gt;&lt;Author&gt;Deloitte&lt;/Author&gt;&lt;Year&gt;2021&lt;/Year&gt;&lt;RecNum&gt;2714&lt;/RecNum&gt;&lt;DisplayText&gt;(Deloitte, 2021)&lt;/DisplayText&gt;&lt;record&gt;&lt;rec-number&gt;2714&lt;/rec-number&gt;&lt;foreign-keys&gt;&lt;key app="EN" db-id="9vsrvaat7fadwtesfsrpw5w5t0x5v500ef25" timestamp="1663637833"&gt;2714&lt;/key&gt;&lt;/foreign-keys&gt;&lt;ref-type name="Generic"&gt;13&lt;/ref-type&gt;&lt;contributors&gt;&lt;authors&gt;&lt;author&gt;Deloitte, &lt;/author&gt;&lt;/authors&gt;&lt;/contributors&gt;&lt;titles&gt;&lt;title&gt;Special report: Update to the economic costs of natural disasters in Australia&lt;/title&gt;&lt;/titles&gt;&lt;dates&gt;&lt;year&gt;2021&lt;/year&gt;&lt;/dates&gt;&lt;pub-location&gt;Sydney&lt;/pub-location&gt;&lt;publisher&gt;Australian Business Roundtable for Disaster Resilience and Safer Communities&lt;/publisher&gt;&lt;urls&gt;&lt;/urls&gt;&lt;/record&gt;&lt;/Cite&gt;&lt;/EndNote&gt;</w:instrText>
            </w:r>
            <w:r w:rsidRPr="00BC6F97">
              <w:rPr>
                <w:iCs/>
                <w:sz w:val="18"/>
                <w:szCs w:val="18"/>
              </w:rPr>
              <w:fldChar w:fldCharType="separate"/>
            </w:r>
            <w:r w:rsidRPr="00BC6F97">
              <w:rPr>
                <w:iCs/>
                <w:noProof/>
                <w:sz w:val="18"/>
                <w:szCs w:val="18"/>
              </w:rPr>
              <w:t>(Deloitte, 2021)</w:t>
            </w:r>
            <w:r w:rsidRPr="00BC6F97">
              <w:rPr>
                <w:iCs/>
                <w:sz w:val="18"/>
                <w:szCs w:val="18"/>
              </w:rPr>
              <w:fldChar w:fldCharType="end"/>
            </w:r>
            <w:r w:rsidRPr="00BC6F97">
              <w:rPr>
                <w:iCs/>
                <w:sz w:val="18"/>
                <w:szCs w:val="18"/>
              </w:rPr>
              <w:t xml:space="preserve">. However, these costs are uncertain and are estimated as requiring 0.25% GDP of additional capital investment per degree of warming.  For the SA, the min/max range was set from 0.05% to 0.5% GDP per degree of warming in required capital investment. This range adequately captures the assumption used in the alternative trajectories (0.25% GDP per degree of warming).  </w:t>
            </w:r>
          </w:p>
        </w:tc>
      </w:tr>
      <w:tr w:rsidR="008C21A0" w:rsidRPr="00B55F09" w14:paraId="45F74E45" w14:textId="77777777" w:rsidTr="008C21A0">
        <w:tc>
          <w:tcPr>
            <w:tcW w:w="1838" w:type="dxa"/>
          </w:tcPr>
          <w:p w14:paraId="3ADB0750" w14:textId="26686B37" w:rsidR="008C21A0" w:rsidRPr="00B55F09" w:rsidRDefault="00473EF3" w:rsidP="004B1031">
            <w:pPr>
              <w:rPr>
                <w:b/>
                <w:bCs/>
                <w:sz w:val="18"/>
                <w:szCs w:val="18"/>
              </w:rPr>
            </w:pPr>
            <w:r>
              <w:rPr>
                <w:b/>
                <w:bCs/>
                <w:sz w:val="18"/>
                <w:szCs w:val="18"/>
              </w:rPr>
              <w:t xml:space="preserve">3 x </w:t>
            </w:r>
            <w:r w:rsidR="008C21A0">
              <w:rPr>
                <w:b/>
                <w:bCs/>
                <w:sz w:val="18"/>
                <w:szCs w:val="18"/>
              </w:rPr>
              <w:t>Governance indicators</w:t>
            </w:r>
            <w:r w:rsidR="000B3665">
              <w:rPr>
                <w:b/>
                <w:bCs/>
                <w:sz w:val="18"/>
                <w:szCs w:val="18"/>
              </w:rPr>
              <w:t>: political stability; government effectiveness; regulatory quality</w:t>
            </w:r>
          </w:p>
        </w:tc>
        <w:tc>
          <w:tcPr>
            <w:tcW w:w="12049" w:type="dxa"/>
          </w:tcPr>
          <w:p w14:paraId="7FB460ED" w14:textId="60C60103" w:rsidR="008C21A0" w:rsidRPr="00BC6F97" w:rsidRDefault="008C21A0" w:rsidP="004B1031">
            <w:pPr>
              <w:rPr>
                <w:iCs/>
                <w:sz w:val="18"/>
                <w:szCs w:val="18"/>
              </w:rPr>
            </w:pPr>
            <w:r w:rsidRPr="00BC6F97">
              <w:rPr>
                <w:iCs/>
                <w:sz w:val="18"/>
                <w:szCs w:val="18"/>
              </w:rPr>
              <w:t xml:space="preserve">Australia’s scores on the five World Bank Governance Indicators are based on global data from the World Bank </w:t>
            </w:r>
            <w:r w:rsidRPr="00BC6F97">
              <w:rPr>
                <w:iCs/>
                <w:sz w:val="18"/>
                <w:szCs w:val="18"/>
              </w:rPr>
              <w:fldChar w:fldCharType="begin"/>
            </w:r>
            <w:r w:rsidRPr="00BC6F97">
              <w:rPr>
                <w:iCs/>
                <w:sz w:val="18"/>
                <w:szCs w:val="18"/>
              </w:rPr>
              <w:instrText xml:space="preserve"> ADDIN EN.CITE &lt;EndNote&gt;&lt;Cite&gt;&lt;Author&gt;Kaufman&lt;/Author&gt;&lt;Year&gt;2016&lt;/Year&gt;&lt;RecNum&gt;1045&lt;/RecNum&gt;&lt;DisplayText&gt;(Kaufman and Kraay, 2016)&lt;/DisplayText&gt;&lt;record&gt;&lt;rec-number&gt;1045&lt;/rec-number&gt;&lt;foreign-keys&gt;&lt;key app="EN" db-id="9vsrvaat7fadwtesfsrpw5w5t0x5v500ef25" timestamp="1565084453"&gt;1045&lt;/key&gt;&lt;/foreign-keys&gt;&lt;ref-type name="Dataset"&gt;59&lt;/ref-type&gt;&lt;contributors&gt;&lt;authors&gt;&lt;author&gt;Kaufman, D&lt;/author&gt;&lt;author&gt;Kraay, A&lt;/author&gt;&lt;/authors&gt;&lt;/contributors&gt;&lt;titles&gt;&lt;title&gt;Worldwide Governance Indicators&lt;/title&gt;&lt;/titles&gt;&lt;dates&gt;&lt;year&gt;2016&lt;/year&gt;&lt;/dates&gt;&lt;pub-location&gt;Washington, USA&lt;/pub-location&gt;&lt;publisher&gt;The World Bank&lt;/publisher&gt;&lt;urls&gt;&lt;related-urls&gt;&lt;url&gt;http://info.worldbank.org/governance/wgi/index.aspx#home&lt;/url&gt;&lt;/related-urls&gt;&lt;/urls&gt;&lt;access-date&gt;11/12/17&lt;/access-date&gt;&lt;/record&gt;&lt;/Cite&gt;&lt;/EndNote&gt;</w:instrText>
            </w:r>
            <w:r w:rsidRPr="00BC6F97">
              <w:rPr>
                <w:iCs/>
                <w:sz w:val="18"/>
                <w:szCs w:val="18"/>
              </w:rPr>
              <w:fldChar w:fldCharType="separate"/>
            </w:r>
            <w:r w:rsidRPr="00BC6F97">
              <w:rPr>
                <w:iCs/>
                <w:sz w:val="18"/>
                <w:szCs w:val="18"/>
              </w:rPr>
              <w:t xml:space="preserve">(Kaufman and </w:t>
            </w:r>
            <w:proofErr w:type="spellStart"/>
            <w:r w:rsidRPr="00BC6F97">
              <w:rPr>
                <w:iCs/>
                <w:sz w:val="18"/>
                <w:szCs w:val="18"/>
              </w:rPr>
              <w:t>Kraay</w:t>
            </w:r>
            <w:proofErr w:type="spellEnd"/>
            <w:r w:rsidRPr="00BC6F97">
              <w:rPr>
                <w:iCs/>
                <w:sz w:val="18"/>
                <w:szCs w:val="18"/>
              </w:rPr>
              <w:t>, 2016)</w:t>
            </w:r>
            <w:r w:rsidRPr="00BC6F97">
              <w:rPr>
                <w:iCs/>
                <w:sz w:val="18"/>
                <w:szCs w:val="18"/>
              </w:rPr>
              <w:fldChar w:fldCharType="end"/>
            </w:r>
            <w:r w:rsidRPr="00BC6F97">
              <w:rPr>
                <w:iCs/>
                <w:sz w:val="18"/>
                <w:szCs w:val="18"/>
              </w:rPr>
              <w:t xml:space="preserve">. Index values for political stability, government effectiveness, and regulatory quality in 2050 are assumed to be higher under the </w:t>
            </w:r>
            <w:r w:rsidR="00E909E9">
              <w:rPr>
                <w:iCs/>
                <w:sz w:val="18"/>
                <w:szCs w:val="18"/>
              </w:rPr>
              <w:t>SWT</w:t>
            </w:r>
            <w:r w:rsidRPr="00BC6F97">
              <w:rPr>
                <w:iCs/>
                <w:sz w:val="18"/>
                <w:szCs w:val="18"/>
              </w:rPr>
              <w:t xml:space="preserve"> trajectory. We test the sensitivity of the results to governance assumptions using min/max values of +/- 30% beyond the ranges used in the trajectories: </w:t>
            </w:r>
            <w:proofErr w:type="spellStart"/>
            <w:r w:rsidRPr="00BC6F97">
              <w:rPr>
                <w:iCs/>
                <w:sz w:val="18"/>
                <w:szCs w:val="18"/>
              </w:rPr>
              <w:t>sdg</w:t>
            </w:r>
            <w:proofErr w:type="spellEnd"/>
            <w:r w:rsidRPr="00BC6F97">
              <w:rPr>
                <w:iCs/>
                <w:sz w:val="18"/>
                <w:szCs w:val="18"/>
              </w:rPr>
              <w:t xml:space="preserve"> political stability (0.7 to 2.3), </w:t>
            </w:r>
            <w:proofErr w:type="spellStart"/>
            <w:r w:rsidRPr="00BC6F97">
              <w:rPr>
                <w:iCs/>
                <w:sz w:val="18"/>
                <w:szCs w:val="18"/>
              </w:rPr>
              <w:t>sdg</w:t>
            </w:r>
            <w:proofErr w:type="spellEnd"/>
            <w:r w:rsidRPr="00BC6F97">
              <w:rPr>
                <w:iCs/>
                <w:sz w:val="18"/>
                <w:szCs w:val="18"/>
              </w:rPr>
              <w:t xml:space="preserve"> government effectiveness (1.1 to 2.5), </w:t>
            </w:r>
            <w:proofErr w:type="spellStart"/>
            <w:r w:rsidRPr="00BC6F97">
              <w:rPr>
                <w:iCs/>
                <w:sz w:val="18"/>
                <w:szCs w:val="18"/>
              </w:rPr>
              <w:t>sdg</w:t>
            </w:r>
            <w:proofErr w:type="spellEnd"/>
            <w:r w:rsidRPr="00BC6F97">
              <w:rPr>
                <w:iCs/>
                <w:sz w:val="18"/>
                <w:szCs w:val="18"/>
              </w:rPr>
              <w:t xml:space="preserve"> regulatory quality (1.3 to 2.6). </w:t>
            </w:r>
          </w:p>
        </w:tc>
      </w:tr>
      <w:tr w:rsidR="008C21A0" w:rsidRPr="00B55F09" w14:paraId="175D2648" w14:textId="77777777" w:rsidTr="008C21A0">
        <w:tc>
          <w:tcPr>
            <w:tcW w:w="1838" w:type="dxa"/>
          </w:tcPr>
          <w:p w14:paraId="3B8295BE" w14:textId="77777777" w:rsidR="008C21A0" w:rsidRPr="00B55F09" w:rsidRDefault="008C21A0" w:rsidP="004B1031">
            <w:pPr>
              <w:rPr>
                <w:b/>
                <w:bCs/>
                <w:sz w:val="18"/>
                <w:szCs w:val="18"/>
              </w:rPr>
            </w:pPr>
            <w:r>
              <w:rPr>
                <w:b/>
                <w:bCs/>
                <w:sz w:val="18"/>
                <w:szCs w:val="18"/>
              </w:rPr>
              <w:t>Reference interest rate on government domestic and foreign debt</w:t>
            </w:r>
          </w:p>
        </w:tc>
        <w:tc>
          <w:tcPr>
            <w:tcW w:w="12049" w:type="dxa"/>
          </w:tcPr>
          <w:p w14:paraId="6677A761" w14:textId="5102F656" w:rsidR="008C21A0" w:rsidRPr="00BC6F97" w:rsidRDefault="008C21A0" w:rsidP="004B1031">
            <w:pPr>
              <w:rPr>
                <w:noProof/>
                <w:sz w:val="18"/>
                <w:szCs w:val="18"/>
              </w:rPr>
            </w:pPr>
            <w:r w:rsidRPr="00BC6F97">
              <w:rPr>
                <w:iCs/>
                <w:sz w:val="18"/>
                <w:szCs w:val="18"/>
              </w:rPr>
              <w:t xml:space="preserve">Interest rates on government debt are estimated in the model based on government finance statistics and interest paid on government debt </w:t>
            </w:r>
            <w:r w:rsidRPr="00BC6F97">
              <w:rPr>
                <w:iCs/>
                <w:sz w:val="18"/>
                <w:szCs w:val="18"/>
              </w:rPr>
              <w:fldChar w:fldCharType="begin"/>
            </w:r>
            <w:r w:rsidRPr="00BC6F97">
              <w:rPr>
                <w:iCs/>
                <w:sz w:val="18"/>
                <w:szCs w:val="18"/>
              </w:rPr>
              <w:instrText xml:space="preserve"> ADDIN EN.CITE &lt;EndNote&gt;&lt;Cite&gt;&lt;Author&gt;ABS&lt;/Author&gt;&lt;Year&gt;2021&lt;/Year&gt;&lt;RecNum&gt;1042&lt;/RecNum&gt;&lt;DisplayText&gt;(ABS, 2021b, World Bank, 2022b)&lt;/DisplayText&gt;&lt;record&gt;&lt;rec-number&gt;1042&lt;/rec-number&gt;&lt;foreign-keys&gt;&lt;key app="EN" db-id="9vsrvaat7fadwtesfsrpw5w5t0x5v500ef25" timestamp="1565083323"&gt;1042&lt;/key&gt;&lt;/foreign-keys&gt;&lt;ref-type name="Dataset"&gt;59&lt;/ref-type&gt;&lt;contributors&gt;&lt;authors&gt;&lt;author&gt;ABS,&lt;/author&gt;&lt;/authors&gt;&lt;/contributors&gt;&lt;titles&gt;&lt;title&gt;5512.0 - Government Finance Statistics, Australia&lt;/title&gt;&lt;/titles&gt;&lt;dates&gt;&lt;year&gt;2021&lt;/year&gt;&lt;/dates&gt;&lt;pub-location&gt;Canberra, Australia&lt;/pub-location&gt;&lt;publisher&gt;Australian Bureau of Statistics&lt;/publisher&gt;&lt;urls&gt;&lt;related-urls&gt;&lt;url&gt;https://www.abs.gov.au/AUSSTATS/abs@.nsf/mf/5512.0&lt;/url&gt;&lt;/related-urls&gt;&lt;/urls&gt;&lt;access-date&gt;11/12/17&lt;/access-date&gt;&lt;/record&gt;&lt;/Cite&gt;&lt;Cite&gt;&lt;Author&gt;World Bank&lt;/Author&gt;&lt;Year&gt;2022&lt;/Year&gt;&lt;RecNum&gt;1061&lt;/RecNum&gt;&lt;record&gt;&lt;rec-number&gt;1061&lt;/rec-number&gt;&lt;foreign-keys&gt;&lt;key app="EN" db-id="9vsrvaat7fadwtesfsrpw5w5t0x5v500ef25" timestamp="1565160465"&gt;1061&lt;/key&gt;&lt;/foreign-keys&gt;&lt;ref-type name="Dataset"&gt;59&lt;/ref-type&gt;&lt;contributors&gt;&lt;authors&gt;&lt;author&gt;World Bank,&lt;/author&gt;&lt;/authors&gt;&lt;/contributors&gt;&lt;titles&gt;&lt;title&gt;World Development Indicators DataBank&lt;/title&gt;&lt;/titles&gt;&lt;dates&gt;&lt;year&gt;2022&lt;/year&gt;&lt;/dates&gt;&lt;pub-location&gt;Washington, USA&lt;/pub-location&gt;&lt;urls&gt;&lt;related-urls&gt;&lt;url&gt;https://data.worldbank.org/indicator/SP.DYN.CONU.ZS?view=chart&lt;/url&gt;&lt;/related-urls&gt;&lt;/urls&gt;&lt;access-date&gt;08/08/18&lt;/access-date&gt;&lt;/record&gt;&lt;/Cite&gt;&lt;/EndNote&gt;</w:instrText>
            </w:r>
            <w:r w:rsidRPr="00BC6F97">
              <w:rPr>
                <w:iCs/>
                <w:sz w:val="18"/>
                <w:szCs w:val="18"/>
              </w:rPr>
              <w:fldChar w:fldCharType="separate"/>
            </w:r>
            <w:r w:rsidRPr="00BC6F97">
              <w:rPr>
                <w:iCs/>
                <w:noProof/>
                <w:sz w:val="18"/>
                <w:szCs w:val="18"/>
              </w:rPr>
              <w:t>(ABS, 2021b, World Bank, 2022b)</w:t>
            </w:r>
            <w:r w:rsidRPr="00BC6F97">
              <w:rPr>
                <w:iCs/>
                <w:sz w:val="18"/>
                <w:szCs w:val="18"/>
              </w:rPr>
              <w:fldChar w:fldCharType="end"/>
            </w:r>
            <w:r w:rsidRPr="00BC6F97">
              <w:rPr>
                <w:iCs/>
                <w:sz w:val="18"/>
                <w:szCs w:val="18"/>
              </w:rPr>
              <w:t xml:space="preserve"> </w:t>
            </w:r>
            <w:r w:rsidRPr="00BC6F97">
              <w:rPr>
                <w:noProof/>
                <w:sz w:val="18"/>
                <w:szCs w:val="18"/>
              </w:rPr>
              <w:t xml:space="preserve">however future rates remain highly unertain.  Long-term interst rate forecasts for Australia suggest a rate of approximately 3.3% of government bonds maturing in ten years, however historic rates vary from less than 1% to over 6% </w:t>
            </w:r>
            <w:r w:rsidRPr="00BC6F97">
              <w:rPr>
                <w:noProof/>
                <w:sz w:val="18"/>
                <w:szCs w:val="18"/>
              </w:rPr>
              <w:fldChar w:fldCharType="begin"/>
            </w:r>
            <w:r w:rsidRPr="00BC6F97">
              <w:rPr>
                <w:noProof/>
                <w:sz w:val="18"/>
                <w:szCs w:val="18"/>
              </w:rPr>
              <w:instrText xml:space="preserve"> ADDIN EN.CITE &lt;EndNote&gt;&lt;Cite&gt;&lt;Author&gt;OECD&lt;/Author&gt;&lt;Year&gt;2022&lt;/Year&gt;&lt;RecNum&gt;2716&lt;/RecNum&gt;&lt;DisplayText&gt;(OECD, 2022)&lt;/DisplayText&gt;&lt;record&gt;&lt;rec-number&gt;2716&lt;/rec-number&gt;&lt;foreign-keys&gt;&lt;key app="EN" db-id="9vsrvaat7fadwtesfsrpw5w5t0x5v500ef25" timestamp="1663639290"&gt;2716&lt;/key&gt;&lt;/foreign-keys&gt;&lt;ref-type name="Generic"&gt;13&lt;/ref-type&gt;&lt;contributors&gt;&lt;authors&gt;&lt;author&gt;OECD,&lt;/author&gt;&lt;/authors&gt;&lt;/contributors&gt;&lt;titles&gt;&lt;title&gt;Long-term interest rates forecast&lt;/title&gt;&lt;/titles&gt;&lt;dates&gt;&lt;year&gt;2022&lt;/year&gt;&lt;/dates&gt;&lt;pub-location&gt;Paris&lt;/pub-location&gt;&lt;publisher&gt;Organisation for Economic Cooperation and Development&lt;/publisher&gt;&lt;urls&gt;&lt;/urls&gt;&lt;/record&gt;&lt;/Cite&gt;&lt;/EndNote&gt;</w:instrText>
            </w:r>
            <w:r w:rsidRPr="00BC6F97">
              <w:rPr>
                <w:noProof/>
                <w:sz w:val="18"/>
                <w:szCs w:val="18"/>
              </w:rPr>
              <w:fldChar w:fldCharType="separate"/>
            </w:r>
            <w:r w:rsidRPr="00BC6F97">
              <w:rPr>
                <w:noProof/>
                <w:sz w:val="18"/>
                <w:szCs w:val="18"/>
              </w:rPr>
              <w:t>(OECD, 2022)</w:t>
            </w:r>
            <w:r w:rsidRPr="00BC6F97">
              <w:rPr>
                <w:noProof/>
                <w:sz w:val="18"/>
                <w:szCs w:val="18"/>
              </w:rPr>
              <w:fldChar w:fldCharType="end"/>
            </w:r>
            <w:r w:rsidRPr="00BC6F97">
              <w:rPr>
                <w:noProof/>
                <w:sz w:val="18"/>
                <w:szCs w:val="18"/>
              </w:rPr>
              <w:t>. We test the sensiti</w:t>
            </w:r>
            <w:r w:rsidR="001650D4">
              <w:rPr>
                <w:noProof/>
                <w:sz w:val="18"/>
                <w:szCs w:val="18"/>
              </w:rPr>
              <w:t>v</w:t>
            </w:r>
            <w:r w:rsidRPr="00BC6F97">
              <w:rPr>
                <w:noProof/>
                <w:sz w:val="18"/>
                <w:szCs w:val="18"/>
              </w:rPr>
              <w:t>ity of results to changes in reference interest rates on both government domestic and foreign debt using min/max values of a halving or doubling in p</w:t>
            </w:r>
            <w:r w:rsidR="001650D4">
              <w:rPr>
                <w:noProof/>
                <w:sz w:val="18"/>
                <w:szCs w:val="18"/>
              </w:rPr>
              <w:t>r</w:t>
            </w:r>
            <w:r w:rsidRPr="00BC6F97">
              <w:rPr>
                <w:noProof/>
                <w:sz w:val="18"/>
                <w:szCs w:val="18"/>
              </w:rPr>
              <w:t xml:space="preserve">ojected long term interest rates (interest rate multiplier of 0.5 to 2).  </w:t>
            </w:r>
          </w:p>
        </w:tc>
      </w:tr>
      <w:tr w:rsidR="008C21A0" w:rsidRPr="00B55F09" w14:paraId="5377184D" w14:textId="77777777" w:rsidTr="008C21A0">
        <w:tc>
          <w:tcPr>
            <w:tcW w:w="1838" w:type="dxa"/>
          </w:tcPr>
          <w:p w14:paraId="6B925D2A" w14:textId="77777777" w:rsidR="008C21A0" w:rsidRPr="00B55F09" w:rsidRDefault="008C21A0" w:rsidP="004B1031">
            <w:pPr>
              <w:rPr>
                <w:b/>
                <w:bCs/>
                <w:sz w:val="18"/>
                <w:szCs w:val="18"/>
              </w:rPr>
            </w:pPr>
            <w:r>
              <w:rPr>
                <w:b/>
                <w:bCs/>
                <w:sz w:val="18"/>
                <w:szCs w:val="18"/>
              </w:rPr>
              <w:t xml:space="preserve">Average yearly precipitation </w:t>
            </w:r>
          </w:p>
        </w:tc>
        <w:tc>
          <w:tcPr>
            <w:tcW w:w="12049" w:type="dxa"/>
          </w:tcPr>
          <w:p w14:paraId="2D669537" w14:textId="27995F31" w:rsidR="008C21A0" w:rsidRPr="00BC6F97" w:rsidRDefault="008C21A0" w:rsidP="004B1031">
            <w:pPr>
              <w:rPr>
                <w:iCs/>
                <w:sz w:val="18"/>
                <w:szCs w:val="18"/>
              </w:rPr>
            </w:pPr>
            <w:r w:rsidRPr="00BC6F97">
              <w:rPr>
                <w:iCs/>
                <w:sz w:val="18"/>
                <w:szCs w:val="18"/>
              </w:rPr>
              <w:t xml:space="preserve">Average year precipitation is estimated in the model based on Australian data and projections global modelling projections </w:t>
            </w:r>
            <w:r w:rsidRPr="00BC6F97">
              <w:rPr>
                <w:iCs/>
                <w:sz w:val="18"/>
                <w:szCs w:val="18"/>
              </w:rPr>
              <w:fldChar w:fldCharType="begin">
                <w:fldData xml:space="preserve">PEVuZE5vdGU+PENpdGU+PEF1dGhvcj5Cb008L0F1dGhvcj48WWVhcj4yMDIxPC9ZZWFyPjxSZWNO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</w:fldData>
              </w:fldChar>
            </w:r>
            <w:r w:rsidRPr="00BC6F97">
              <w:rPr>
                <w:iCs/>
                <w:sz w:val="18"/>
                <w:szCs w:val="18"/>
              </w:rPr>
              <w:instrText xml:space="preserve"> ADDIN EN.CITE </w:instrText>
            </w:r>
            <w:r w:rsidRPr="00BC6F97">
              <w:rPr>
                <w:iCs/>
                <w:sz w:val="18"/>
                <w:szCs w:val="18"/>
              </w:rPr>
              <w:fldChar w:fldCharType="begin">
                <w:fldData xml:space="preserve">PEVuZE5vdGU+PENpdGU+PEF1dGhvcj5Cb008L0F1dGhvcj48WWVhcj4yMDIxPC9ZZWFyPjxSZWNO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</w:fldData>
              </w:fldChar>
            </w:r>
            <w:r w:rsidRPr="00BC6F97">
              <w:rPr>
                <w:iCs/>
                <w:sz w:val="18"/>
                <w:szCs w:val="18"/>
              </w:rPr>
              <w:instrText xml:space="preserve"> ADDIN EN.CITE.DATA </w:instrText>
            </w:r>
            <w:r w:rsidRPr="00BC6F97">
              <w:rPr>
                <w:iCs/>
                <w:sz w:val="18"/>
                <w:szCs w:val="18"/>
              </w:rPr>
            </w:r>
            <w:r w:rsidRPr="00BC6F97">
              <w:rPr>
                <w:iCs/>
                <w:sz w:val="18"/>
                <w:szCs w:val="18"/>
              </w:rPr>
              <w:fldChar w:fldCharType="end"/>
            </w:r>
            <w:r w:rsidRPr="00BC6F97">
              <w:rPr>
                <w:iCs/>
                <w:sz w:val="18"/>
                <w:szCs w:val="18"/>
              </w:rPr>
            </w:r>
            <w:r w:rsidRPr="00BC6F97">
              <w:rPr>
                <w:iCs/>
                <w:sz w:val="18"/>
                <w:szCs w:val="18"/>
              </w:rPr>
              <w:fldChar w:fldCharType="separate"/>
            </w:r>
            <w:r w:rsidRPr="00BC6F97">
              <w:rPr>
                <w:iCs/>
                <w:noProof/>
                <w:sz w:val="18"/>
                <w:szCs w:val="18"/>
              </w:rPr>
              <w:t>(BoM, 2021, World Climate Research Programme, 2022, World Bank, 2022a, FAO, 2018)</w:t>
            </w:r>
            <w:r w:rsidRPr="00BC6F97">
              <w:rPr>
                <w:iCs/>
                <w:sz w:val="18"/>
                <w:szCs w:val="18"/>
              </w:rPr>
              <w:fldChar w:fldCharType="end"/>
            </w:r>
            <w:r w:rsidRPr="00BC6F97">
              <w:rPr>
                <w:iCs/>
                <w:sz w:val="18"/>
                <w:szCs w:val="18"/>
              </w:rPr>
              <w:t xml:space="preserve">. Annual average precipitation estimates for 2040-59 range from 549.5mm (SSP1-1.9) to 568.98 (SSP5-8.5). For the purposes of the sensitivity analysis, we use min/max values of +/- 30% in average annual precipitation. </w:t>
            </w:r>
          </w:p>
        </w:tc>
      </w:tr>
    </w:tbl>
    <w:p w14:paraId="120C59C3" w14:textId="2B4E10A7" w:rsidR="00376A61" w:rsidRPr="008B671A" w:rsidRDefault="00376A61" w:rsidP="008B671A">
      <w:pPr>
        <w:rPr>
          <w:lang w:val="en-US" w:eastAsia="de-DE"/>
        </w:rPr>
        <w:sectPr w:rsidR="00376A61" w:rsidRPr="008B671A" w:rsidSect="00A214DD">
          <w:pgSz w:w="16838" w:h="11906" w:orient="landscape"/>
          <w:pgMar w:top="1440" w:right="1440" w:bottom="1440" w:left="1440" w:header="709" w:footer="709" w:gutter="0"/>
          <w:cols w:space="708"/>
          <w:docGrid w:linePitch="360"/>
        </w:sectPr>
      </w:pPr>
    </w:p>
    <w:p w14:paraId="6CF201B6" w14:textId="4BB3077D" w:rsidR="00A20B3F" w:rsidRDefault="0057612C" w:rsidP="000B3665">
      <w:pPr>
        <w:pStyle w:val="Heading2"/>
      </w:pPr>
      <w:bookmarkStart w:id="14" w:name="_Toc123651723"/>
      <w:r>
        <w:lastRenderedPageBreak/>
        <w:t>References</w:t>
      </w:r>
      <w:bookmarkEnd w:id="14"/>
    </w:p>
    <w:p w14:paraId="309F4B45" w14:textId="77777777" w:rsidR="00442B59" w:rsidRPr="00442B59" w:rsidRDefault="00A20B3F" w:rsidP="00442B59">
      <w:pPr>
        <w:pStyle w:val="EndNoteBibliography"/>
        <w:spacing w:after="0"/>
        <w:ind w:left="720" w:hanging="720"/>
      </w:pPr>
      <w:r>
        <w:rPr>
          <w:b/>
          <w:bCs/>
        </w:rPr>
        <w:fldChar w:fldCharType="begin"/>
      </w:r>
      <w:r>
        <w:rPr>
          <w:b/>
          <w:bCs/>
        </w:rPr>
        <w:instrText xml:space="preserve"> ADDIN EN.REFLIST </w:instrText>
      </w:r>
      <w:r>
        <w:rPr>
          <w:b/>
          <w:bCs/>
        </w:rPr>
        <w:fldChar w:fldCharType="separate"/>
      </w:r>
      <w:r w:rsidR="00442B59" w:rsidRPr="00442B59">
        <w:t>ABARES 2013. Australia's State of the Forests Report 2013. Canberra, Australia: Australian Bureau of Agriculture and Resource Economics and Sciences, Commonwealth of Australia.</w:t>
      </w:r>
    </w:p>
    <w:p w14:paraId="004DF21A" w14:textId="77777777" w:rsidR="00442B59" w:rsidRPr="00442B59" w:rsidRDefault="00442B59" w:rsidP="00442B59">
      <w:pPr>
        <w:pStyle w:val="EndNoteBibliography"/>
        <w:spacing w:after="0"/>
        <w:ind w:left="720" w:hanging="720"/>
      </w:pPr>
      <w:r w:rsidRPr="00442B59">
        <w:t>ABS 2014. 4183.0 - Cultural Funding by Government, Australia. Canberra, Australia: Australian Bureau of Statistics.</w:t>
      </w:r>
    </w:p>
    <w:p w14:paraId="3DB5A8A2" w14:textId="77777777" w:rsidR="00442B59" w:rsidRPr="00442B59" w:rsidRDefault="00442B59" w:rsidP="00442B59">
      <w:pPr>
        <w:pStyle w:val="EndNoteBibliography"/>
        <w:spacing w:after="0"/>
        <w:ind w:left="720" w:hanging="720"/>
      </w:pPr>
      <w:r w:rsidRPr="00442B59">
        <w:t>ABS 2017a. 3101.0 - Australian Demographic Statistics. Canberra, Australia: Australian Bureau of Statistics.</w:t>
      </w:r>
    </w:p>
    <w:p w14:paraId="616EF298" w14:textId="77777777" w:rsidR="00442B59" w:rsidRPr="00442B59" w:rsidRDefault="00442B59" w:rsidP="00442B59">
      <w:pPr>
        <w:pStyle w:val="EndNoteBibliography"/>
        <w:spacing w:after="0"/>
        <w:ind w:left="720" w:hanging="720"/>
      </w:pPr>
      <w:r w:rsidRPr="00442B59">
        <w:t>ABS 2017b. 4610.0 - Water Account, Australia. Canberra, Australia: Australian Bureau of Statistics.</w:t>
      </w:r>
    </w:p>
    <w:p w14:paraId="1B0B6D00" w14:textId="77777777" w:rsidR="00442B59" w:rsidRPr="00442B59" w:rsidRDefault="00442B59" w:rsidP="00442B59">
      <w:pPr>
        <w:pStyle w:val="EndNoteBibliography"/>
        <w:spacing w:after="0"/>
        <w:ind w:left="720" w:hanging="720"/>
      </w:pPr>
      <w:r w:rsidRPr="00442B59">
        <w:t>ABS 2017c. 5204.0 - Australian System of National Accounts. Canberra, Australia: Australian Bureau of Statistics.</w:t>
      </w:r>
    </w:p>
    <w:p w14:paraId="51D93DCF" w14:textId="77777777" w:rsidR="00442B59" w:rsidRPr="00442B59" w:rsidRDefault="00442B59" w:rsidP="00442B59">
      <w:pPr>
        <w:pStyle w:val="EndNoteBibliography"/>
        <w:spacing w:after="0"/>
        <w:ind w:left="720" w:hanging="720"/>
      </w:pPr>
      <w:r w:rsidRPr="00442B59">
        <w:t>ABS 2017d. 6202.0 - Labour Force, Australia. Canberra, Australia: Australian Bureau of Statistics.</w:t>
      </w:r>
    </w:p>
    <w:p w14:paraId="4946264D" w14:textId="77777777" w:rsidR="00442B59" w:rsidRPr="00442B59" w:rsidRDefault="00442B59" w:rsidP="00442B59">
      <w:pPr>
        <w:pStyle w:val="EndNoteBibliography"/>
        <w:spacing w:after="0"/>
        <w:ind w:left="720" w:hanging="720"/>
      </w:pPr>
      <w:r w:rsidRPr="00442B59">
        <w:t>ABS 2017e. 8415.0 - Mining Operations, Australia. Canberra, Australia: Australian Bureau of Statistics.</w:t>
      </w:r>
    </w:p>
    <w:p w14:paraId="3F00FD0B" w14:textId="77777777" w:rsidR="00442B59" w:rsidRPr="00442B59" w:rsidRDefault="00442B59" w:rsidP="00442B59">
      <w:pPr>
        <w:pStyle w:val="EndNoteBibliography"/>
        <w:spacing w:after="0"/>
        <w:ind w:left="720" w:hanging="720"/>
      </w:pPr>
      <w:r w:rsidRPr="00442B59">
        <w:t>ABS 2018a. 4604.0 - Energy Account, Australia. Canberra, Australia: Australian Bureau of Statistics.</w:t>
      </w:r>
    </w:p>
    <w:p w14:paraId="43557926" w14:textId="77777777" w:rsidR="00442B59" w:rsidRPr="00442B59" w:rsidRDefault="00442B59" w:rsidP="00442B59">
      <w:pPr>
        <w:pStyle w:val="EndNoteBibliography"/>
        <w:spacing w:after="0"/>
        <w:ind w:left="720" w:hanging="720"/>
      </w:pPr>
      <w:r w:rsidRPr="00442B59">
        <w:t>ABS 2018b. 6523.0 - Household Income and Wealth, Australia. Canberra, Australia: Australian Bureau of Statistics.</w:t>
      </w:r>
    </w:p>
    <w:p w14:paraId="701D754F" w14:textId="77777777" w:rsidR="00442B59" w:rsidRPr="00442B59" w:rsidRDefault="00442B59" w:rsidP="00442B59">
      <w:pPr>
        <w:pStyle w:val="EndNoteBibliography"/>
        <w:spacing w:after="0"/>
        <w:ind w:left="720" w:hanging="720"/>
      </w:pPr>
      <w:r w:rsidRPr="00442B59">
        <w:t>ABS 2018c. 8155.0 - Australian Industry. Canberra, Australia: Australian Bureau of Statistics.</w:t>
      </w:r>
    </w:p>
    <w:p w14:paraId="34BD27C4" w14:textId="77777777" w:rsidR="00442B59" w:rsidRPr="00442B59" w:rsidRDefault="00442B59" w:rsidP="00442B59">
      <w:pPr>
        <w:pStyle w:val="EndNoteBibliography"/>
        <w:spacing w:after="0"/>
        <w:ind w:left="720" w:hanging="720"/>
      </w:pPr>
      <w:r w:rsidRPr="00442B59">
        <w:t>ABS 2020a. 5206.0 - Australian National Accounts: National Income, Expenditure and Product. Canberra, Australia: Australian Bureau of Statistics.</w:t>
      </w:r>
    </w:p>
    <w:p w14:paraId="647A738E" w14:textId="77777777" w:rsidR="00442B59" w:rsidRPr="00442B59" w:rsidRDefault="00442B59" w:rsidP="00442B59">
      <w:pPr>
        <w:pStyle w:val="EndNoteBibliography"/>
        <w:spacing w:after="0"/>
        <w:ind w:left="720" w:hanging="720"/>
      </w:pPr>
      <w:r w:rsidRPr="00442B59">
        <w:t>ABS 2020b. Motor Vehicle Census, Australia, 2020. Canberra: Australian Bureau of Statistics.</w:t>
      </w:r>
    </w:p>
    <w:p w14:paraId="2290AB73" w14:textId="77777777" w:rsidR="00442B59" w:rsidRPr="00442B59" w:rsidRDefault="00442B59" w:rsidP="00442B59">
      <w:pPr>
        <w:pStyle w:val="EndNoteBibliography"/>
        <w:spacing w:after="0"/>
        <w:ind w:left="720" w:hanging="720"/>
      </w:pPr>
      <w:r w:rsidRPr="00442B59">
        <w:t xml:space="preserve">ABS 2020c. Survey of Motor Vehicle Use, Australia. </w:t>
      </w:r>
      <w:r w:rsidRPr="00442B59">
        <w:rPr>
          <w:i/>
        </w:rPr>
        <w:t>9208.0.</w:t>
      </w:r>
      <w:r w:rsidRPr="00442B59">
        <w:t xml:space="preserve"> Canberra: Australian Bureau of Statistics.</w:t>
      </w:r>
    </w:p>
    <w:p w14:paraId="669DF3E5" w14:textId="77777777" w:rsidR="00442B59" w:rsidRPr="00442B59" w:rsidRDefault="00442B59" w:rsidP="00442B59">
      <w:pPr>
        <w:pStyle w:val="EndNoteBibliography"/>
        <w:spacing w:after="0"/>
        <w:ind w:left="720" w:hanging="720"/>
      </w:pPr>
      <w:r w:rsidRPr="00442B59">
        <w:t>ABS 2021a. 3412.0 - Migration, Australia. Canberra, Australia: Australian Bureau of Statistics.</w:t>
      </w:r>
    </w:p>
    <w:p w14:paraId="7BEE35AC" w14:textId="77777777" w:rsidR="00442B59" w:rsidRPr="00442B59" w:rsidRDefault="00442B59" w:rsidP="00442B59">
      <w:pPr>
        <w:pStyle w:val="EndNoteBibliography"/>
        <w:spacing w:after="0"/>
        <w:ind w:left="720" w:hanging="720"/>
      </w:pPr>
      <w:r w:rsidRPr="00442B59">
        <w:t>ABS 2021b. 5512.0 - Government Finance Statistics, Australia. Canberra, Australia: Australian Bureau of Statistics.</w:t>
      </w:r>
    </w:p>
    <w:p w14:paraId="7E49A987" w14:textId="77777777" w:rsidR="00442B59" w:rsidRPr="00442B59" w:rsidRDefault="00442B59" w:rsidP="00442B59">
      <w:pPr>
        <w:pStyle w:val="EndNoteBibliography"/>
        <w:spacing w:after="0"/>
        <w:ind w:left="720" w:hanging="720"/>
      </w:pPr>
      <w:r w:rsidRPr="00442B59">
        <w:t xml:space="preserve">ABS 2021c. Australian System of National Accounts. </w:t>
      </w:r>
      <w:r w:rsidRPr="00442B59">
        <w:rPr>
          <w:i/>
        </w:rPr>
        <w:t>ABS Catalogue Number 5204.0.</w:t>
      </w:r>
      <w:r w:rsidRPr="00442B59">
        <w:t xml:space="preserve"> Canberra: Australian Bureau of Statistics.</w:t>
      </w:r>
    </w:p>
    <w:p w14:paraId="07BE8908" w14:textId="77777777" w:rsidR="00442B59" w:rsidRPr="00442B59" w:rsidRDefault="00442B59" w:rsidP="00442B59">
      <w:pPr>
        <w:pStyle w:val="EndNoteBibliography"/>
        <w:spacing w:after="0"/>
        <w:ind w:left="720" w:hanging="720"/>
      </w:pPr>
      <w:r w:rsidRPr="00442B59">
        <w:t>ACOSS &amp; UNSW SYDNEY 2020a. Inequality in Australia 2020 Supplement: The impact of COVID-19 on income inequality. Sydney: ACCOSS.</w:t>
      </w:r>
    </w:p>
    <w:p w14:paraId="757AE6BD" w14:textId="77777777" w:rsidR="00442B59" w:rsidRPr="00442B59" w:rsidRDefault="00442B59" w:rsidP="00442B59">
      <w:pPr>
        <w:pStyle w:val="EndNoteBibliography"/>
        <w:spacing w:after="0"/>
        <w:ind w:left="720" w:hanging="720"/>
      </w:pPr>
      <w:r w:rsidRPr="00442B59">
        <w:t>ACOSS &amp; UNSW SYDNEY 2020b. Poverty In Australia 2020. Sydney: Australian Council of Social Services.</w:t>
      </w:r>
    </w:p>
    <w:p w14:paraId="66387720" w14:textId="77777777" w:rsidR="00442B59" w:rsidRPr="00442B59" w:rsidRDefault="00442B59" w:rsidP="00442B59">
      <w:pPr>
        <w:pStyle w:val="EndNoteBibliography"/>
        <w:spacing w:after="0"/>
        <w:ind w:left="720" w:hanging="720"/>
      </w:pPr>
      <w:r w:rsidRPr="00442B59">
        <w:t xml:space="preserve">ACSI 2022. ESG Reporting Trends. </w:t>
      </w:r>
      <w:r w:rsidRPr="00442B59">
        <w:rPr>
          <w:i/>
        </w:rPr>
        <w:t>A detailed assessment of ESG reporting in ASX200 companies.</w:t>
      </w:r>
      <w:r w:rsidRPr="00442B59">
        <w:t xml:space="preserve"> Melbourne: Australian Council of Superannuation Investors.</w:t>
      </w:r>
    </w:p>
    <w:p w14:paraId="60298BA8" w14:textId="77777777" w:rsidR="00442B59" w:rsidRPr="00442B59" w:rsidRDefault="00442B59" w:rsidP="00442B59">
      <w:pPr>
        <w:pStyle w:val="EndNoteBibliography"/>
        <w:spacing w:after="0"/>
        <w:ind w:left="720" w:hanging="720"/>
      </w:pPr>
      <w:r w:rsidRPr="00442B59">
        <w:t xml:space="preserve">ADAMS, V. M., SEGAN, D. B. &amp; PRESSEY, R. L. 2011. How much does it cost to expand a protected area system? Some critical determining factors and ranges of costs for Queensland. </w:t>
      </w:r>
      <w:r w:rsidRPr="00442B59">
        <w:rPr>
          <w:i/>
        </w:rPr>
        <w:t>PloS one,</w:t>
      </w:r>
      <w:r w:rsidRPr="00442B59">
        <w:t xml:space="preserve"> 6</w:t>
      </w:r>
      <w:r w:rsidRPr="00442B59">
        <w:rPr>
          <w:b/>
        </w:rPr>
        <w:t>,</w:t>
      </w:r>
      <w:r w:rsidRPr="00442B59">
        <w:t xml:space="preserve"> e25447. </w:t>
      </w:r>
    </w:p>
    <w:p w14:paraId="01C003EA" w14:textId="77777777" w:rsidR="00442B59" w:rsidRPr="00442B59" w:rsidRDefault="00442B59" w:rsidP="00442B59">
      <w:pPr>
        <w:pStyle w:val="EndNoteBibliography"/>
        <w:spacing w:after="0"/>
        <w:ind w:left="720" w:hanging="720"/>
      </w:pPr>
      <w:r w:rsidRPr="00442B59">
        <w:t xml:space="preserve">AEGN 2019. Sustainable Food Systems. </w:t>
      </w:r>
      <w:r w:rsidRPr="00442B59">
        <w:rPr>
          <w:i/>
        </w:rPr>
        <w:t>Philanthropy Briefing.</w:t>
      </w:r>
      <w:r w:rsidRPr="00442B59">
        <w:t xml:space="preserve"> Melbourne: Australian Environmental Grantmakers Network.</w:t>
      </w:r>
    </w:p>
    <w:p w14:paraId="29FD25F2" w14:textId="77777777" w:rsidR="00442B59" w:rsidRPr="00442B59" w:rsidRDefault="00442B59" w:rsidP="00442B59">
      <w:pPr>
        <w:pStyle w:val="EndNoteBibliography"/>
        <w:spacing w:after="0"/>
        <w:ind w:left="720" w:hanging="720"/>
      </w:pPr>
      <w:r w:rsidRPr="00442B59">
        <w:t>AER 2021. State of the Energy Market 2021. Canberra: Australian Energy Regulator.</w:t>
      </w:r>
    </w:p>
    <w:p w14:paraId="3CE99938" w14:textId="77777777" w:rsidR="00442B59" w:rsidRPr="00442B59" w:rsidRDefault="00442B59" w:rsidP="00442B59">
      <w:pPr>
        <w:pStyle w:val="EndNoteBibliography"/>
        <w:spacing w:after="0"/>
        <w:ind w:left="720" w:hanging="720"/>
      </w:pPr>
      <w:r w:rsidRPr="00442B59">
        <w:t xml:space="preserve">ALLEN, C., BOULTON, J., THWAITES, J., GLOVER, R. &amp; KESTIN, T. 2020. Transforming Austrlaia SDG Progress Report - 2020 Update. </w:t>
      </w:r>
      <w:r w:rsidRPr="00442B59">
        <w:rPr>
          <w:i/>
        </w:rPr>
        <w:t>Australia's Progress and Potential Impacts from COVID-19.</w:t>
      </w:r>
      <w:r w:rsidRPr="00442B59">
        <w:t xml:space="preserve"> Melbourne: Monash University.</w:t>
      </w:r>
    </w:p>
    <w:p w14:paraId="75DDDF9B" w14:textId="020C15D3" w:rsidR="00442B59" w:rsidRPr="00442B59" w:rsidRDefault="00442B59" w:rsidP="00442B59">
      <w:pPr>
        <w:pStyle w:val="EndNoteBibliography"/>
        <w:spacing w:after="0"/>
        <w:ind w:left="720" w:hanging="720"/>
      </w:pPr>
      <w:r w:rsidRPr="00442B59">
        <w:t xml:space="preserve">ALLEN, C., OLDFIELD, P., TEH, S., WIEDMANN, T., LANGDON, S., YU, M. &amp; YANG, J. 2021. Modelling ambitious climate mitigation pathways for Australia's built environment. </w:t>
      </w:r>
      <w:r w:rsidRPr="00442B59">
        <w:rPr>
          <w:i/>
        </w:rPr>
        <w:t>Sustainable Cities and Society,</w:t>
      </w:r>
      <w:r w:rsidRPr="00442B59">
        <w:t xml:space="preserve"> published online 18 November 2021. </w:t>
      </w:r>
      <w:hyperlink r:id="rId26" w:history="1">
        <w:r w:rsidRPr="00442B59">
          <w:rPr>
            <w:rStyle w:val="Hyperlink"/>
          </w:rPr>
          <w:t>https://doi.org/10.1016/j.scs.2021.103554</w:t>
        </w:r>
      </w:hyperlink>
    </w:p>
    <w:p w14:paraId="567A902A" w14:textId="47CAE20F" w:rsidR="00442B59" w:rsidRPr="00442B59" w:rsidRDefault="00442B59" w:rsidP="00442B59">
      <w:pPr>
        <w:pStyle w:val="EndNoteBibliography"/>
        <w:spacing w:after="0"/>
        <w:ind w:left="720" w:hanging="720"/>
      </w:pPr>
      <w:r w:rsidRPr="00442B59">
        <w:t xml:space="preserve">ALLEN, C., REID, M., THWAITES, J., GLOVER, R. &amp; KESTIN, T. 2019. Assessing national progress and priorities for the Sustainable Development Goals (SDGs): experience from Australia. </w:t>
      </w:r>
      <w:r w:rsidRPr="00442B59">
        <w:rPr>
          <w:i/>
        </w:rPr>
        <w:t>Sustainability Science,</w:t>
      </w:r>
      <w:r w:rsidRPr="00442B59">
        <w:t xml:space="preserve"> 15</w:t>
      </w:r>
      <w:r w:rsidRPr="00442B59">
        <w:rPr>
          <w:b/>
        </w:rPr>
        <w:t>,</w:t>
      </w:r>
      <w:r w:rsidRPr="00442B59">
        <w:t xml:space="preserve"> 521-538. </w:t>
      </w:r>
      <w:hyperlink r:id="rId27" w:history="1">
        <w:r w:rsidRPr="00442B59">
          <w:rPr>
            <w:rStyle w:val="Hyperlink"/>
          </w:rPr>
          <w:t>https://doi.org/10.1007/s11625-019-00711-x</w:t>
        </w:r>
      </w:hyperlink>
    </w:p>
    <w:p w14:paraId="058DB84B" w14:textId="67CD063F" w:rsidR="00442B59" w:rsidRPr="00442B59" w:rsidRDefault="00442B59" w:rsidP="00442B59">
      <w:pPr>
        <w:pStyle w:val="EndNoteBibliography"/>
        <w:spacing w:after="0"/>
        <w:ind w:left="720" w:hanging="720"/>
      </w:pPr>
      <w:r w:rsidRPr="00442B59">
        <w:t xml:space="preserve">ANDERSON, C. R., BRUIL, J., CHAPPELL, M. J., KISS, C. &amp; PIMBERT, M. P. 2019. From transition to domains of transformation: Getting to sustainable and just food systems through agroecology. </w:t>
      </w:r>
      <w:r w:rsidRPr="00442B59">
        <w:rPr>
          <w:i/>
        </w:rPr>
        <w:t>Sustainability,</w:t>
      </w:r>
      <w:r w:rsidRPr="00442B59">
        <w:t xml:space="preserve"> 11</w:t>
      </w:r>
      <w:r w:rsidRPr="00442B59">
        <w:rPr>
          <w:b/>
        </w:rPr>
        <w:t>,</w:t>
      </w:r>
      <w:r w:rsidRPr="00442B59">
        <w:t xml:space="preserve"> 5272. </w:t>
      </w:r>
      <w:hyperlink r:id="rId28" w:history="1">
        <w:r w:rsidRPr="00442B59">
          <w:rPr>
            <w:rStyle w:val="Hyperlink"/>
          </w:rPr>
          <w:t>https://doi.org/10.3390/su11195272</w:t>
        </w:r>
      </w:hyperlink>
    </w:p>
    <w:p w14:paraId="45675514" w14:textId="77777777" w:rsidR="00442B59" w:rsidRPr="00442B59" w:rsidRDefault="00442B59" w:rsidP="00442B59">
      <w:pPr>
        <w:pStyle w:val="EndNoteBibliography"/>
        <w:spacing w:after="0"/>
        <w:ind w:left="720" w:hanging="720"/>
      </w:pPr>
      <w:r w:rsidRPr="00442B59">
        <w:lastRenderedPageBreak/>
        <w:t>ASBEC 2016. Low Carbon High Performance: How buildings can make a major contribution to Australia’s emissions and productivity goals. Melbourne: Australian Sustainable Built Environment Council.</w:t>
      </w:r>
    </w:p>
    <w:p w14:paraId="02FF4F77" w14:textId="77777777" w:rsidR="00442B59" w:rsidRPr="00442B59" w:rsidRDefault="00442B59" w:rsidP="00442B59">
      <w:pPr>
        <w:pStyle w:val="EndNoteBibliography"/>
        <w:spacing w:after="0"/>
        <w:ind w:left="720" w:hanging="720"/>
      </w:pPr>
      <w:r w:rsidRPr="00442B59">
        <w:t>ASFI 2020. Australian Sustainable Finance Roadmap: a plan for aligning Australia's financial system with a sustainable, resilient and prosperous future for all Australians. Melbourne: Australian Sustainable Finance Inititative.</w:t>
      </w:r>
    </w:p>
    <w:p w14:paraId="5D932AAC" w14:textId="77777777" w:rsidR="00442B59" w:rsidRPr="00442B59" w:rsidRDefault="00442B59" w:rsidP="00442B59">
      <w:pPr>
        <w:pStyle w:val="EndNoteBibliography"/>
        <w:spacing w:after="0"/>
        <w:ind w:left="720" w:hanging="720"/>
      </w:pPr>
      <w:r w:rsidRPr="00442B59">
        <w:t>AUSTRALIAN DEPARTMENT OF THE ENVIRONMENT AND ENERGY 2017. Australia's emissions projections 2017. Canberra, Australia: Australian Government.</w:t>
      </w:r>
    </w:p>
    <w:p w14:paraId="315804D3" w14:textId="238EFB5F" w:rsidR="00442B59" w:rsidRPr="00442B59" w:rsidRDefault="00442B59" w:rsidP="00442B59">
      <w:pPr>
        <w:pStyle w:val="EndNoteBibliography"/>
        <w:spacing w:after="0"/>
        <w:ind w:left="720" w:hanging="720"/>
      </w:pPr>
      <w:r w:rsidRPr="00442B59">
        <w:t xml:space="preserve">AUSTRALIAN GOVERNMENT. 2018. </w:t>
      </w:r>
      <w:r w:rsidRPr="00442B59">
        <w:rPr>
          <w:i/>
        </w:rPr>
        <w:t xml:space="preserve">National Landcare Program: 20 Million  Trees Program </w:t>
      </w:r>
      <w:r w:rsidRPr="00442B59">
        <w:t xml:space="preserve">[Online]. Canberra, Australia: Australian Government. Available: </w:t>
      </w:r>
      <w:hyperlink r:id="rId29" w:history="1">
        <w:r w:rsidRPr="00442B59">
          <w:rPr>
            <w:rStyle w:val="Hyperlink"/>
          </w:rPr>
          <w:t>http://www.nrm.gov.au/national/20-million-trees</w:t>
        </w:r>
      </w:hyperlink>
      <w:r w:rsidRPr="00442B59">
        <w:t xml:space="preserve"> [Accessed 10 June 2018].</w:t>
      </w:r>
    </w:p>
    <w:p w14:paraId="476EA33B" w14:textId="77777777" w:rsidR="00442B59" w:rsidRPr="00442B59" w:rsidRDefault="00442B59" w:rsidP="00442B59">
      <w:pPr>
        <w:pStyle w:val="EndNoteBibliography"/>
        <w:spacing w:after="0"/>
        <w:ind w:left="720" w:hanging="720"/>
      </w:pPr>
      <w:r w:rsidRPr="00442B59">
        <w:t>AUSTRALIAN GOVERNMENT 2019. Australian Waste Policy Action Plan. Canberra: Commonwealth of Australia.</w:t>
      </w:r>
    </w:p>
    <w:p w14:paraId="0DE35B0B" w14:textId="77777777" w:rsidR="00442B59" w:rsidRPr="00442B59" w:rsidRDefault="00442B59" w:rsidP="00442B59">
      <w:pPr>
        <w:pStyle w:val="EndNoteBibliography"/>
        <w:spacing w:after="0"/>
        <w:ind w:left="720" w:hanging="720"/>
      </w:pPr>
      <w:r w:rsidRPr="00442B59">
        <w:t>AUSTRALIAN GOVERNMENT 2021. Australia State of the Environment 2021. Canberra: Commonwealth of Australia.</w:t>
      </w:r>
    </w:p>
    <w:p w14:paraId="0ADB12D0" w14:textId="77777777" w:rsidR="00442B59" w:rsidRPr="00442B59" w:rsidRDefault="00442B59" w:rsidP="00442B59">
      <w:pPr>
        <w:pStyle w:val="EndNoteBibliography"/>
        <w:spacing w:after="0"/>
        <w:ind w:left="720" w:hanging="720"/>
      </w:pPr>
      <w:r w:rsidRPr="00442B59">
        <w:t>AUSTRALIAN INSTITUTE OF HEALTH &amp; WELFARE 2018. Teenage mothers in Australia. Canberra, Australia: Australian Government.</w:t>
      </w:r>
    </w:p>
    <w:p w14:paraId="7738AC5D" w14:textId="77777777" w:rsidR="00442B59" w:rsidRPr="00442B59" w:rsidRDefault="00442B59" w:rsidP="00442B59">
      <w:pPr>
        <w:pStyle w:val="EndNoteBibliography"/>
        <w:spacing w:after="0"/>
        <w:ind w:left="720" w:hanging="720"/>
      </w:pPr>
      <w:r w:rsidRPr="00442B59">
        <w:t>AUSTRALIAN PRODUCTIVITY COMMISSION 2016. Migrant Intake to Australia - Productivity Commission Inquiry Report. Canberra, Australia: Australian Government.</w:t>
      </w:r>
    </w:p>
    <w:p w14:paraId="3AF34F05" w14:textId="77777777" w:rsidR="00442B59" w:rsidRPr="00442B59" w:rsidRDefault="00442B59" w:rsidP="00442B59">
      <w:pPr>
        <w:pStyle w:val="EndNoteBibliography"/>
        <w:spacing w:after="0"/>
        <w:ind w:left="720" w:hanging="720"/>
      </w:pPr>
      <w:r w:rsidRPr="00442B59">
        <w:t>AUSTRALIAN TREASURY 2020. Budget 2020-21: Budget Strategy and Outlook. Canberra: Australian Government.</w:t>
      </w:r>
    </w:p>
    <w:p w14:paraId="4C4B9BAE" w14:textId="77777777" w:rsidR="00442B59" w:rsidRPr="00442B59" w:rsidRDefault="00442B59" w:rsidP="00442B59">
      <w:pPr>
        <w:pStyle w:val="EndNoteBibliography"/>
        <w:spacing w:after="0"/>
        <w:ind w:left="720" w:hanging="720"/>
      </w:pPr>
      <w:r w:rsidRPr="00442B59">
        <w:t>AUSTRALIAN TREASURY 2022. Economic Response to COVID-19. Canberra: Australian Government.</w:t>
      </w:r>
    </w:p>
    <w:p w14:paraId="514EF4C2" w14:textId="19FB8093" w:rsidR="00442B59" w:rsidRPr="00442B59" w:rsidRDefault="00442B59" w:rsidP="00442B59">
      <w:pPr>
        <w:pStyle w:val="EndNoteBibliography"/>
        <w:spacing w:after="0"/>
        <w:ind w:left="720" w:hanging="720"/>
      </w:pPr>
      <w:r w:rsidRPr="00442B59">
        <w:t xml:space="preserve">BALMFORD, A., GRAVESTOCK, P., HOCKLEY, N., MCCLEAN, C. J. &amp; ROBERTS, C. M. 2004. The worldwide costs of marine protected areas. </w:t>
      </w:r>
      <w:r w:rsidRPr="00442B59">
        <w:rPr>
          <w:i/>
        </w:rPr>
        <w:t>Proceedings of the National Academy of Sciences,</w:t>
      </w:r>
      <w:r w:rsidRPr="00442B59">
        <w:t xml:space="preserve"> 101</w:t>
      </w:r>
      <w:r w:rsidRPr="00442B59">
        <w:rPr>
          <w:b/>
        </w:rPr>
        <w:t>,</w:t>
      </w:r>
      <w:r w:rsidRPr="00442B59">
        <w:t xml:space="preserve"> 9694-9697. </w:t>
      </w:r>
      <w:hyperlink r:id="rId30" w:history="1">
        <w:r w:rsidRPr="00442B59">
          <w:rPr>
            <w:rStyle w:val="Hyperlink"/>
          </w:rPr>
          <w:t>https://doi.org/10.1073/pnas.0403239101</w:t>
        </w:r>
      </w:hyperlink>
    </w:p>
    <w:p w14:paraId="10880FCD" w14:textId="79F0C319" w:rsidR="00442B59" w:rsidRPr="00442B59" w:rsidRDefault="00442B59" w:rsidP="00442B59">
      <w:pPr>
        <w:pStyle w:val="EndNoteBibliography"/>
        <w:spacing w:after="0"/>
        <w:ind w:left="720" w:hanging="720"/>
      </w:pPr>
      <w:r w:rsidRPr="00442B59">
        <w:t xml:space="preserve">BAN, N. C., ADAMS, V., PRESSEY, R. L. &amp; HICKS, J. 2011. Promise and problems for estimating management costs of marine protected areas. </w:t>
      </w:r>
      <w:r w:rsidRPr="00442B59">
        <w:rPr>
          <w:i/>
        </w:rPr>
        <w:t>Conservation Letters,</w:t>
      </w:r>
      <w:r w:rsidRPr="00442B59">
        <w:t xml:space="preserve"> 4</w:t>
      </w:r>
      <w:r w:rsidRPr="00442B59">
        <w:rPr>
          <w:b/>
        </w:rPr>
        <w:t>,</w:t>
      </w:r>
      <w:r w:rsidRPr="00442B59">
        <w:t xml:space="preserve"> 241-252. </w:t>
      </w:r>
      <w:hyperlink r:id="rId31" w:history="1">
        <w:r w:rsidRPr="00442B59">
          <w:rPr>
            <w:rStyle w:val="Hyperlink"/>
          </w:rPr>
          <w:t>https://doi.org/10.1111/j.1755-263X.2011.00171.x</w:t>
        </w:r>
      </w:hyperlink>
    </w:p>
    <w:p w14:paraId="72C38B2D" w14:textId="45043D7C" w:rsidR="00442B59" w:rsidRPr="00442B59" w:rsidRDefault="00442B59" w:rsidP="00442B59">
      <w:pPr>
        <w:pStyle w:val="EndNoteBibliography"/>
        <w:spacing w:after="0"/>
        <w:ind w:left="720" w:hanging="720"/>
      </w:pPr>
      <w:r w:rsidRPr="00442B59">
        <w:t xml:space="preserve">BARRO, R. &amp; LEE, J. 2013. A New Data Set of Educational Attainment in the World, 1950-2010. </w:t>
      </w:r>
      <w:r w:rsidRPr="00442B59">
        <w:rPr>
          <w:i/>
        </w:rPr>
        <w:t>Journal of Development Economics,</w:t>
      </w:r>
      <w:r w:rsidRPr="00442B59">
        <w:t xml:space="preserve"> 104</w:t>
      </w:r>
      <w:r w:rsidRPr="00442B59">
        <w:rPr>
          <w:b/>
        </w:rPr>
        <w:t>,</w:t>
      </w:r>
      <w:r w:rsidRPr="00442B59">
        <w:t xml:space="preserve"> 184-198. </w:t>
      </w:r>
      <w:hyperlink r:id="rId32" w:history="1">
        <w:r w:rsidRPr="00442B59">
          <w:rPr>
            <w:rStyle w:val="Hyperlink"/>
          </w:rPr>
          <w:t>https://doi.org/10.1016/j.jdeveco.2012.10.001</w:t>
        </w:r>
      </w:hyperlink>
    </w:p>
    <w:p w14:paraId="09310F72" w14:textId="77777777" w:rsidR="00442B59" w:rsidRPr="00442B59" w:rsidRDefault="00442B59" w:rsidP="00442B59">
      <w:pPr>
        <w:pStyle w:val="EndNoteBibliography"/>
        <w:spacing w:after="0"/>
        <w:ind w:left="720" w:hanging="720"/>
      </w:pPr>
      <w:r w:rsidRPr="00442B59">
        <w:t>BITRE 2016. Australian Infrastructure Statistics Yearbook 2016. Canberra, Australia: Australian Government Bureau of Infrastructure, Transport and Regional Economies.</w:t>
      </w:r>
    </w:p>
    <w:p w14:paraId="0596C528" w14:textId="77777777" w:rsidR="00442B59" w:rsidRPr="00442B59" w:rsidRDefault="00442B59" w:rsidP="00442B59">
      <w:pPr>
        <w:pStyle w:val="EndNoteBibliography"/>
        <w:spacing w:after="0"/>
        <w:ind w:left="720" w:hanging="720"/>
      </w:pPr>
      <w:r w:rsidRPr="00442B59">
        <w:t>BITRE 2017a. Road Construction Cost and Infrastructure Procurement Benhmarking: 2017 Update. Canberra, Australia: Australian Government Bureau of Infrastructure, Transport and Regional Economies.</w:t>
      </w:r>
    </w:p>
    <w:p w14:paraId="4D8DB3E3" w14:textId="77777777" w:rsidR="00442B59" w:rsidRPr="00442B59" w:rsidRDefault="00442B59" w:rsidP="00442B59">
      <w:pPr>
        <w:pStyle w:val="EndNoteBibliography"/>
        <w:spacing w:after="0"/>
        <w:ind w:left="720" w:hanging="720"/>
      </w:pPr>
      <w:r w:rsidRPr="00442B59">
        <w:t>BITRE 2017b. Trainline 5. Canberra, Australia: Australian Government Bureau of Infrastructure, Transport and Regional Economies.</w:t>
      </w:r>
    </w:p>
    <w:p w14:paraId="008C9B37" w14:textId="77777777" w:rsidR="00442B59" w:rsidRPr="00442B59" w:rsidRDefault="00442B59" w:rsidP="00442B59">
      <w:pPr>
        <w:pStyle w:val="EndNoteBibliography"/>
        <w:spacing w:after="0"/>
        <w:ind w:left="720" w:hanging="720"/>
      </w:pPr>
      <w:r w:rsidRPr="00442B59">
        <w:t>BOM 2021. Annual Climate Statement 2021. Canberra: Australian Bureua of Meteorology.</w:t>
      </w:r>
    </w:p>
    <w:p w14:paraId="3706BCC6" w14:textId="11F9D9BB" w:rsidR="00442B59" w:rsidRPr="00442B59" w:rsidRDefault="00442B59" w:rsidP="00442B59">
      <w:pPr>
        <w:pStyle w:val="EndNoteBibliography"/>
        <w:spacing w:after="0"/>
        <w:ind w:left="720" w:hanging="720"/>
      </w:pPr>
      <w:r w:rsidRPr="00442B59">
        <w:t xml:space="preserve">BROADBENT, G., ALLEN, C., WIEDMANN, T. &amp; METTERNICHT, G. 2022a. The role of electric vehicles in decarbonising Australia’s road transport sector: modelling ambitious scenarios. </w:t>
      </w:r>
      <w:r w:rsidRPr="00442B59">
        <w:rPr>
          <w:i/>
        </w:rPr>
        <w:t>Energy Policy,</w:t>
      </w:r>
      <w:r w:rsidRPr="00442B59">
        <w:t xml:space="preserve"> 168</w:t>
      </w:r>
      <w:r w:rsidRPr="00442B59">
        <w:rPr>
          <w:b/>
        </w:rPr>
        <w:t>,</w:t>
      </w:r>
      <w:r w:rsidRPr="00442B59">
        <w:t xml:space="preserve"> 113144. </w:t>
      </w:r>
      <w:hyperlink r:id="rId33" w:history="1">
        <w:r w:rsidRPr="00442B59">
          <w:rPr>
            <w:rStyle w:val="Hyperlink"/>
          </w:rPr>
          <w:t>https://doi.org/10.1016/j.enpol.2022.113144</w:t>
        </w:r>
      </w:hyperlink>
    </w:p>
    <w:p w14:paraId="13780E9E" w14:textId="7F03D315" w:rsidR="00442B59" w:rsidRPr="00442B59" w:rsidRDefault="00442B59" w:rsidP="00442B59">
      <w:pPr>
        <w:pStyle w:val="EndNoteBibliography"/>
        <w:spacing w:after="0"/>
        <w:ind w:left="720" w:hanging="720"/>
      </w:pPr>
      <w:r w:rsidRPr="00442B59">
        <w:t xml:space="preserve">BROADBENT, G. H., ALLEN, C. I., WIEDMANN, T. &amp; METTERNICHT, G. I. 2022b. Accelerating electric vehicle uptake: Modelling public policy options on prices and infrastructure. </w:t>
      </w:r>
      <w:r w:rsidRPr="00442B59">
        <w:rPr>
          <w:i/>
        </w:rPr>
        <w:t>Transportation Research Part A: Policy and Practice,</w:t>
      </w:r>
      <w:r w:rsidRPr="00442B59">
        <w:t xml:space="preserve"> 162</w:t>
      </w:r>
      <w:r w:rsidRPr="00442B59">
        <w:rPr>
          <w:b/>
        </w:rPr>
        <w:t>,</w:t>
      </w:r>
      <w:r w:rsidRPr="00442B59">
        <w:t xml:space="preserve"> 155-174. </w:t>
      </w:r>
      <w:hyperlink r:id="rId34" w:history="1">
        <w:r w:rsidRPr="00442B59">
          <w:rPr>
            <w:rStyle w:val="Hyperlink"/>
          </w:rPr>
          <w:t>https://doi.org/10.1016/j.tra.2022.05.012</w:t>
        </w:r>
      </w:hyperlink>
    </w:p>
    <w:p w14:paraId="7B36F719" w14:textId="19731150" w:rsidR="00442B59" w:rsidRPr="00442B59" w:rsidRDefault="00442B59" w:rsidP="00442B59">
      <w:pPr>
        <w:pStyle w:val="EndNoteBibliography"/>
        <w:spacing w:after="0"/>
        <w:ind w:left="720" w:hanging="720"/>
      </w:pPr>
      <w:r w:rsidRPr="00442B59">
        <w:t xml:space="preserve">BURCH, D., LAWRENCE, G. &amp; HATTERSLEY, L. 2013. Watchdogs and ombudsmen: monitoring the abuse of supermarket power. </w:t>
      </w:r>
      <w:r w:rsidRPr="00442B59">
        <w:rPr>
          <w:i/>
        </w:rPr>
        <w:t>Agriculture and Human Values,</w:t>
      </w:r>
      <w:r w:rsidRPr="00442B59">
        <w:t xml:space="preserve"> 30</w:t>
      </w:r>
      <w:r w:rsidRPr="00442B59">
        <w:rPr>
          <w:b/>
        </w:rPr>
        <w:t>,</w:t>
      </w:r>
      <w:r w:rsidRPr="00442B59">
        <w:t xml:space="preserve"> 259-270. </w:t>
      </w:r>
      <w:hyperlink r:id="rId35" w:history="1">
        <w:r w:rsidRPr="00442B59">
          <w:rPr>
            <w:rStyle w:val="Hyperlink"/>
          </w:rPr>
          <w:t>https://doi.org/10.1007/s10460-012-9412-8</w:t>
        </w:r>
      </w:hyperlink>
    </w:p>
    <w:p w14:paraId="097723EC" w14:textId="77777777" w:rsidR="00442B59" w:rsidRPr="00442B59" w:rsidRDefault="00442B59" w:rsidP="00442B59">
      <w:pPr>
        <w:pStyle w:val="EndNoteBibliography"/>
        <w:spacing w:after="0"/>
        <w:ind w:left="720" w:hanging="720"/>
      </w:pPr>
      <w:r w:rsidRPr="00442B59">
        <w:t>BZE 2020. The Million Jobs Plan. Melbourne: Beyond Zero Emissions.</w:t>
      </w:r>
    </w:p>
    <w:p w14:paraId="7D40FB8F" w14:textId="77777777" w:rsidR="00442B59" w:rsidRPr="00442B59" w:rsidRDefault="00442B59" w:rsidP="00442B59">
      <w:pPr>
        <w:pStyle w:val="EndNoteBibliography"/>
        <w:spacing w:after="0"/>
        <w:ind w:left="720" w:hanging="720"/>
      </w:pPr>
      <w:r w:rsidRPr="00442B59">
        <w:lastRenderedPageBreak/>
        <w:t>BZE 2021. Export Powerhouse: Australia's $333 billion opportunity. Melbourne: Beyond Zero Emissions.</w:t>
      </w:r>
    </w:p>
    <w:p w14:paraId="2AA122E1" w14:textId="77777777" w:rsidR="00442B59" w:rsidRPr="00442B59" w:rsidRDefault="00442B59" w:rsidP="00442B59">
      <w:pPr>
        <w:pStyle w:val="EndNoteBibliography"/>
        <w:spacing w:after="0"/>
        <w:ind w:left="720" w:hanging="720"/>
      </w:pPr>
      <w:r w:rsidRPr="00442B59">
        <w:t>CANDY, S., LARSEN, K., TWORNEY, P., MCGRAIL, S. &amp; RYAN, C. 2017. Results from Visions and Pathways 2040: Scenarios and Pathways to Low Carbon Living. Melbourne: CRC for Low Carbon Living.</w:t>
      </w:r>
    </w:p>
    <w:p w14:paraId="22D2EE80" w14:textId="77777777" w:rsidR="00442B59" w:rsidRPr="00442B59" w:rsidRDefault="00442B59" w:rsidP="00442B59">
      <w:pPr>
        <w:pStyle w:val="EndNoteBibliography"/>
        <w:spacing w:after="0"/>
        <w:ind w:left="720" w:hanging="720"/>
      </w:pPr>
      <w:r w:rsidRPr="00442B59">
        <w:t>CLIMATE COUNCIL 2019. Compound Costs: How climate change is damaging Australia's economy. Canberra: Climate Council of Australia.</w:t>
      </w:r>
    </w:p>
    <w:p w14:paraId="57A1DF69" w14:textId="77777777" w:rsidR="00442B59" w:rsidRPr="00442B59" w:rsidRDefault="00442B59" w:rsidP="00442B59">
      <w:pPr>
        <w:pStyle w:val="EndNoteBibliography"/>
        <w:spacing w:after="0"/>
        <w:ind w:left="720" w:hanging="720"/>
      </w:pPr>
      <w:r w:rsidRPr="00442B59">
        <w:t>CLIMATE COUNCIL 2021. Markets are Moving: the Economic Costs of Australia's Climate Inaction. Sydney: Climate Council Australia Ltd.</w:t>
      </w:r>
    </w:p>
    <w:p w14:paraId="66E06FD2" w14:textId="77777777" w:rsidR="00442B59" w:rsidRPr="00442B59" w:rsidRDefault="00442B59" w:rsidP="00442B59">
      <w:pPr>
        <w:pStyle w:val="EndNoteBibliography"/>
        <w:spacing w:after="0"/>
        <w:ind w:left="720" w:hanging="720"/>
      </w:pPr>
      <w:r w:rsidRPr="00442B59">
        <w:t>CLIMATEWORKS 2019. Natural Capital Roadmap. Melbourne: ClimateWorks.</w:t>
      </w:r>
    </w:p>
    <w:p w14:paraId="5D1094A4" w14:textId="77777777" w:rsidR="00442B59" w:rsidRPr="00442B59" w:rsidRDefault="00442B59" w:rsidP="00442B59">
      <w:pPr>
        <w:pStyle w:val="EndNoteBibliography"/>
        <w:spacing w:after="0"/>
        <w:ind w:left="720" w:hanging="720"/>
      </w:pPr>
      <w:r w:rsidRPr="00442B59">
        <w:t>CLIMATEWORKS AUSTRALIA 2020. Decarbonisation Futures: Solutions, actions and benchmarks for a net zero emissions Australia. Melbourne: ClimateWorks.</w:t>
      </w:r>
    </w:p>
    <w:p w14:paraId="6379D54A" w14:textId="77777777" w:rsidR="00442B59" w:rsidRPr="00442B59" w:rsidRDefault="00442B59" w:rsidP="00442B59">
      <w:pPr>
        <w:pStyle w:val="EndNoteBibliography"/>
        <w:spacing w:after="0"/>
        <w:ind w:left="720" w:hanging="720"/>
      </w:pPr>
      <w:r w:rsidRPr="00442B59">
        <w:t>CLIMATEWORKS CENTRE 2022. Living within limits: Adapting the planetary boundaries to understand Australia's contribution to planetary health: Technical report. Melbourne: ClimateWorks Centre.</w:t>
      </w:r>
    </w:p>
    <w:p w14:paraId="6688450C" w14:textId="1392FC12" w:rsidR="00442B59" w:rsidRPr="00442B59" w:rsidRDefault="00442B59" w:rsidP="00442B59">
      <w:pPr>
        <w:pStyle w:val="EndNoteBibliography"/>
        <w:spacing w:after="0"/>
        <w:ind w:left="720" w:hanging="720"/>
      </w:pPr>
      <w:r w:rsidRPr="00442B59">
        <w:t xml:space="preserve">COFFEY, B., DAMIENS, F. L., HYSING, E. &amp; TORABI, N. 2022. Assessing biodiversity policy designs in Australia, France and Sweden. Comparative lessons for transformative governance of biodiversity? </w:t>
      </w:r>
      <w:r w:rsidRPr="00442B59">
        <w:rPr>
          <w:i/>
        </w:rPr>
        <w:t>Journal of Environmental Policy &amp; Planning</w:t>
      </w:r>
      <w:r w:rsidRPr="00442B59">
        <w:rPr>
          <w:b/>
        </w:rPr>
        <w:t>,</w:t>
      </w:r>
      <w:r w:rsidRPr="00442B59">
        <w:t xml:space="preserve"> 1-14. </w:t>
      </w:r>
      <w:hyperlink r:id="rId36" w:history="1">
        <w:r w:rsidRPr="00442B59">
          <w:rPr>
            <w:rStyle w:val="Hyperlink"/>
          </w:rPr>
          <w:t>https://doi.org/10.1080/1523908X.2022.2117145</w:t>
        </w:r>
      </w:hyperlink>
    </w:p>
    <w:p w14:paraId="56AADC4D" w14:textId="77777777" w:rsidR="00442B59" w:rsidRPr="00442B59" w:rsidRDefault="00442B59" w:rsidP="00442B59">
      <w:pPr>
        <w:pStyle w:val="EndNoteBibliography"/>
        <w:spacing w:after="0"/>
        <w:ind w:left="720" w:hanging="720"/>
      </w:pPr>
      <w:r w:rsidRPr="00442B59">
        <w:t>COMMONWEALTH OF AUSTRALIA 2016. Improving the efficiency of new light vehicles. Canberra,: Australian Government.</w:t>
      </w:r>
    </w:p>
    <w:p w14:paraId="68C7F3A7" w14:textId="77777777" w:rsidR="00442B59" w:rsidRPr="00442B59" w:rsidRDefault="00442B59" w:rsidP="00442B59">
      <w:pPr>
        <w:pStyle w:val="EndNoteBibliography"/>
        <w:spacing w:after="0"/>
        <w:ind w:left="720" w:hanging="720"/>
      </w:pPr>
      <w:r w:rsidRPr="00442B59">
        <w:t>COMMONWEALTH OF AUSTRALIA 2019. Australia's Strategy for Nature 2019-2030. Canberra: Commonwealth of Australia.</w:t>
      </w:r>
    </w:p>
    <w:p w14:paraId="48F76758" w14:textId="77777777" w:rsidR="00442B59" w:rsidRPr="00442B59" w:rsidRDefault="00442B59" w:rsidP="00442B59">
      <w:pPr>
        <w:pStyle w:val="EndNoteBibliography"/>
        <w:spacing w:after="0"/>
        <w:ind w:left="720" w:hanging="720"/>
      </w:pPr>
      <w:r w:rsidRPr="00442B59">
        <w:t>COUNCIL OF AUSTRALIAN GOVERNMENTS 2015. National Energy Productivity Plan 2015-2030. Canberra, Australia.</w:t>
      </w:r>
    </w:p>
    <w:p w14:paraId="0DC07462" w14:textId="7D846ADF" w:rsidR="00442B59" w:rsidRPr="00442B59" w:rsidRDefault="00442B59" w:rsidP="00442B59">
      <w:pPr>
        <w:pStyle w:val="EndNoteBibliography"/>
        <w:spacing w:after="0"/>
        <w:ind w:left="720" w:hanging="720"/>
      </w:pPr>
      <w:r w:rsidRPr="00442B59">
        <w:t xml:space="preserve">COWIE, A. L., ORR, B. J., SANCHEZ, V. M. C., CHASEK, P., CROSSMAN, N. D., ERLEWEIN, A., LOUWAGIE, G., MARON, M., METTERNICHT, G. I. &amp; MINELLI, S. 2018. Land in balance: The scientific conceptual framework for Land Degradation Neutrality. </w:t>
      </w:r>
      <w:r w:rsidRPr="00442B59">
        <w:rPr>
          <w:i/>
        </w:rPr>
        <w:t>Environmental Science &amp; Policy,</w:t>
      </w:r>
      <w:r w:rsidRPr="00442B59">
        <w:t xml:space="preserve"> 79</w:t>
      </w:r>
      <w:r w:rsidRPr="00442B59">
        <w:rPr>
          <w:b/>
        </w:rPr>
        <w:t>,</w:t>
      </w:r>
      <w:r w:rsidRPr="00442B59">
        <w:t xml:space="preserve"> 25-35. </w:t>
      </w:r>
      <w:hyperlink r:id="rId37" w:history="1">
        <w:r w:rsidRPr="00442B59">
          <w:rPr>
            <w:rStyle w:val="Hyperlink"/>
          </w:rPr>
          <w:t>https://doi.org/10.1016/j.envsci.2017.10.011</w:t>
        </w:r>
      </w:hyperlink>
    </w:p>
    <w:p w14:paraId="74F1FF39" w14:textId="77777777" w:rsidR="00442B59" w:rsidRPr="00442B59" w:rsidRDefault="00442B59" w:rsidP="00442B59">
      <w:pPr>
        <w:pStyle w:val="EndNoteBibliography"/>
        <w:spacing w:after="0"/>
        <w:ind w:left="720" w:hanging="720"/>
      </w:pPr>
      <w:r w:rsidRPr="00442B59">
        <w:t>CSIRO 2018. Climate Futures Exploration Tool. Canberra, Australia.</w:t>
      </w:r>
    </w:p>
    <w:p w14:paraId="61920C14" w14:textId="77777777" w:rsidR="00442B59" w:rsidRPr="00442B59" w:rsidRDefault="00442B59" w:rsidP="00442B59">
      <w:pPr>
        <w:pStyle w:val="EndNoteBibliography"/>
        <w:spacing w:after="0"/>
        <w:ind w:left="720" w:hanging="720"/>
      </w:pPr>
      <w:r w:rsidRPr="00442B59">
        <w:t>DEE 2019. Australian Energy Statistics. Canberra, Australia: Australian Government.</w:t>
      </w:r>
    </w:p>
    <w:p w14:paraId="42B6E3FD" w14:textId="77777777" w:rsidR="00442B59" w:rsidRPr="00442B59" w:rsidRDefault="00442B59" w:rsidP="00442B59">
      <w:pPr>
        <w:pStyle w:val="EndNoteBibliography"/>
        <w:spacing w:after="0"/>
        <w:ind w:left="720" w:hanging="720"/>
      </w:pPr>
      <w:r w:rsidRPr="00442B59">
        <w:t>DELOITTE 2021. Special report: Update to the economic costs of natural disasters in Australia. Sydney: Australian Business Roundtable for Disaster Resilience and Safer Communities.</w:t>
      </w:r>
    </w:p>
    <w:p w14:paraId="6ACB817E" w14:textId="77777777" w:rsidR="00442B59" w:rsidRPr="00442B59" w:rsidRDefault="00442B59" w:rsidP="00442B59">
      <w:pPr>
        <w:pStyle w:val="EndNoteBibliography"/>
        <w:spacing w:after="0"/>
        <w:ind w:left="720" w:hanging="720"/>
      </w:pPr>
      <w:r w:rsidRPr="00442B59">
        <w:t xml:space="preserve">DEPARTMENT OF HEALTH 2021. National Preventitive Health Strategy 2021-2030. </w:t>
      </w:r>
      <w:r w:rsidRPr="00442B59">
        <w:rPr>
          <w:i/>
        </w:rPr>
        <w:t>Valuing health before illness: Living well for longer.</w:t>
      </w:r>
      <w:r w:rsidRPr="00442B59">
        <w:t xml:space="preserve"> Canberra: Australian Government.</w:t>
      </w:r>
    </w:p>
    <w:p w14:paraId="048658C9" w14:textId="77777777" w:rsidR="00442B59" w:rsidRPr="00442B59" w:rsidRDefault="00442B59" w:rsidP="00442B59">
      <w:pPr>
        <w:pStyle w:val="EndNoteBibliography"/>
        <w:spacing w:after="0"/>
        <w:ind w:left="720" w:hanging="720"/>
      </w:pPr>
      <w:r w:rsidRPr="00442B59">
        <w:t>ENERGEIA 2017. Electric Vehicles Insights: Prepared for the Australian Energy Market Operator's 2017 Electricity Forecast Insights. Canberra: Energeia.</w:t>
      </w:r>
    </w:p>
    <w:p w14:paraId="4D36B523" w14:textId="77777777" w:rsidR="00442B59" w:rsidRPr="00442B59" w:rsidRDefault="00442B59" w:rsidP="00442B59">
      <w:pPr>
        <w:pStyle w:val="EndNoteBibliography"/>
        <w:spacing w:after="0"/>
        <w:ind w:left="720" w:hanging="720"/>
      </w:pPr>
      <w:r w:rsidRPr="00442B59">
        <w:t>ENERGEIA 2018. Australian Electric Vehicle Market Study: Report prepared for the Australian Renewable Energy Agency and the Clean Energy Finance Corporation. Canberra, Australia: Australian Government.</w:t>
      </w:r>
    </w:p>
    <w:p w14:paraId="306C5C27" w14:textId="77777777" w:rsidR="00442B59" w:rsidRPr="00442B59" w:rsidRDefault="00442B59" w:rsidP="00442B59">
      <w:pPr>
        <w:pStyle w:val="EndNoteBibliography"/>
        <w:spacing w:after="0"/>
        <w:ind w:left="720" w:hanging="720"/>
      </w:pPr>
      <w:r w:rsidRPr="00442B59">
        <w:t>FAO 2017. FAOSTAT database. Rome, Italy.</w:t>
      </w:r>
    </w:p>
    <w:p w14:paraId="7942D549" w14:textId="77777777" w:rsidR="00442B59" w:rsidRPr="00442B59" w:rsidRDefault="00442B59" w:rsidP="00442B59">
      <w:pPr>
        <w:pStyle w:val="EndNoteBibliography"/>
        <w:spacing w:after="0"/>
        <w:ind w:left="720" w:hanging="720"/>
      </w:pPr>
      <w:r w:rsidRPr="00442B59">
        <w:t>FAO 2018. AQUASTAT. Rome, Italy: Food and Agriculture Organisation of the United Nations.</w:t>
      </w:r>
    </w:p>
    <w:p w14:paraId="7501BCE2" w14:textId="77777777" w:rsidR="00442B59" w:rsidRPr="00442B59" w:rsidRDefault="00442B59" w:rsidP="00442B59">
      <w:pPr>
        <w:pStyle w:val="EndNoteBibliography"/>
        <w:spacing w:after="0"/>
        <w:ind w:left="720" w:hanging="720"/>
      </w:pPr>
      <w:r w:rsidRPr="00442B59">
        <w:t>FOLU 2021. Accelerating the 10 Critical Transitions: Positive Tipping Points for Food and Land Use Systems Transformation. UK: Food and Land Use Coalition and Global Systems Institute.</w:t>
      </w:r>
    </w:p>
    <w:p w14:paraId="6F3411B7" w14:textId="77777777" w:rsidR="00442B59" w:rsidRPr="00442B59" w:rsidRDefault="00442B59" w:rsidP="00442B59">
      <w:pPr>
        <w:pStyle w:val="EndNoteBibliography"/>
        <w:spacing w:after="0"/>
        <w:ind w:left="720" w:hanging="720"/>
      </w:pPr>
      <w:r w:rsidRPr="00442B59">
        <w:t>FOOD SECURITY AND FOOD SYSTEMS WORKING GROUP 2022. Towards a Healthy Regenerative and Equitable Food System in Victoria: Consensus Statement. Melbourne: VicHealth.</w:t>
      </w:r>
    </w:p>
    <w:p w14:paraId="645E8D95" w14:textId="77777777" w:rsidR="00442B59" w:rsidRPr="00442B59" w:rsidRDefault="00442B59" w:rsidP="00442B59">
      <w:pPr>
        <w:pStyle w:val="EndNoteBibliography"/>
        <w:spacing w:after="0"/>
        <w:ind w:left="720" w:hanging="720"/>
      </w:pPr>
      <w:r w:rsidRPr="00442B59">
        <w:t xml:space="preserve">FRISON, E. A. 2016. From uniformity to diversity: a paradigm shift from industrial agriculture to diversified agroecological systems. </w:t>
      </w:r>
    </w:p>
    <w:p w14:paraId="16850CA0" w14:textId="77777777" w:rsidR="00442B59" w:rsidRPr="00442B59" w:rsidRDefault="00442B59" w:rsidP="00442B59">
      <w:pPr>
        <w:pStyle w:val="EndNoteBibliography"/>
        <w:spacing w:after="0"/>
        <w:ind w:left="720" w:hanging="720"/>
      </w:pPr>
      <w:r w:rsidRPr="00442B59">
        <w:t xml:space="preserve">FUTURE EARTH 2019. Sustainable Cities and Regions. </w:t>
      </w:r>
      <w:r w:rsidRPr="00442B59">
        <w:rPr>
          <w:i/>
        </w:rPr>
        <w:t>10 year strategy to enable urban systems transformation.</w:t>
      </w:r>
      <w:r w:rsidRPr="00442B59">
        <w:t xml:space="preserve"> Canberra: Australian Academy of Sciences.</w:t>
      </w:r>
    </w:p>
    <w:p w14:paraId="0F081ED5" w14:textId="77777777" w:rsidR="00442B59" w:rsidRPr="00442B59" w:rsidRDefault="00442B59" w:rsidP="00442B59">
      <w:pPr>
        <w:pStyle w:val="EndNoteBibliography"/>
        <w:spacing w:after="0"/>
        <w:ind w:left="720" w:hanging="720"/>
      </w:pPr>
      <w:r w:rsidRPr="00442B59">
        <w:lastRenderedPageBreak/>
        <w:t>GARGETT, D. Costs of the Austalian Road System.  Australasian Transport Research Forum 2017 Proceedings, 2017 Auckland, New Zealand.</w:t>
      </w:r>
    </w:p>
    <w:p w14:paraId="49819E87" w14:textId="77777777" w:rsidR="00442B59" w:rsidRPr="00442B59" w:rsidRDefault="00442B59" w:rsidP="00442B59">
      <w:pPr>
        <w:pStyle w:val="EndNoteBibliography"/>
        <w:spacing w:after="0"/>
        <w:ind w:left="720" w:hanging="720"/>
      </w:pPr>
      <w:r w:rsidRPr="00442B59">
        <w:t>GLOBAL ENVIRONMENT FACILITY 2005. Technical Paper on the GEF Resource Allocation Framework. Washington DC, USA: Global Environment Facility.</w:t>
      </w:r>
    </w:p>
    <w:p w14:paraId="2C4AC29B" w14:textId="77777777" w:rsidR="00442B59" w:rsidRPr="00442B59" w:rsidRDefault="00442B59" w:rsidP="00442B59">
      <w:pPr>
        <w:pStyle w:val="EndNoteBibliography"/>
        <w:spacing w:after="0"/>
        <w:ind w:left="720" w:hanging="720"/>
      </w:pPr>
      <w:r w:rsidRPr="00442B59">
        <w:t>GOVERNMENT OF VICTORIA 2015. Farm Water Fact Sheet. Melbourne: Government of Victoria.</w:t>
      </w:r>
    </w:p>
    <w:p w14:paraId="316F4F23" w14:textId="77777777" w:rsidR="00442B59" w:rsidRPr="00442B59" w:rsidRDefault="00442B59" w:rsidP="00442B59">
      <w:pPr>
        <w:pStyle w:val="EndNoteBibliography"/>
        <w:spacing w:after="0"/>
        <w:ind w:left="720" w:hanging="720"/>
      </w:pPr>
      <w:r w:rsidRPr="00442B59">
        <w:t>GRAHAM, P., HAYWARD, J., FOSTER, J., STORY, O. &amp; HAVAS, L. 2018. Updated projections of electricity generation technology costs. Newcastle: CSIRO.</w:t>
      </w:r>
    </w:p>
    <w:p w14:paraId="1BAECA6A" w14:textId="77777777" w:rsidR="00442B59" w:rsidRPr="00442B59" w:rsidRDefault="00442B59" w:rsidP="00442B59">
      <w:pPr>
        <w:pStyle w:val="EndNoteBibliography"/>
        <w:spacing w:after="0"/>
        <w:ind w:left="720" w:hanging="720"/>
      </w:pPr>
      <w:r w:rsidRPr="00442B59">
        <w:t xml:space="preserve">HADJIKAKOU, M. &amp; WIEDMANN, T. 2017. Shortcomings of a growth-driven food system. </w:t>
      </w:r>
      <w:r w:rsidRPr="00442B59">
        <w:rPr>
          <w:i/>
        </w:rPr>
        <w:t>Handbook on Growth and Sustainability.</w:t>
      </w:r>
      <w:r w:rsidRPr="00442B59">
        <w:t xml:space="preserve"> Edward Elgar Publishing.</w:t>
      </w:r>
    </w:p>
    <w:p w14:paraId="33F1039A" w14:textId="77777777" w:rsidR="00442B59" w:rsidRPr="00442B59" w:rsidRDefault="00442B59" w:rsidP="00442B59">
      <w:pPr>
        <w:pStyle w:val="EndNoteBibliography"/>
        <w:spacing w:after="0"/>
        <w:ind w:left="720" w:hanging="720"/>
      </w:pPr>
      <w:r w:rsidRPr="00442B59">
        <w:t>HAYWARD, J. &amp; GRAHAM, P. 2017. Electricity generation technology cost projections, 2017-2050. Canberra, Australia: CSIRO.</w:t>
      </w:r>
    </w:p>
    <w:p w14:paraId="586E65BC" w14:textId="6398E105" w:rsidR="00442B59" w:rsidRPr="00442B59" w:rsidRDefault="00442B59" w:rsidP="00442B59">
      <w:pPr>
        <w:pStyle w:val="EndNoteBibliography"/>
        <w:spacing w:after="0"/>
        <w:ind w:left="720" w:hanging="720"/>
      </w:pPr>
      <w:r w:rsidRPr="00442B59">
        <w:t xml:space="preserve">HERRERO, M., THORNTON, P. K., MASON-D'CROZ, D., PALMER, J., BODIRSKY, B. L., PRADHAN, P., BARRETT, C. B., BENTON, T. G., HALL, A. &amp; PIKAAR, I. 2021. Articulating the effect of food systems innovation on the Sustainable Development Goals. </w:t>
      </w:r>
      <w:r w:rsidRPr="00442B59">
        <w:rPr>
          <w:i/>
        </w:rPr>
        <w:t>The Lancet Planetary Health,</w:t>
      </w:r>
      <w:r w:rsidRPr="00442B59">
        <w:t xml:space="preserve"> 5</w:t>
      </w:r>
      <w:r w:rsidRPr="00442B59">
        <w:rPr>
          <w:b/>
        </w:rPr>
        <w:t>,</w:t>
      </w:r>
      <w:r w:rsidRPr="00442B59">
        <w:t xml:space="preserve"> e50-e62. </w:t>
      </w:r>
      <w:hyperlink r:id="rId38" w:history="1">
        <w:r w:rsidRPr="00442B59">
          <w:rPr>
            <w:rStyle w:val="Hyperlink"/>
          </w:rPr>
          <w:t>https://doi.org/10.1016/S2542-5196(20)30277-1</w:t>
        </w:r>
      </w:hyperlink>
    </w:p>
    <w:p w14:paraId="050E538D" w14:textId="3115F8C8" w:rsidR="00442B59" w:rsidRPr="00442B59" w:rsidRDefault="00442B59" w:rsidP="00442B59">
      <w:pPr>
        <w:pStyle w:val="EndNoteBibliography"/>
        <w:spacing w:after="0"/>
        <w:ind w:left="720" w:hanging="720"/>
      </w:pPr>
      <w:r w:rsidRPr="00442B59">
        <w:t xml:space="preserve">HERRERO, M., THORNTON, P. K., MASON-D’CROZ, D., PALMER, J., BENTON, T. G., BODIRSKY, B. L., BOGARD, J. R., HALL, A., LEE, B. &amp; NYBORG, K. 2020. Innovation can accelerate the transition towards a sustainable food system. </w:t>
      </w:r>
      <w:r w:rsidRPr="00442B59">
        <w:rPr>
          <w:i/>
        </w:rPr>
        <w:t>Nature Food,</w:t>
      </w:r>
      <w:r w:rsidRPr="00442B59">
        <w:t xml:space="preserve"> 1</w:t>
      </w:r>
      <w:r w:rsidRPr="00442B59">
        <w:rPr>
          <w:b/>
        </w:rPr>
        <w:t>,</w:t>
      </w:r>
      <w:r w:rsidRPr="00442B59">
        <w:t xml:space="preserve"> 266-272. </w:t>
      </w:r>
      <w:hyperlink r:id="rId39" w:history="1">
        <w:r w:rsidRPr="00442B59">
          <w:rPr>
            <w:rStyle w:val="Hyperlink"/>
          </w:rPr>
          <w:t>https://doi.org/10.1038/s43016-020-0074-1</w:t>
        </w:r>
      </w:hyperlink>
    </w:p>
    <w:p w14:paraId="242F2851" w14:textId="77777777" w:rsidR="00442B59" w:rsidRPr="00442B59" w:rsidRDefault="00442B59" w:rsidP="00442B59">
      <w:pPr>
        <w:pStyle w:val="EndNoteBibliography"/>
        <w:spacing w:after="0"/>
        <w:ind w:left="720" w:hanging="720"/>
      </w:pPr>
      <w:r w:rsidRPr="00442B59">
        <w:t>HICKEY, M., HOOGERS, R., SINGH, R., HENDERSON, C., ASHCROFT, B., TOP, M., O'DONNELL, D., SYLVIA, S. &amp; HOFFMAN, H. 2006. Maximising returns from water in the Australian vegetable industry: national report. Sydney: NSW Department of Primary Industries.</w:t>
      </w:r>
    </w:p>
    <w:p w14:paraId="0B06B273" w14:textId="77777777" w:rsidR="00442B59" w:rsidRPr="00442B59" w:rsidRDefault="00442B59" w:rsidP="00442B59">
      <w:pPr>
        <w:pStyle w:val="EndNoteBibliography"/>
        <w:spacing w:after="0"/>
        <w:ind w:left="720" w:hanging="720"/>
      </w:pPr>
      <w:r w:rsidRPr="00442B59">
        <w:t xml:space="preserve">HUDSON, M. 2020. Enacted inertia: Australian fossil fuel incumbents’ strategies to undermine challengers. </w:t>
      </w:r>
      <w:r w:rsidRPr="00442B59">
        <w:rPr>
          <w:i/>
        </w:rPr>
        <w:t>The Palgrave Handbook of Managing Fossil Fuels and Energy Transitions.</w:t>
      </w:r>
      <w:r w:rsidRPr="00442B59">
        <w:t xml:space="preserve"> Springer.</w:t>
      </w:r>
    </w:p>
    <w:p w14:paraId="621FDCCA" w14:textId="77777777" w:rsidR="00442B59" w:rsidRPr="00442B59" w:rsidRDefault="00442B59" w:rsidP="00442B59">
      <w:pPr>
        <w:pStyle w:val="EndNoteBibliography"/>
        <w:spacing w:after="0"/>
        <w:ind w:left="720" w:hanging="720"/>
      </w:pPr>
      <w:r w:rsidRPr="00442B59">
        <w:t xml:space="preserve">ILES, A. 2021. Can Australia transition to an agroecological future? </w:t>
      </w:r>
      <w:r w:rsidRPr="00442B59">
        <w:rPr>
          <w:i/>
        </w:rPr>
        <w:t>Agroecology and Sustainable Food Systems,</w:t>
      </w:r>
      <w:r w:rsidRPr="00442B59">
        <w:t xml:space="preserve"> 45</w:t>
      </w:r>
      <w:r w:rsidRPr="00442B59">
        <w:rPr>
          <w:b/>
        </w:rPr>
        <w:t>,</w:t>
      </w:r>
      <w:r w:rsidRPr="00442B59">
        <w:t xml:space="preserve"> 3-41. </w:t>
      </w:r>
    </w:p>
    <w:p w14:paraId="1991E44A" w14:textId="77777777" w:rsidR="00442B59" w:rsidRPr="00442B59" w:rsidRDefault="00442B59" w:rsidP="00442B59">
      <w:pPr>
        <w:pStyle w:val="EndNoteBibliography"/>
        <w:spacing w:after="0"/>
        <w:ind w:left="720" w:hanging="720"/>
      </w:pPr>
      <w:r w:rsidRPr="00442B59">
        <w:t xml:space="preserve">IMF 2019. Government Finance Statistics. </w:t>
      </w:r>
      <w:r w:rsidRPr="00442B59">
        <w:rPr>
          <w:i/>
        </w:rPr>
        <w:t>In:</w:t>
      </w:r>
      <w:r w:rsidRPr="00442B59">
        <w:t xml:space="preserve"> FUND, I. M. (ed.). Washington, USA.</w:t>
      </w:r>
    </w:p>
    <w:p w14:paraId="60E87217" w14:textId="77777777" w:rsidR="00442B59" w:rsidRPr="00442B59" w:rsidRDefault="00442B59" w:rsidP="00442B59">
      <w:pPr>
        <w:pStyle w:val="EndNoteBibliography"/>
        <w:spacing w:after="0"/>
        <w:ind w:left="720" w:hanging="720"/>
      </w:pPr>
      <w:r w:rsidRPr="00442B59">
        <w:t>INTERNATIONAL RESOURCE PANEL 2017. Resource Efficiency: Potential and Economic Implications. . Paris: UN Environment.</w:t>
      </w:r>
    </w:p>
    <w:p w14:paraId="330D329D" w14:textId="77777777" w:rsidR="00442B59" w:rsidRPr="00442B59" w:rsidRDefault="00442B59" w:rsidP="00442B59">
      <w:pPr>
        <w:pStyle w:val="EndNoteBibliography"/>
        <w:spacing w:after="0"/>
        <w:ind w:left="720" w:hanging="720"/>
      </w:pPr>
      <w:r w:rsidRPr="00442B59">
        <w:t>IUCN &amp; UNEP-WCMC 2017. World Database on Protected Areas. International Union for the Conservation of Nature and United Nations Environment Programme World Conservation Monitoring Centre.</w:t>
      </w:r>
    </w:p>
    <w:p w14:paraId="4890EA08" w14:textId="77777777" w:rsidR="00442B59" w:rsidRPr="00442B59" w:rsidRDefault="00442B59" w:rsidP="00442B59">
      <w:pPr>
        <w:pStyle w:val="EndNoteBibliography"/>
        <w:spacing w:after="0"/>
        <w:ind w:left="720" w:hanging="720"/>
      </w:pPr>
      <w:r w:rsidRPr="00442B59">
        <w:t>JAMES, A., GREEN, J. &amp; PAINE, J. 1999. A Global Review of Protected Area Budgets and Staff. Cambridge, U.K.: World Conservation Monitoring Centre.</w:t>
      </w:r>
    </w:p>
    <w:p w14:paraId="2C20E76F" w14:textId="77777777" w:rsidR="00442B59" w:rsidRPr="00442B59" w:rsidRDefault="00442B59" w:rsidP="00442B59">
      <w:pPr>
        <w:pStyle w:val="EndNoteBibliography"/>
        <w:spacing w:after="0"/>
        <w:ind w:left="720" w:hanging="720"/>
      </w:pPr>
      <w:r w:rsidRPr="00442B59">
        <w:t>JONES, A., MORELLI, G., PETTIGREW, S. &amp; NEAL, B. 2021. Integrating wellbeing into the business of government: The feasibility of innovative legal and policy measures to achieve sustainable development in Australia. Melbourne: Victorian Health Promotion Foundation and the George Institute for Global Health.</w:t>
      </w:r>
    </w:p>
    <w:p w14:paraId="1DF92EC9" w14:textId="77777777" w:rsidR="00442B59" w:rsidRPr="00442B59" w:rsidRDefault="00442B59" w:rsidP="00442B59">
      <w:pPr>
        <w:pStyle w:val="EndNoteBibliography"/>
        <w:spacing w:after="0"/>
        <w:ind w:left="720" w:hanging="720"/>
      </w:pPr>
      <w:r w:rsidRPr="00442B59">
        <w:t>KAUFMAN, D. &amp; KRAAY, A. 2016. Worldwide Governance Indicators. Washington, USA: The World Bank.</w:t>
      </w:r>
    </w:p>
    <w:p w14:paraId="5168D781" w14:textId="77777777" w:rsidR="00442B59" w:rsidRPr="00442B59" w:rsidRDefault="00442B59" w:rsidP="00442B59">
      <w:pPr>
        <w:pStyle w:val="EndNoteBibliography"/>
        <w:spacing w:after="0"/>
        <w:ind w:left="720" w:hanging="720"/>
      </w:pPr>
      <w:r w:rsidRPr="00442B59">
        <w:t>KLEISNER, K., BRENNAN, C., GARLAND, A., LINGARD, S., TRACEY, S., SAHLQVIST, P., TSOLOS, A., PAULY, D. &amp; ZELLER, D. 2015. Australia: Reconstructing estimates of total fisheries removal, 1950-2010. British Columbia: University of British Columbia.</w:t>
      </w:r>
    </w:p>
    <w:p w14:paraId="47531D21" w14:textId="1F0E2559" w:rsidR="00442B59" w:rsidRPr="00442B59" w:rsidRDefault="00442B59" w:rsidP="00442B59">
      <w:pPr>
        <w:pStyle w:val="EndNoteBibliography"/>
        <w:spacing w:after="0"/>
        <w:ind w:left="720" w:hanging="720"/>
      </w:pPr>
      <w:r w:rsidRPr="00442B59">
        <w:t xml:space="preserve">LAWRENCE, G., RICHARDS, C. &amp; LYONS, K. 2013. Food security in Australia in an era of neoliberalism, productivism and climate change. </w:t>
      </w:r>
      <w:r w:rsidRPr="00442B59">
        <w:rPr>
          <w:i/>
        </w:rPr>
        <w:t>Journal of Rural Studies,</w:t>
      </w:r>
      <w:r w:rsidRPr="00442B59">
        <w:t xml:space="preserve"> 29</w:t>
      </w:r>
      <w:r w:rsidRPr="00442B59">
        <w:rPr>
          <w:b/>
        </w:rPr>
        <w:t>,</w:t>
      </w:r>
      <w:r w:rsidRPr="00442B59">
        <w:t xml:space="preserve"> 30-39. </w:t>
      </w:r>
      <w:hyperlink r:id="rId40" w:history="1">
        <w:r w:rsidRPr="00442B59">
          <w:rPr>
            <w:rStyle w:val="Hyperlink"/>
          </w:rPr>
          <w:t>https://doi.org/10.1016/j.jrurstud.2011.12.005</w:t>
        </w:r>
      </w:hyperlink>
    </w:p>
    <w:p w14:paraId="7670CBE4" w14:textId="77777777" w:rsidR="00442B59" w:rsidRPr="00442B59" w:rsidRDefault="00442B59" w:rsidP="00442B59">
      <w:pPr>
        <w:pStyle w:val="EndNoteBibliography"/>
        <w:spacing w:after="0"/>
        <w:ind w:left="720" w:hanging="720"/>
      </w:pPr>
      <w:r w:rsidRPr="00442B59">
        <w:t xml:space="preserve">MCDONALD, P. F. &amp; TEMPLE, J. 2010. </w:t>
      </w:r>
      <w:r w:rsidRPr="00442B59">
        <w:rPr>
          <w:i/>
        </w:rPr>
        <w:t xml:space="preserve">Immigration, labour supply and per capita Gross Domestic Product: Australia 2010-2050, </w:t>
      </w:r>
      <w:r w:rsidRPr="00442B59">
        <w:t>Canberra, Australia, Australian Government Department of Immigration and Citizenship.</w:t>
      </w:r>
    </w:p>
    <w:p w14:paraId="2774F2E9" w14:textId="77777777" w:rsidR="00442B59" w:rsidRPr="00442B59" w:rsidRDefault="00442B59" w:rsidP="00442B59">
      <w:pPr>
        <w:pStyle w:val="EndNoteBibliography"/>
        <w:spacing w:after="0"/>
        <w:ind w:left="720" w:hanging="720"/>
      </w:pPr>
      <w:r w:rsidRPr="00442B59">
        <w:lastRenderedPageBreak/>
        <w:t>MELBOURNE INSTITUTE 2018. The Household, Income and Labour Dynamics in Australia (HILDA) Survey: Selected Findings from Waves 1 to 16. Melbourne, Australia: Melbourne Institute.</w:t>
      </w:r>
    </w:p>
    <w:p w14:paraId="6F337D91" w14:textId="77777777" w:rsidR="00442B59" w:rsidRPr="00442B59" w:rsidRDefault="00442B59" w:rsidP="00442B59">
      <w:pPr>
        <w:pStyle w:val="EndNoteBibliography"/>
        <w:spacing w:after="0"/>
        <w:ind w:left="720" w:hanging="720"/>
      </w:pPr>
      <w:r w:rsidRPr="00442B59">
        <w:t>MILLENNIUM INSTITUTE 2017. iSDG Model Documentation. Washington D.C.: Millennium Institute.</w:t>
      </w:r>
    </w:p>
    <w:p w14:paraId="2FF0F098" w14:textId="77777777" w:rsidR="00442B59" w:rsidRPr="00442B59" w:rsidRDefault="00442B59" w:rsidP="00442B59">
      <w:pPr>
        <w:pStyle w:val="EndNoteBibliography"/>
        <w:spacing w:after="0"/>
        <w:ind w:left="720" w:hanging="720"/>
      </w:pPr>
      <w:r w:rsidRPr="00442B59">
        <w:t>MSDI 2020. Transforming Australia 2020 Update. Melbourne: Monash Sustainable Development Institute.</w:t>
      </w:r>
    </w:p>
    <w:p w14:paraId="3F897B53" w14:textId="77777777" w:rsidR="00442B59" w:rsidRPr="00442B59" w:rsidRDefault="00442B59" w:rsidP="00442B59">
      <w:pPr>
        <w:pStyle w:val="EndNoteBibliography"/>
        <w:spacing w:after="0"/>
        <w:ind w:left="720" w:hanging="720"/>
      </w:pPr>
      <w:r w:rsidRPr="00442B59">
        <w:t>NAHUM, D. 2020. Powering Onwards: Australia's Opportunity to Reinvigorate Manufacturing through Renewable Energy. Canberra: The Centre for Future Work.</w:t>
      </w:r>
    </w:p>
    <w:p w14:paraId="031C06A0" w14:textId="77777777" w:rsidR="00442B59" w:rsidRPr="00442B59" w:rsidRDefault="00442B59" w:rsidP="00442B59">
      <w:pPr>
        <w:pStyle w:val="EndNoteBibliography"/>
        <w:spacing w:after="0"/>
        <w:ind w:left="720" w:hanging="720"/>
      </w:pPr>
      <w:r w:rsidRPr="00442B59">
        <w:t xml:space="preserve">NATIONAL RESILIENCE TASKFORCE 2018. Profiling Australia's Vulnerability. </w:t>
      </w:r>
      <w:r w:rsidRPr="00442B59">
        <w:rPr>
          <w:i/>
        </w:rPr>
        <w:t>The interconnected causes and cascading effects of systemic disaster risk.</w:t>
      </w:r>
      <w:r w:rsidRPr="00442B59">
        <w:t xml:space="preserve"> Canberra: Commonwealth of Australia.</w:t>
      </w:r>
    </w:p>
    <w:p w14:paraId="0731367E" w14:textId="77777777" w:rsidR="00442B59" w:rsidRPr="00442B59" w:rsidRDefault="00442B59" w:rsidP="00442B59">
      <w:pPr>
        <w:pStyle w:val="EndNoteBibliography"/>
        <w:spacing w:after="0"/>
        <w:ind w:left="720" w:hanging="720"/>
      </w:pPr>
      <w:r w:rsidRPr="00442B59">
        <w:t xml:space="preserve">NEWTON, P., PRASAD, D., SPROUL, A. &amp; WHITE, S. 2019. </w:t>
      </w:r>
      <w:r w:rsidRPr="00442B59">
        <w:rPr>
          <w:i/>
        </w:rPr>
        <w:t>Decarbonising the built environment: charting the transition</w:t>
      </w:r>
      <w:r w:rsidRPr="00442B59">
        <w:t>, Springer.</w:t>
      </w:r>
    </w:p>
    <w:p w14:paraId="4B8D8ED5" w14:textId="77777777" w:rsidR="00442B59" w:rsidRPr="00442B59" w:rsidRDefault="00442B59" w:rsidP="00442B59">
      <w:pPr>
        <w:pStyle w:val="EndNoteBibliography"/>
        <w:spacing w:after="0"/>
        <w:ind w:left="720" w:hanging="720"/>
      </w:pPr>
      <w:r w:rsidRPr="00442B59">
        <w:t xml:space="preserve">NSW GOVERNMENT 2022. A wellbeing budget for NSW. </w:t>
      </w:r>
      <w:r w:rsidRPr="00442B59">
        <w:rPr>
          <w:i/>
        </w:rPr>
        <w:t>Foundation PAper.</w:t>
      </w:r>
      <w:r w:rsidRPr="00442B59">
        <w:t xml:space="preserve"> Sydney: NSW Department of Planning and Environment </w:t>
      </w:r>
    </w:p>
    <w:p w14:paraId="6862C48D" w14:textId="77777777" w:rsidR="00442B59" w:rsidRPr="00442B59" w:rsidRDefault="00442B59" w:rsidP="00442B59">
      <w:pPr>
        <w:pStyle w:val="EndNoteBibliography"/>
        <w:spacing w:after="0"/>
        <w:ind w:left="720" w:hanging="720"/>
      </w:pPr>
      <w:r w:rsidRPr="00442B59">
        <w:t>NTC 2020. VFACTS National EV PHEV Hybrid Sales 2011-20.</w:t>
      </w:r>
    </w:p>
    <w:p w14:paraId="40427909" w14:textId="4074EE76" w:rsidR="00442B59" w:rsidRPr="00442B59" w:rsidRDefault="00442B59" w:rsidP="00442B59">
      <w:pPr>
        <w:pStyle w:val="EndNoteBibliography"/>
        <w:spacing w:after="0"/>
        <w:ind w:left="720" w:hanging="720"/>
      </w:pPr>
      <w:r w:rsidRPr="00442B59">
        <w:t xml:space="preserve">O’NEILL, D. W., FANNING, A. L., LAMB, W. F. &amp; STEINBERGER, J. K. 2018. A good life for all within planetary boundaries. </w:t>
      </w:r>
      <w:r w:rsidRPr="00442B59">
        <w:rPr>
          <w:i/>
        </w:rPr>
        <w:t>Nature Sustainability,</w:t>
      </w:r>
      <w:r w:rsidRPr="00442B59">
        <w:t xml:space="preserve"> 1</w:t>
      </w:r>
      <w:r w:rsidRPr="00442B59">
        <w:rPr>
          <w:b/>
        </w:rPr>
        <w:t>,</w:t>
      </w:r>
      <w:r w:rsidRPr="00442B59">
        <w:t xml:space="preserve"> 88. </w:t>
      </w:r>
      <w:hyperlink r:id="rId41" w:history="1">
        <w:r w:rsidRPr="00442B59">
          <w:rPr>
            <w:rStyle w:val="Hyperlink"/>
          </w:rPr>
          <w:t>https://doi.org/10.1038/s41893-018-0021-4</w:t>
        </w:r>
      </w:hyperlink>
    </w:p>
    <w:p w14:paraId="584ED77B" w14:textId="77777777" w:rsidR="00442B59" w:rsidRPr="00442B59" w:rsidRDefault="00442B59" w:rsidP="00442B59">
      <w:pPr>
        <w:pStyle w:val="EndNoteBibliography"/>
        <w:spacing w:after="0"/>
        <w:ind w:left="720" w:hanging="720"/>
      </w:pPr>
      <w:r w:rsidRPr="00442B59">
        <w:t>OECD 2012. OECD Environmental Outlook to 2050: The consequences of inaction. Paris: Organisation for Economic Cooperation and Development.</w:t>
      </w:r>
    </w:p>
    <w:p w14:paraId="1195B1E7" w14:textId="77777777" w:rsidR="00442B59" w:rsidRPr="00442B59" w:rsidRDefault="00442B59" w:rsidP="00442B59">
      <w:pPr>
        <w:pStyle w:val="EndNoteBibliography"/>
        <w:spacing w:after="0"/>
        <w:ind w:left="720" w:hanging="720"/>
      </w:pPr>
      <w:r w:rsidRPr="00442B59">
        <w:t>OECD 2017a. Education Database - Education at a Glance. Paris, France.</w:t>
      </w:r>
    </w:p>
    <w:p w14:paraId="61EC2158" w14:textId="77777777" w:rsidR="00442B59" w:rsidRPr="00442B59" w:rsidRDefault="00442B59" w:rsidP="00442B59">
      <w:pPr>
        <w:pStyle w:val="EndNoteBibliography"/>
        <w:spacing w:after="0"/>
        <w:ind w:left="720" w:hanging="720"/>
      </w:pPr>
      <w:r w:rsidRPr="00442B59">
        <w:t>OECD 2017b. OECD.stat Green Growth Indicators. Organisation for Economic Cooperation and Development.</w:t>
      </w:r>
    </w:p>
    <w:p w14:paraId="2B4350A0" w14:textId="77777777" w:rsidR="00442B59" w:rsidRPr="00442B59" w:rsidRDefault="00442B59" w:rsidP="00442B59">
      <w:pPr>
        <w:pStyle w:val="EndNoteBibliography"/>
        <w:spacing w:after="0"/>
        <w:ind w:left="720" w:hanging="720"/>
      </w:pPr>
      <w:r w:rsidRPr="00442B59">
        <w:t xml:space="preserve">OECD 2018a. OECD Social and Welfare Statistics. </w:t>
      </w:r>
      <w:r w:rsidRPr="00442B59">
        <w:rPr>
          <w:i/>
        </w:rPr>
        <w:t>In:</w:t>
      </w:r>
      <w:r w:rsidRPr="00442B59">
        <w:t xml:space="preserve"> DEVELOPMENT, O. F. E. C. A. (ed.). Paris, France.</w:t>
      </w:r>
    </w:p>
    <w:p w14:paraId="379307C5" w14:textId="77777777" w:rsidR="00442B59" w:rsidRPr="00442B59" w:rsidRDefault="00442B59" w:rsidP="00442B59">
      <w:pPr>
        <w:pStyle w:val="EndNoteBibliography"/>
        <w:spacing w:after="0"/>
        <w:ind w:left="720" w:hanging="720"/>
      </w:pPr>
      <w:r w:rsidRPr="00442B59">
        <w:t>OECD 2018b. OECD.stat - Public Sector, Taxation and Market Regulation. Paris, France: Organisation for Economic Cooperation and Development.</w:t>
      </w:r>
    </w:p>
    <w:p w14:paraId="292E20DD" w14:textId="77777777" w:rsidR="00442B59" w:rsidRPr="00442B59" w:rsidRDefault="00442B59" w:rsidP="00442B59">
      <w:pPr>
        <w:pStyle w:val="EndNoteBibliography"/>
        <w:spacing w:after="0"/>
        <w:ind w:left="720" w:hanging="720"/>
      </w:pPr>
      <w:r w:rsidRPr="00442B59">
        <w:t>OECD 2019. OECD National Accounts Statistics: General government spending. Paris, France.</w:t>
      </w:r>
    </w:p>
    <w:p w14:paraId="39D83FD1" w14:textId="77777777" w:rsidR="00442B59" w:rsidRPr="00442B59" w:rsidRDefault="00442B59" w:rsidP="00442B59">
      <w:pPr>
        <w:pStyle w:val="EndNoteBibliography"/>
        <w:spacing w:after="0"/>
        <w:ind w:left="720" w:hanging="720"/>
      </w:pPr>
      <w:r w:rsidRPr="00442B59">
        <w:t>OECD 2022. Long-term interest rates forecast. Paris: Organisation for Economic Cooperation and Development.</w:t>
      </w:r>
    </w:p>
    <w:p w14:paraId="1A0F9073" w14:textId="77777777" w:rsidR="00442B59" w:rsidRPr="00442B59" w:rsidRDefault="00442B59" w:rsidP="00442B59">
      <w:pPr>
        <w:pStyle w:val="EndNoteBibliography"/>
        <w:spacing w:after="0"/>
        <w:ind w:left="720" w:hanging="720"/>
      </w:pPr>
      <w:r w:rsidRPr="00442B59">
        <w:t>OECD &amp; FAO 2017. OECD-FAO Agricultural Outlook 2018-2027. Rome, Italy: Organisation for Economic Cooperation and Development and the UN Food and Agricultural Organisation.</w:t>
      </w:r>
    </w:p>
    <w:p w14:paraId="1277F769" w14:textId="77777777" w:rsidR="00442B59" w:rsidRPr="00442B59" w:rsidRDefault="00442B59" w:rsidP="00442B59">
      <w:pPr>
        <w:pStyle w:val="EndNoteBibliography"/>
        <w:spacing w:after="0"/>
        <w:ind w:left="720" w:hanging="720"/>
      </w:pPr>
      <w:r w:rsidRPr="00442B59">
        <w:t>ORR, B., COWIE, A., CASTILLO SANCHEZ, V., CHASEK, P., CROSSMAN, N., ERLEWEIN, A., LOUWAGIE, G., MARON, M., METTERNICHT, G. &amp; MINELLI, S. Scientific conceptual framework for land degradation neutrality.  Bonn, Germany: United Nations Convention to Combat Desertification (UNCCD), 2017. 1-98.</w:t>
      </w:r>
    </w:p>
    <w:p w14:paraId="06B0E32E" w14:textId="77777777" w:rsidR="00442B59" w:rsidRPr="00442B59" w:rsidRDefault="00442B59" w:rsidP="00442B59">
      <w:pPr>
        <w:pStyle w:val="EndNoteBibliography"/>
        <w:spacing w:after="0"/>
        <w:ind w:left="720" w:hanging="720"/>
      </w:pPr>
      <w:r w:rsidRPr="00442B59">
        <w:t xml:space="preserve">PANDEY, K. D., BUYS, P., CHOMITZ, K. &amp; WHEELER, D. 2006. Biodiversity Conservation Indicators: New Tools for Priority-Setting at the Global Environment Facility. </w:t>
      </w:r>
      <w:r w:rsidRPr="00442B59">
        <w:rPr>
          <w:i/>
        </w:rPr>
        <w:t>World Bank Development Research Group Working Paper.</w:t>
      </w:r>
      <w:r w:rsidRPr="00442B59">
        <w:t xml:space="preserve"> Washington DC: World Bank.</w:t>
      </w:r>
    </w:p>
    <w:p w14:paraId="65D2AAC5" w14:textId="77777777" w:rsidR="00442B59" w:rsidRPr="00442B59" w:rsidRDefault="00442B59" w:rsidP="00442B59">
      <w:pPr>
        <w:pStyle w:val="EndNoteBibliography"/>
        <w:spacing w:after="0"/>
        <w:ind w:left="720" w:hanging="720"/>
      </w:pPr>
      <w:r w:rsidRPr="00442B59">
        <w:t>PAULY, D. &amp; ZELLER, D. 2015. Seas Around Us Concepts, Design and Data. British Columbia: University of British Columbia.</w:t>
      </w:r>
    </w:p>
    <w:p w14:paraId="1821CF4E" w14:textId="77777777" w:rsidR="00442B59" w:rsidRPr="00442B59" w:rsidRDefault="00442B59" w:rsidP="00442B59">
      <w:pPr>
        <w:pStyle w:val="EndNoteBibliography"/>
        <w:spacing w:after="0"/>
        <w:ind w:left="720" w:hanging="720"/>
      </w:pPr>
      <w:r w:rsidRPr="00442B59">
        <w:t xml:space="preserve">PWC 2020. Where next for Australia's tax system? </w:t>
      </w:r>
      <w:r w:rsidRPr="00442B59">
        <w:rPr>
          <w:i/>
        </w:rPr>
        <w:t>How our tax system can help reboot prosperity for Australia.</w:t>
      </w:r>
      <w:r w:rsidRPr="00442B59">
        <w:t xml:space="preserve"> Sydney: Price Waterhouse Coopers.</w:t>
      </w:r>
    </w:p>
    <w:p w14:paraId="64683142" w14:textId="77777777" w:rsidR="00442B59" w:rsidRPr="00442B59" w:rsidRDefault="00442B59" w:rsidP="00442B59">
      <w:pPr>
        <w:pStyle w:val="EndNoteBibliography"/>
        <w:spacing w:after="0"/>
        <w:ind w:left="720" w:hanging="720"/>
      </w:pPr>
      <w:r w:rsidRPr="00442B59">
        <w:t>RESOURCES 2030 TASKFORCE 2018. Australian resources - providing prosperity for future generations. Canberra, Australia: Commonwealth of Australia.</w:t>
      </w:r>
    </w:p>
    <w:p w14:paraId="68F2A255" w14:textId="7027F8B8" w:rsidR="00442B59" w:rsidRPr="00442B59" w:rsidRDefault="00442B59" w:rsidP="00442B59">
      <w:pPr>
        <w:pStyle w:val="EndNoteBibliography"/>
        <w:spacing w:after="0"/>
        <w:ind w:left="720" w:hanging="720"/>
      </w:pPr>
      <w:r w:rsidRPr="00442B59">
        <w:t xml:space="preserve">RIAHI, K., VAN VUUREN, D. P., KRIEGLER, E., EDMONDS, J., O’NEILL, B. C., FUJIMORI, S., BAUER, N., CALVIN, K., DELLINK, R. &amp; FRICKO, O. 2017. The shared socioeconomic pathways and their energy, land use, and greenhouse gas emissions implications: an overview. </w:t>
      </w:r>
      <w:r w:rsidRPr="00442B59">
        <w:rPr>
          <w:i/>
        </w:rPr>
        <w:t>Global Environmental Change,</w:t>
      </w:r>
      <w:r w:rsidRPr="00442B59">
        <w:t xml:space="preserve"> 42</w:t>
      </w:r>
      <w:r w:rsidRPr="00442B59">
        <w:rPr>
          <w:b/>
        </w:rPr>
        <w:t>,</w:t>
      </w:r>
      <w:r w:rsidRPr="00442B59">
        <w:t xml:space="preserve"> 153-168. </w:t>
      </w:r>
      <w:hyperlink r:id="rId42" w:history="1">
        <w:r w:rsidRPr="00442B59">
          <w:rPr>
            <w:rStyle w:val="Hyperlink"/>
          </w:rPr>
          <w:t>https://doi.org/10.1016/j.gloenvcha.2016.05.009</w:t>
        </w:r>
      </w:hyperlink>
    </w:p>
    <w:p w14:paraId="0A349C05" w14:textId="77777777" w:rsidR="00442B59" w:rsidRPr="00442B59" w:rsidRDefault="00442B59" w:rsidP="00442B59">
      <w:pPr>
        <w:pStyle w:val="EndNoteBibliography"/>
        <w:spacing w:after="0"/>
        <w:ind w:left="720" w:hanging="720"/>
      </w:pPr>
      <w:r w:rsidRPr="00442B59">
        <w:t>SACHS, J., KROLL, C., LAFORTUNE, G., FULLER, G. &amp; WOELM, F. 2021. The Decade of Action for the Sustainable Development Goals: Sustainable Development Report 2021. Cambridge: Cambridge University Press.</w:t>
      </w:r>
    </w:p>
    <w:p w14:paraId="67E0F214" w14:textId="77777777" w:rsidR="00442B59" w:rsidRPr="00442B59" w:rsidRDefault="00442B59" w:rsidP="00442B59">
      <w:pPr>
        <w:pStyle w:val="EndNoteBibliography"/>
        <w:spacing w:after="0"/>
        <w:ind w:left="720" w:hanging="720"/>
      </w:pPr>
      <w:r w:rsidRPr="00442B59">
        <w:lastRenderedPageBreak/>
        <w:t xml:space="preserve">SACHS, J., SCHMIDT-TRAUB, G., KROLL, C., DURAND-DELACRE, D. &amp; TEKSOZ, K. 2017. SDG Index and Dashboards Report 2017. </w:t>
      </w:r>
      <w:r w:rsidRPr="00442B59">
        <w:rPr>
          <w:i/>
        </w:rPr>
        <w:t>Bertelsmann Stiftung and Sustainable Development Solutions Network (SDSN): New York, NY, USA</w:t>
      </w:r>
      <w:r w:rsidRPr="00442B59">
        <w:t xml:space="preserve">. </w:t>
      </w:r>
    </w:p>
    <w:p w14:paraId="633F0C99" w14:textId="07ABAFDC" w:rsidR="00442B59" w:rsidRPr="00442B59" w:rsidRDefault="00442B59" w:rsidP="00442B59">
      <w:pPr>
        <w:pStyle w:val="EndNoteBibliography"/>
        <w:spacing w:after="0"/>
        <w:ind w:left="720" w:hanging="720"/>
      </w:pPr>
      <w:r w:rsidRPr="00442B59">
        <w:t xml:space="preserve">SCHMIDT-TRAUB, G., KROLL, C., TEKSOZ, K., DURAND-DELACRE, D. &amp; SACHS, J. D. 2017. National baselines for the Sustainable Development Goals assessed in the SDG Index and Dashboards. </w:t>
      </w:r>
      <w:r w:rsidRPr="00442B59">
        <w:rPr>
          <w:i/>
        </w:rPr>
        <w:t>Nature Geoscience,</w:t>
      </w:r>
      <w:r w:rsidRPr="00442B59">
        <w:t xml:space="preserve"> 10. </w:t>
      </w:r>
      <w:hyperlink r:id="rId43" w:history="1">
        <w:r w:rsidRPr="00442B59">
          <w:rPr>
            <w:rStyle w:val="Hyperlink"/>
          </w:rPr>
          <w:t>https://doi.org/10.1038/ngeo2985</w:t>
        </w:r>
      </w:hyperlink>
    </w:p>
    <w:p w14:paraId="5F0921FB" w14:textId="38BE881D" w:rsidR="00442B59" w:rsidRPr="00442B59" w:rsidRDefault="00442B59" w:rsidP="00442B59">
      <w:pPr>
        <w:pStyle w:val="EndNoteBibliography"/>
        <w:spacing w:after="0"/>
        <w:ind w:left="720" w:hanging="720"/>
      </w:pPr>
      <w:r w:rsidRPr="00442B59">
        <w:t xml:space="preserve">SHARPE, S. &amp; LENTON, T. M. 2021. Upward-scaling tipping cascades to meet climate goals: Plausible grounds for hope. </w:t>
      </w:r>
      <w:r w:rsidRPr="00442B59">
        <w:rPr>
          <w:i/>
        </w:rPr>
        <w:t>Climate Policy,</w:t>
      </w:r>
      <w:r w:rsidRPr="00442B59">
        <w:t xml:space="preserve"> 21</w:t>
      </w:r>
      <w:r w:rsidRPr="00442B59">
        <w:rPr>
          <w:b/>
        </w:rPr>
        <w:t>,</w:t>
      </w:r>
      <w:r w:rsidRPr="00442B59">
        <w:t xml:space="preserve"> 421-433. </w:t>
      </w:r>
      <w:hyperlink r:id="rId44" w:history="1">
        <w:r w:rsidRPr="00442B59">
          <w:rPr>
            <w:rStyle w:val="Hyperlink"/>
          </w:rPr>
          <w:t>https://doi.org/10.1080/14693062.2020.1870097</w:t>
        </w:r>
      </w:hyperlink>
    </w:p>
    <w:p w14:paraId="7D73ED2F" w14:textId="5585985D" w:rsidR="00442B59" w:rsidRPr="00442B59" w:rsidRDefault="00442B59" w:rsidP="00442B59">
      <w:pPr>
        <w:pStyle w:val="EndNoteBibliography"/>
        <w:spacing w:after="0"/>
        <w:ind w:left="720" w:hanging="720"/>
      </w:pPr>
      <w:r w:rsidRPr="00442B59">
        <w:t xml:space="preserve">SKULLESTAD, J. L., BOHNE, R. A. &amp; LOHNE, J. 2016. High-rise timber buildings as a climate change mitigation measure–A comparative LCA of structural system alternatives. </w:t>
      </w:r>
      <w:r w:rsidRPr="00442B59">
        <w:rPr>
          <w:i/>
        </w:rPr>
        <w:t>Energy Procedia,</w:t>
      </w:r>
      <w:r w:rsidRPr="00442B59">
        <w:t xml:space="preserve"> 96</w:t>
      </w:r>
      <w:r w:rsidRPr="00442B59">
        <w:rPr>
          <w:b/>
        </w:rPr>
        <w:t>,</w:t>
      </w:r>
      <w:r w:rsidRPr="00442B59">
        <w:t xml:space="preserve"> 112-123. </w:t>
      </w:r>
      <w:hyperlink r:id="rId45" w:history="1">
        <w:r w:rsidRPr="00442B59">
          <w:rPr>
            <w:rStyle w:val="Hyperlink"/>
          </w:rPr>
          <w:t>https://doi.org/10.1016/j.egypro.2016.09.112</w:t>
        </w:r>
      </w:hyperlink>
    </w:p>
    <w:p w14:paraId="4E7DFFBC" w14:textId="77777777" w:rsidR="00442B59" w:rsidRPr="00442B59" w:rsidRDefault="00442B59" w:rsidP="00442B59">
      <w:pPr>
        <w:pStyle w:val="EndNoteBibliography"/>
        <w:spacing w:after="0"/>
        <w:ind w:left="720" w:hanging="720"/>
      </w:pPr>
      <w:r w:rsidRPr="00442B59">
        <w:t>SOBELS, J., RICHARDSON, S., TURNER, G., MAUDE, A., TAN, Y., BEER, A. &amp; WEI, Z. 2010. Research into the Long-Term Physical Implications of Net Overseas Migration. Adelaide, Australia: ational Institute of Labour Studies, Flinders University School of the Environment, and CSIRO Sustainable Ecosystems.</w:t>
      </w:r>
    </w:p>
    <w:p w14:paraId="443A4095" w14:textId="46B84A7D" w:rsidR="00442B59" w:rsidRPr="00442B59" w:rsidRDefault="00442B59" w:rsidP="00442B59">
      <w:pPr>
        <w:pStyle w:val="EndNoteBibliography"/>
        <w:spacing w:after="0"/>
        <w:ind w:left="720" w:hanging="720"/>
      </w:pPr>
      <w:r w:rsidRPr="00442B59">
        <w:t xml:space="preserve">SUMMERS, D. M., BRYAN, B. A., NOLAN, M. &amp; HOBBS, T. J. 2015. The costs of reforestation: a spatial model of the costs of establishing environmental and carbon plantings. </w:t>
      </w:r>
      <w:r w:rsidRPr="00442B59">
        <w:rPr>
          <w:i/>
        </w:rPr>
        <w:t>Land Use Policy,</w:t>
      </w:r>
      <w:r w:rsidRPr="00442B59">
        <w:t xml:space="preserve"> 44</w:t>
      </w:r>
      <w:r w:rsidRPr="00442B59">
        <w:rPr>
          <w:b/>
        </w:rPr>
        <w:t>,</w:t>
      </w:r>
      <w:r w:rsidRPr="00442B59">
        <w:t xml:space="preserve"> 110-121. </w:t>
      </w:r>
      <w:hyperlink r:id="rId46" w:history="1">
        <w:r w:rsidRPr="00442B59">
          <w:rPr>
            <w:rStyle w:val="Hyperlink"/>
          </w:rPr>
          <w:t>https://doi.org/10.1016/j.landusepol.2014.12.002</w:t>
        </w:r>
      </w:hyperlink>
    </w:p>
    <w:p w14:paraId="79DD0A88" w14:textId="77777777" w:rsidR="00442B59" w:rsidRPr="00442B59" w:rsidRDefault="00442B59" w:rsidP="00442B59">
      <w:pPr>
        <w:pStyle w:val="EndNoteBibliography"/>
        <w:spacing w:after="0"/>
        <w:ind w:left="720" w:hanging="720"/>
      </w:pPr>
      <w:r w:rsidRPr="00442B59">
        <w:t>SYED, A., MELANIE, J., THORPE, S. &amp; PENNEY, K. 2010. Australian energy projections to 2029-30, ABARE research report 10.02, prepared for the Department of Resources, Energy and Tourism. Canberra: ABARES.</w:t>
      </w:r>
    </w:p>
    <w:p w14:paraId="3D46441D" w14:textId="77777777" w:rsidR="00442B59" w:rsidRPr="00442B59" w:rsidRDefault="00442B59" w:rsidP="00442B59">
      <w:pPr>
        <w:pStyle w:val="EndNoteBibliography"/>
        <w:spacing w:after="0"/>
        <w:ind w:left="720" w:hanging="720"/>
      </w:pPr>
      <w:r w:rsidRPr="00442B59">
        <w:t>THE CLIMATE INSTITUTE 2008. Australia's National Strategy for Energy Efficiency. Canberra: The Climate Institute.</w:t>
      </w:r>
    </w:p>
    <w:p w14:paraId="377053AD" w14:textId="77777777" w:rsidR="00442B59" w:rsidRPr="00442B59" w:rsidRDefault="00442B59" w:rsidP="00442B59">
      <w:pPr>
        <w:pStyle w:val="EndNoteBibliography"/>
        <w:spacing w:after="0"/>
        <w:ind w:left="720" w:hanging="720"/>
      </w:pPr>
      <w:r w:rsidRPr="00442B59">
        <w:t>TRANSPARENCY INTERNATIONAL 2016. Corruption Perception Index. Berlin: Transparency International.</w:t>
      </w:r>
    </w:p>
    <w:p w14:paraId="26E0C296" w14:textId="77777777" w:rsidR="00442B59" w:rsidRPr="00442B59" w:rsidRDefault="00442B59" w:rsidP="00442B59">
      <w:pPr>
        <w:pStyle w:val="EndNoteBibliography"/>
        <w:spacing w:after="0"/>
        <w:ind w:left="720" w:hanging="720"/>
      </w:pPr>
      <w:r w:rsidRPr="00442B59">
        <w:t xml:space="preserve">UNGA 2015. Transforming our world: the 2030 Agenda for Sustainable Development, outcome document of the United Nations summit for the adoption of the post-2015 agenda. </w:t>
      </w:r>
      <w:r w:rsidRPr="00442B59">
        <w:rPr>
          <w:i/>
        </w:rPr>
        <w:t>RES/A/70/L.1.</w:t>
      </w:r>
      <w:r w:rsidRPr="00442B59">
        <w:t xml:space="preserve"> New York: United Nations General Assembly.</w:t>
      </w:r>
    </w:p>
    <w:p w14:paraId="22CCB1A5" w14:textId="77777777" w:rsidR="00442B59" w:rsidRPr="00442B59" w:rsidRDefault="00442B59" w:rsidP="00442B59">
      <w:pPr>
        <w:pStyle w:val="EndNoteBibliography"/>
        <w:spacing w:after="0"/>
        <w:ind w:left="720" w:hanging="720"/>
      </w:pPr>
      <w:r w:rsidRPr="00442B59">
        <w:t>UNITED NATIONS 2015. Sendai Framework for Disaster Risk Reduction 2015-2030. New York: United Nations Office for Disaster Risk Reduction.</w:t>
      </w:r>
    </w:p>
    <w:p w14:paraId="060DEF22" w14:textId="77777777" w:rsidR="00442B59" w:rsidRPr="00442B59" w:rsidRDefault="00442B59" w:rsidP="00442B59">
      <w:pPr>
        <w:pStyle w:val="EndNoteBibliography"/>
        <w:spacing w:after="0"/>
        <w:ind w:left="720" w:hanging="720"/>
      </w:pPr>
      <w:r w:rsidRPr="00442B59">
        <w:t>UNITED NATIONS 2017. United Nations Strategic Plan for Forests 2017-2030. New York: United Nations.</w:t>
      </w:r>
    </w:p>
    <w:p w14:paraId="16B3B9AD" w14:textId="77777777" w:rsidR="00442B59" w:rsidRPr="00442B59" w:rsidRDefault="00442B59" w:rsidP="00442B59">
      <w:pPr>
        <w:pStyle w:val="EndNoteBibliography"/>
        <w:spacing w:after="0"/>
        <w:ind w:left="720" w:hanging="720"/>
      </w:pPr>
      <w:r w:rsidRPr="00442B59">
        <w:t>UNITED NATIONS 2018. United Nations Global SDG Database. New York: United Nations.</w:t>
      </w:r>
    </w:p>
    <w:p w14:paraId="3FC6097A" w14:textId="77777777" w:rsidR="00442B59" w:rsidRPr="00442B59" w:rsidRDefault="00442B59" w:rsidP="00442B59">
      <w:pPr>
        <w:pStyle w:val="EndNoteBibliography"/>
        <w:spacing w:after="0"/>
        <w:ind w:left="720" w:hanging="720"/>
      </w:pPr>
      <w:r w:rsidRPr="00442B59">
        <w:t>UNITED NATIONS CONVENTION ON BIOLOGICAL DIVERSITY 2010. Strategic Plan for Biodiversity 2011-2020. Montreal, Canada: United Nations.</w:t>
      </w:r>
    </w:p>
    <w:p w14:paraId="22A1C0C9" w14:textId="77777777" w:rsidR="00442B59" w:rsidRPr="00442B59" w:rsidRDefault="00442B59" w:rsidP="00442B59">
      <w:pPr>
        <w:pStyle w:val="EndNoteBibliography"/>
        <w:spacing w:after="0"/>
        <w:ind w:left="720" w:hanging="720"/>
      </w:pPr>
      <w:r w:rsidRPr="00442B59">
        <w:t>UNITED NATIONS DEVELOPMENT GROUP 2015. Mainstreaming the 2030 Agenda for Sustainable Development: Interim Reference Guide to UN Country Teams.</w:t>
      </w:r>
    </w:p>
    <w:p w14:paraId="2834AF25" w14:textId="78A3520C" w:rsidR="00442B59" w:rsidRPr="00442B59" w:rsidRDefault="00442B59" w:rsidP="00442B59">
      <w:pPr>
        <w:pStyle w:val="EndNoteBibliography"/>
        <w:spacing w:after="0"/>
        <w:ind w:left="720" w:hanging="720"/>
      </w:pPr>
      <w:r w:rsidRPr="00442B59">
        <w:t xml:space="preserve">WEBB, R., BAI, X., SMITH, M. S., COSTANZA, R., GRIGGS, D., MOGLIA, M., NEUMAN, M., NEWMAN, P., NEWTON, P. &amp; NORMAN, B. 2018. Sustainable urban systems: Co-design and framing for transformation. </w:t>
      </w:r>
      <w:r w:rsidRPr="00442B59">
        <w:rPr>
          <w:i/>
        </w:rPr>
        <w:t>Ambio,</w:t>
      </w:r>
      <w:r w:rsidRPr="00442B59">
        <w:t xml:space="preserve"> 47</w:t>
      </w:r>
      <w:r w:rsidRPr="00442B59">
        <w:rPr>
          <w:b/>
        </w:rPr>
        <w:t>,</w:t>
      </w:r>
      <w:r w:rsidRPr="00442B59">
        <w:t xml:space="preserve"> 57-77. </w:t>
      </w:r>
      <w:hyperlink r:id="rId47" w:history="1">
        <w:r w:rsidRPr="00442B59">
          <w:rPr>
            <w:rStyle w:val="Hyperlink"/>
          </w:rPr>
          <w:t>https://doi.org/10.1007/s13280-017-0934-6</w:t>
        </w:r>
      </w:hyperlink>
    </w:p>
    <w:p w14:paraId="30975363" w14:textId="77777777" w:rsidR="00442B59" w:rsidRPr="00442B59" w:rsidRDefault="00442B59" w:rsidP="00442B59">
      <w:pPr>
        <w:pStyle w:val="EndNoteBibliography"/>
        <w:spacing w:after="0"/>
        <w:ind w:left="720" w:hanging="720"/>
      </w:pPr>
      <w:r w:rsidRPr="00442B59">
        <w:t>WEST, J. &amp; LIEBER, M. 2018. Global Material Flows Database. Paris, France.</w:t>
      </w:r>
    </w:p>
    <w:p w14:paraId="3815B372" w14:textId="77777777" w:rsidR="00442B59" w:rsidRPr="00442B59" w:rsidRDefault="00442B59" w:rsidP="00442B59">
      <w:pPr>
        <w:pStyle w:val="EndNoteBibliography"/>
        <w:spacing w:after="0"/>
        <w:ind w:left="720" w:hanging="720"/>
      </w:pPr>
      <w:r w:rsidRPr="00442B59">
        <w:t>WHO 2005. WHO Air quality guidelines for particulate matter, ozone, nitrogen dioxide and sulfur dioxide. Switzerland: World Health Organisation.</w:t>
      </w:r>
    </w:p>
    <w:p w14:paraId="7FDDA196" w14:textId="77777777" w:rsidR="00442B59" w:rsidRPr="00442B59" w:rsidRDefault="00442B59" w:rsidP="00442B59">
      <w:pPr>
        <w:pStyle w:val="EndNoteBibliography"/>
        <w:spacing w:after="0"/>
        <w:ind w:left="720" w:hanging="720"/>
      </w:pPr>
      <w:r w:rsidRPr="00442B59">
        <w:t>WHO 2018. Global Health Estimates: Disease burden by Cause, Age, Sex, Country and Region. Switzerland: World Health Organisation.</w:t>
      </w:r>
    </w:p>
    <w:p w14:paraId="5E2FA309" w14:textId="77777777" w:rsidR="00442B59" w:rsidRPr="00442B59" w:rsidRDefault="00442B59" w:rsidP="00442B59">
      <w:pPr>
        <w:pStyle w:val="EndNoteBibliography"/>
        <w:spacing w:after="0"/>
        <w:ind w:left="720" w:hanging="720"/>
      </w:pPr>
      <w:r w:rsidRPr="00442B59">
        <w:t>WOOD SOLUTIONS 2017. Environmental Product Declarations. Melbourne: Forest and Wood Products Australia Ltd.</w:t>
      </w:r>
    </w:p>
    <w:p w14:paraId="7B7A763B" w14:textId="77777777" w:rsidR="00442B59" w:rsidRPr="00442B59" w:rsidRDefault="00442B59" w:rsidP="00442B59">
      <w:pPr>
        <w:pStyle w:val="EndNoteBibliography"/>
        <w:spacing w:after="0"/>
        <w:ind w:left="720" w:hanging="720"/>
      </w:pPr>
      <w:r w:rsidRPr="00442B59">
        <w:t>WORLD BANK 2022a. Climate Change Knowledge Portal: Mean Projections CMIP6. Washington World Bank.</w:t>
      </w:r>
    </w:p>
    <w:p w14:paraId="15DE646A" w14:textId="77777777" w:rsidR="00442B59" w:rsidRPr="00442B59" w:rsidRDefault="00442B59" w:rsidP="00442B59">
      <w:pPr>
        <w:pStyle w:val="EndNoteBibliography"/>
        <w:spacing w:after="0"/>
        <w:ind w:left="720" w:hanging="720"/>
      </w:pPr>
      <w:r w:rsidRPr="00442B59">
        <w:t>WORLD BANK 2022b. World Development Indicators DataBank. Washington, USA.</w:t>
      </w:r>
    </w:p>
    <w:p w14:paraId="1FD5BBDC" w14:textId="77777777" w:rsidR="00442B59" w:rsidRPr="00442B59" w:rsidRDefault="00442B59" w:rsidP="00442B59">
      <w:pPr>
        <w:pStyle w:val="EndNoteBibliography"/>
        <w:ind w:left="720" w:hanging="720"/>
      </w:pPr>
      <w:r w:rsidRPr="00442B59">
        <w:lastRenderedPageBreak/>
        <w:t>WORLD CLIMATE RESEARCH PROGRAMME 2022. CMIP Phase 6 (CMIP6). Geneva: World Meteorological Organisation.</w:t>
      </w:r>
    </w:p>
    <w:p w14:paraId="69B09CDA" w14:textId="2E7028B0" w:rsidR="002F7E74" w:rsidRPr="00670AFC" w:rsidRDefault="00A20B3F">
      <w:pPr>
        <w:rPr>
          <w:b/>
          <w:bCs/>
        </w:rPr>
      </w:pPr>
      <w:r>
        <w:rPr>
          <w:b/>
          <w:bCs/>
        </w:rPr>
        <w:fldChar w:fldCharType="end"/>
      </w:r>
    </w:p>
    <w:sectPr w:rsidR="002F7E74" w:rsidRPr="00670AF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B33BCF" w14:textId="77777777" w:rsidR="0023484D" w:rsidRDefault="0023484D" w:rsidP="002F7E74">
      <w:pPr>
        <w:spacing w:after="0" w:line="240" w:lineRule="auto"/>
      </w:pPr>
      <w:r>
        <w:separator/>
      </w:r>
    </w:p>
  </w:endnote>
  <w:endnote w:type="continuationSeparator" w:id="0">
    <w:p w14:paraId="4544141C" w14:textId="77777777" w:rsidR="0023484D" w:rsidRDefault="0023484D" w:rsidP="002F7E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Boreal Light">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B0CCFE" w14:textId="77777777" w:rsidR="0023484D" w:rsidRDefault="0023484D" w:rsidP="002F7E74">
      <w:pPr>
        <w:spacing w:after="0" w:line="240" w:lineRule="auto"/>
      </w:pPr>
      <w:r>
        <w:separator/>
      </w:r>
    </w:p>
  </w:footnote>
  <w:footnote w:type="continuationSeparator" w:id="0">
    <w:p w14:paraId="4491F4D4" w14:textId="77777777" w:rsidR="0023484D" w:rsidRDefault="0023484D" w:rsidP="002F7E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96FDF"/>
    <w:multiLevelType w:val="hybridMultilevel"/>
    <w:tmpl w:val="2A461422"/>
    <w:lvl w:ilvl="0" w:tplc="0C090003">
      <w:start w:val="1"/>
      <w:numFmt w:val="bullet"/>
      <w:lvlText w:val="o"/>
      <w:lvlJc w:val="left"/>
      <w:pPr>
        <w:ind w:left="360" w:hanging="360"/>
      </w:pPr>
      <w:rPr>
        <w:rFonts w:ascii="Courier New" w:hAnsi="Courier New" w:cs="Courier New"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1CF93E9A"/>
    <w:multiLevelType w:val="hybridMultilevel"/>
    <w:tmpl w:val="C03423C0"/>
    <w:lvl w:ilvl="0" w:tplc="0C090003">
      <w:start w:val="1"/>
      <w:numFmt w:val="bullet"/>
      <w:lvlText w:val="o"/>
      <w:lvlJc w:val="left"/>
      <w:pPr>
        <w:ind w:left="360" w:hanging="360"/>
      </w:pPr>
      <w:rPr>
        <w:rFonts w:ascii="Courier New" w:hAnsi="Courier New" w:cs="Courier New"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23703A85"/>
    <w:multiLevelType w:val="hybridMultilevel"/>
    <w:tmpl w:val="5DAC154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25B2640B"/>
    <w:multiLevelType w:val="hybridMultilevel"/>
    <w:tmpl w:val="E9B66E60"/>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28EB054B"/>
    <w:multiLevelType w:val="hybridMultilevel"/>
    <w:tmpl w:val="99B41814"/>
    <w:lvl w:ilvl="0" w:tplc="0C090003">
      <w:start w:val="1"/>
      <w:numFmt w:val="bullet"/>
      <w:lvlText w:val="o"/>
      <w:lvlJc w:val="left"/>
      <w:pPr>
        <w:ind w:left="360" w:hanging="360"/>
      </w:pPr>
      <w:rPr>
        <w:rFonts w:ascii="Courier New" w:hAnsi="Courier New" w:cs="Courier New"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38D757AA"/>
    <w:multiLevelType w:val="hybridMultilevel"/>
    <w:tmpl w:val="CEEA5FBC"/>
    <w:lvl w:ilvl="0" w:tplc="0C090003">
      <w:start w:val="1"/>
      <w:numFmt w:val="bullet"/>
      <w:lvlText w:val="o"/>
      <w:lvlJc w:val="left"/>
      <w:pPr>
        <w:ind w:left="360" w:hanging="360"/>
      </w:pPr>
      <w:rPr>
        <w:rFonts w:ascii="Courier New" w:hAnsi="Courier New" w:cs="Courier New"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4E7F30DB"/>
    <w:multiLevelType w:val="hybridMultilevel"/>
    <w:tmpl w:val="222EABD8"/>
    <w:lvl w:ilvl="0" w:tplc="0C090003">
      <w:start w:val="1"/>
      <w:numFmt w:val="bullet"/>
      <w:lvlText w:val="o"/>
      <w:lvlJc w:val="left"/>
      <w:pPr>
        <w:ind w:left="360" w:hanging="360"/>
      </w:pPr>
      <w:rPr>
        <w:rFonts w:ascii="Courier New" w:hAnsi="Courier New" w:cs="Courier New"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5A3F64E3"/>
    <w:multiLevelType w:val="hybridMultilevel"/>
    <w:tmpl w:val="EEBE864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69C32208"/>
    <w:multiLevelType w:val="hybridMultilevel"/>
    <w:tmpl w:val="83606B3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702620F2"/>
    <w:multiLevelType w:val="hybridMultilevel"/>
    <w:tmpl w:val="090A0D4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729310612">
    <w:abstractNumId w:val="7"/>
  </w:num>
  <w:num w:numId="2" w16cid:durableId="870654143">
    <w:abstractNumId w:val="9"/>
  </w:num>
  <w:num w:numId="3" w16cid:durableId="1817914481">
    <w:abstractNumId w:val="3"/>
  </w:num>
  <w:num w:numId="4" w16cid:durableId="718747421">
    <w:abstractNumId w:val="5"/>
  </w:num>
  <w:num w:numId="5" w16cid:durableId="93404867">
    <w:abstractNumId w:val="4"/>
  </w:num>
  <w:num w:numId="6" w16cid:durableId="1991397771">
    <w:abstractNumId w:val="0"/>
  </w:num>
  <w:num w:numId="7" w16cid:durableId="146212333">
    <w:abstractNumId w:val="6"/>
  </w:num>
  <w:num w:numId="8" w16cid:durableId="2059276651">
    <w:abstractNumId w:val="1"/>
  </w:num>
  <w:num w:numId="9" w16cid:durableId="2009820107">
    <w:abstractNumId w:val="2"/>
  </w:num>
  <w:num w:numId="10" w16cid:durableId="198011048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Harvard Copy_DOI&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vsrvaat7fadwtesfsrpw5w5t0x5v500ef25&quot;&gt;Big_Data_Lit&lt;record-ids&gt;&lt;item&gt;92&lt;/item&gt;&lt;item&gt;387&lt;/item&gt;&lt;item&gt;709&lt;/item&gt;&lt;item&gt;761&lt;/item&gt;&lt;item&gt;802&lt;/item&gt;&lt;item&gt;835&lt;/item&gt;&lt;item&gt;873&lt;/item&gt;&lt;item&gt;874&lt;/item&gt;&lt;item&gt;876&lt;/item&gt;&lt;item&gt;878&lt;/item&gt;&lt;item&gt;879&lt;/item&gt;&lt;item&gt;880&lt;/item&gt;&lt;item&gt;881&lt;/item&gt;&lt;item&gt;884&lt;/item&gt;&lt;item&gt;886&lt;/item&gt;&lt;item&gt;889&lt;/item&gt;&lt;item&gt;942&lt;/item&gt;&lt;item&gt;946&lt;/item&gt;&lt;item&gt;948&lt;/item&gt;&lt;item&gt;993&lt;/item&gt;&lt;item&gt;1033&lt;/item&gt;&lt;item&gt;1034&lt;/item&gt;&lt;item&gt;1035&lt;/item&gt;&lt;item&gt;1036&lt;/item&gt;&lt;item&gt;1037&lt;/item&gt;&lt;item&gt;1038&lt;/item&gt;&lt;item&gt;1039&lt;/item&gt;&lt;item&gt;1040&lt;/item&gt;&lt;item&gt;1042&lt;/item&gt;&lt;item&gt;1043&lt;/item&gt;&lt;item&gt;1044&lt;/item&gt;&lt;item&gt;1045&lt;/item&gt;&lt;item&gt;1046&lt;/item&gt;&lt;item&gt;1047&lt;/item&gt;&lt;item&gt;1048&lt;/item&gt;&lt;item&gt;1050&lt;/item&gt;&lt;item&gt;1051&lt;/item&gt;&lt;item&gt;1052&lt;/item&gt;&lt;item&gt;1053&lt;/item&gt;&lt;item&gt;1055&lt;/item&gt;&lt;item&gt;1056&lt;/item&gt;&lt;item&gt;1057&lt;/item&gt;&lt;item&gt;1060&lt;/item&gt;&lt;item&gt;1061&lt;/item&gt;&lt;item&gt;1062&lt;/item&gt;&lt;item&gt;1063&lt;/item&gt;&lt;item&gt;1064&lt;/item&gt;&lt;item&gt;1065&lt;/item&gt;&lt;item&gt;1066&lt;/item&gt;&lt;item&gt;1067&lt;/item&gt;&lt;item&gt;1068&lt;/item&gt;&lt;item&gt;1069&lt;/item&gt;&lt;item&gt;1070&lt;/item&gt;&lt;item&gt;1071&lt;/item&gt;&lt;item&gt;1072&lt;/item&gt;&lt;item&gt;1073&lt;/item&gt;&lt;item&gt;1075&lt;/item&gt;&lt;item&gt;1077&lt;/item&gt;&lt;item&gt;1078&lt;/item&gt;&lt;item&gt;1079&lt;/item&gt;&lt;item&gt;1080&lt;/item&gt;&lt;item&gt;1081&lt;/item&gt;&lt;item&gt;1084&lt;/item&gt;&lt;item&gt;1085&lt;/item&gt;&lt;item&gt;1086&lt;/item&gt;&lt;item&gt;1087&lt;/item&gt;&lt;item&gt;1088&lt;/item&gt;&lt;item&gt;1089&lt;/item&gt;&lt;item&gt;1090&lt;/item&gt;&lt;item&gt;1091&lt;/item&gt;&lt;item&gt;1092&lt;/item&gt;&lt;item&gt;1093&lt;/item&gt;&lt;item&gt;1094&lt;/item&gt;&lt;item&gt;1115&lt;/item&gt;&lt;item&gt;1117&lt;/item&gt;&lt;item&gt;1142&lt;/item&gt;&lt;item&gt;1213&lt;/item&gt;&lt;item&gt;1484&lt;/item&gt;&lt;item&gt;1486&lt;/item&gt;&lt;item&gt;1498&lt;/item&gt;&lt;item&gt;1500&lt;/item&gt;&lt;item&gt;1501&lt;/item&gt;&lt;item&gt;1505&lt;/item&gt;&lt;item&gt;1507&lt;/item&gt;&lt;item&gt;1508&lt;/item&gt;&lt;item&gt;1527&lt;/item&gt;&lt;item&gt;1713&lt;/item&gt;&lt;item&gt;1721&lt;/item&gt;&lt;item&gt;1776&lt;/item&gt;&lt;item&gt;1860&lt;/item&gt;&lt;item&gt;1882&lt;/item&gt;&lt;item&gt;1888&lt;/item&gt;&lt;item&gt;1977&lt;/item&gt;&lt;item&gt;1985&lt;/item&gt;&lt;item&gt;1991&lt;/item&gt;&lt;item&gt;1997&lt;/item&gt;&lt;item&gt;2210&lt;/item&gt;&lt;item&gt;2313&lt;/item&gt;&lt;item&gt;2617&lt;/item&gt;&lt;item&gt;2635&lt;/item&gt;&lt;item&gt;2655&lt;/item&gt;&lt;item&gt;2658&lt;/item&gt;&lt;item&gt;2661&lt;/item&gt;&lt;item&gt;2670&lt;/item&gt;&lt;item&gt;2671&lt;/item&gt;&lt;item&gt;2672&lt;/item&gt;&lt;item&gt;2673&lt;/item&gt;&lt;item&gt;2674&lt;/item&gt;&lt;item&gt;2675&lt;/item&gt;&lt;item&gt;2676&lt;/item&gt;&lt;item&gt;2677&lt;/item&gt;&lt;item&gt;2678&lt;/item&gt;&lt;item&gt;2679&lt;/item&gt;&lt;item&gt;2680&lt;/item&gt;&lt;item&gt;2681&lt;/item&gt;&lt;item&gt;2682&lt;/item&gt;&lt;item&gt;2683&lt;/item&gt;&lt;item&gt;2684&lt;/item&gt;&lt;item&gt;2686&lt;/item&gt;&lt;item&gt;2699&lt;/item&gt;&lt;item&gt;2700&lt;/item&gt;&lt;item&gt;2701&lt;/item&gt;&lt;item&gt;2702&lt;/item&gt;&lt;item&gt;2703&lt;/item&gt;&lt;item&gt;2707&lt;/item&gt;&lt;item&gt;2708&lt;/item&gt;&lt;item&gt;2709&lt;/item&gt;&lt;item&gt;2710&lt;/item&gt;&lt;item&gt;2714&lt;/item&gt;&lt;item&gt;2715&lt;/item&gt;&lt;item&gt;2716&lt;/item&gt;&lt;item&gt;2717&lt;/item&gt;&lt;item&gt;2718&lt;/item&gt;&lt;item&gt;2719&lt;/item&gt;&lt;item&gt;2720&lt;/item&gt;&lt;item&gt;2721&lt;/item&gt;&lt;item&gt;2722&lt;/item&gt;&lt;item&gt;2725&lt;/item&gt;&lt;/record-ids&gt;&lt;/item&gt;&lt;/Libraries&gt;"/>
  </w:docVars>
  <w:rsids>
    <w:rsidRoot w:val="00415F67"/>
    <w:rsid w:val="00001528"/>
    <w:rsid w:val="00001E21"/>
    <w:rsid w:val="0000302E"/>
    <w:rsid w:val="000061BB"/>
    <w:rsid w:val="0001156F"/>
    <w:rsid w:val="00024CD6"/>
    <w:rsid w:val="000253C6"/>
    <w:rsid w:val="00025EA3"/>
    <w:rsid w:val="00027C43"/>
    <w:rsid w:val="00031102"/>
    <w:rsid w:val="00032ADF"/>
    <w:rsid w:val="000349AA"/>
    <w:rsid w:val="00034AFB"/>
    <w:rsid w:val="000359E5"/>
    <w:rsid w:val="00063DC3"/>
    <w:rsid w:val="00065918"/>
    <w:rsid w:val="00070273"/>
    <w:rsid w:val="000736BB"/>
    <w:rsid w:val="00081763"/>
    <w:rsid w:val="00086FEE"/>
    <w:rsid w:val="000944F0"/>
    <w:rsid w:val="000A29B9"/>
    <w:rsid w:val="000A5205"/>
    <w:rsid w:val="000A5F6C"/>
    <w:rsid w:val="000B02CF"/>
    <w:rsid w:val="000B3665"/>
    <w:rsid w:val="000B3A99"/>
    <w:rsid w:val="000B5140"/>
    <w:rsid w:val="000B7271"/>
    <w:rsid w:val="000D2349"/>
    <w:rsid w:val="000D2A29"/>
    <w:rsid w:val="000D5938"/>
    <w:rsid w:val="000D6A74"/>
    <w:rsid w:val="000E4465"/>
    <w:rsid w:val="000E719F"/>
    <w:rsid w:val="000F0064"/>
    <w:rsid w:val="000F19B8"/>
    <w:rsid w:val="000F312A"/>
    <w:rsid w:val="000F5E1D"/>
    <w:rsid w:val="000F7DB0"/>
    <w:rsid w:val="00100515"/>
    <w:rsid w:val="00132CD7"/>
    <w:rsid w:val="001342BE"/>
    <w:rsid w:val="0013459B"/>
    <w:rsid w:val="00134829"/>
    <w:rsid w:val="00136899"/>
    <w:rsid w:val="00136F0C"/>
    <w:rsid w:val="001445E4"/>
    <w:rsid w:val="00154EB0"/>
    <w:rsid w:val="00155A74"/>
    <w:rsid w:val="00157A99"/>
    <w:rsid w:val="001650D4"/>
    <w:rsid w:val="001768A7"/>
    <w:rsid w:val="00180E0D"/>
    <w:rsid w:val="00181E22"/>
    <w:rsid w:val="00184F00"/>
    <w:rsid w:val="00187E30"/>
    <w:rsid w:val="00193533"/>
    <w:rsid w:val="00193697"/>
    <w:rsid w:val="0019389B"/>
    <w:rsid w:val="00196D3F"/>
    <w:rsid w:val="001977D7"/>
    <w:rsid w:val="001A5BC2"/>
    <w:rsid w:val="001A7EC7"/>
    <w:rsid w:val="001B0DF2"/>
    <w:rsid w:val="001B62FE"/>
    <w:rsid w:val="001B77C2"/>
    <w:rsid w:val="001C4AB7"/>
    <w:rsid w:val="001C51EA"/>
    <w:rsid w:val="001D1DE4"/>
    <w:rsid w:val="001D2D1E"/>
    <w:rsid w:val="001D47AB"/>
    <w:rsid w:val="001D48CB"/>
    <w:rsid w:val="001E0BA0"/>
    <w:rsid w:val="001E0CF0"/>
    <w:rsid w:val="001E163D"/>
    <w:rsid w:val="001E4805"/>
    <w:rsid w:val="001E4C7E"/>
    <w:rsid w:val="00213E3A"/>
    <w:rsid w:val="00230826"/>
    <w:rsid w:val="002308D5"/>
    <w:rsid w:val="002308F1"/>
    <w:rsid w:val="002323EC"/>
    <w:rsid w:val="0023484D"/>
    <w:rsid w:val="002351B4"/>
    <w:rsid w:val="00240E96"/>
    <w:rsid w:val="00244F26"/>
    <w:rsid w:val="00246192"/>
    <w:rsid w:val="0025670D"/>
    <w:rsid w:val="0026458D"/>
    <w:rsid w:val="0027224A"/>
    <w:rsid w:val="00272B57"/>
    <w:rsid w:val="00284307"/>
    <w:rsid w:val="0028693C"/>
    <w:rsid w:val="00286DC5"/>
    <w:rsid w:val="00291EE3"/>
    <w:rsid w:val="00294E74"/>
    <w:rsid w:val="00297F21"/>
    <w:rsid w:val="002A2F12"/>
    <w:rsid w:val="002B199F"/>
    <w:rsid w:val="002B6020"/>
    <w:rsid w:val="002B6B0E"/>
    <w:rsid w:val="002D01B0"/>
    <w:rsid w:val="002D17A6"/>
    <w:rsid w:val="002D6038"/>
    <w:rsid w:val="002F56AA"/>
    <w:rsid w:val="002F5E7F"/>
    <w:rsid w:val="002F79D4"/>
    <w:rsid w:val="002F7E74"/>
    <w:rsid w:val="00301613"/>
    <w:rsid w:val="00325D67"/>
    <w:rsid w:val="00326457"/>
    <w:rsid w:val="00326B2E"/>
    <w:rsid w:val="0033080D"/>
    <w:rsid w:val="003324A8"/>
    <w:rsid w:val="00333A4D"/>
    <w:rsid w:val="00342A8F"/>
    <w:rsid w:val="00346AEF"/>
    <w:rsid w:val="00347F25"/>
    <w:rsid w:val="00356456"/>
    <w:rsid w:val="00362CF0"/>
    <w:rsid w:val="00364EEF"/>
    <w:rsid w:val="00373DAE"/>
    <w:rsid w:val="00374739"/>
    <w:rsid w:val="00375ECA"/>
    <w:rsid w:val="00376A61"/>
    <w:rsid w:val="00382AEF"/>
    <w:rsid w:val="0039456B"/>
    <w:rsid w:val="00394860"/>
    <w:rsid w:val="00394A3D"/>
    <w:rsid w:val="003A13E9"/>
    <w:rsid w:val="003A1960"/>
    <w:rsid w:val="003A3134"/>
    <w:rsid w:val="003A3682"/>
    <w:rsid w:val="003A53F2"/>
    <w:rsid w:val="003B45E8"/>
    <w:rsid w:val="003B6EEF"/>
    <w:rsid w:val="003C2995"/>
    <w:rsid w:val="003C60DF"/>
    <w:rsid w:val="003D2DB6"/>
    <w:rsid w:val="003D497A"/>
    <w:rsid w:val="003D5050"/>
    <w:rsid w:val="003D6FB9"/>
    <w:rsid w:val="003D7A86"/>
    <w:rsid w:val="003E0913"/>
    <w:rsid w:val="003E1AEE"/>
    <w:rsid w:val="003E623A"/>
    <w:rsid w:val="003E67A4"/>
    <w:rsid w:val="003E6C54"/>
    <w:rsid w:val="003F2883"/>
    <w:rsid w:val="003F50A4"/>
    <w:rsid w:val="003F60B8"/>
    <w:rsid w:val="00406346"/>
    <w:rsid w:val="004127CE"/>
    <w:rsid w:val="00413136"/>
    <w:rsid w:val="0041397F"/>
    <w:rsid w:val="00414864"/>
    <w:rsid w:val="00415F67"/>
    <w:rsid w:val="00417B0B"/>
    <w:rsid w:val="004224F6"/>
    <w:rsid w:val="00422DCD"/>
    <w:rsid w:val="004248EB"/>
    <w:rsid w:val="00440A0D"/>
    <w:rsid w:val="00442B59"/>
    <w:rsid w:val="00451AF1"/>
    <w:rsid w:val="0046330D"/>
    <w:rsid w:val="00464FF9"/>
    <w:rsid w:val="00472081"/>
    <w:rsid w:val="00473EF3"/>
    <w:rsid w:val="00475D52"/>
    <w:rsid w:val="00477588"/>
    <w:rsid w:val="004806DC"/>
    <w:rsid w:val="00496BD0"/>
    <w:rsid w:val="004979D8"/>
    <w:rsid w:val="004A4106"/>
    <w:rsid w:val="004B13E8"/>
    <w:rsid w:val="004B47B2"/>
    <w:rsid w:val="004B5178"/>
    <w:rsid w:val="004C0BB7"/>
    <w:rsid w:val="004C3AC9"/>
    <w:rsid w:val="004C3CEB"/>
    <w:rsid w:val="004C6AB1"/>
    <w:rsid w:val="004D063D"/>
    <w:rsid w:val="004D4EE5"/>
    <w:rsid w:val="004D5081"/>
    <w:rsid w:val="004E1D59"/>
    <w:rsid w:val="004E6823"/>
    <w:rsid w:val="0050247E"/>
    <w:rsid w:val="005059B4"/>
    <w:rsid w:val="0052056D"/>
    <w:rsid w:val="00520A62"/>
    <w:rsid w:val="00520F53"/>
    <w:rsid w:val="00531B0B"/>
    <w:rsid w:val="005443BB"/>
    <w:rsid w:val="00544DA6"/>
    <w:rsid w:val="00553A06"/>
    <w:rsid w:val="0055515D"/>
    <w:rsid w:val="005633F9"/>
    <w:rsid w:val="005705E8"/>
    <w:rsid w:val="0057188E"/>
    <w:rsid w:val="0057612C"/>
    <w:rsid w:val="00580D14"/>
    <w:rsid w:val="00581C62"/>
    <w:rsid w:val="0058780C"/>
    <w:rsid w:val="00595339"/>
    <w:rsid w:val="005976C9"/>
    <w:rsid w:val="00597E42"/>
    <w:rsid w:val="005A3949"/>
    <w:rsid w:val="005A430A"/>
    <w:rsid w:val="005A5DD8"/>
    <w:rsid w:val="005B0821"/>
    <w:rsid w:val="005B2A46"/>
    <w:rsid w:val="005B5F3C"/>
    <w:rsid w:val="005C7440"/>
    <w:rsid w:val="005D4307"/>
    <w:rsid w:val="005E5CE4"/>
    <w:rsid w:val="005E6C26"/>
    <w:rsid w:val="006125C1"/>
    <w:rsid w:val="00617F70"/>
    <w:rsid w:val="00621FD4"/>
    <w:rsid w:val="00635AE7"/>
    <w:rsid w:val="006408D8"/>
    <w:rsid w:val="006516BB"/>
    <w:rsid w:val="00652B77"/>
    <w:rsid w:val="00653F04"/>
    <w:rsid w:val="006567E6"/>
    <w:rsid w:val="00660432"/>
    <w:rsid w:val="00663035"/>
    <w:rsid w:val="0066335F"/>
    <w:rsid w:val="00663BD4"/>
    <w:rsid w:val="00670AFC"/>
    <w:rsid w:val="00670D00"/>
    <w:rsid w:val="006809EB"/>
    <w:rsid w:val="00680E84"/>
    <w:rsid w:val="00681D04"/>
    <w:rsid w:val="006826E4"/>
    <w:rsid w:val="00695152"/>
    <w:rsid w:val="006A7F33"/>
    <w:rsid w:val="006B083C"/>
    <w:rsid w:val="006B4377"/>
    <w:rsid w:val="006B5CFE"/>
    <w:rsid w:val="006C17A5"/>
    <w:rsid w:val="006C3EC8"/>
    <w:rsid w:val="006C5257"/>
    <w:rsid w:val="006C5BAD"/>
    <w:rsid w:val="006C5BF1"/>
    <w:rsid w:val="006E0584"/>
    <w:rsid w:val="006E27EC"/>
    <w:rsid w:val="006E5AEA"/>
    <w:rsid w:val="006E783D"/>
    <w:rsid w:val="006E7B05"/>
    <w:rsid w:val="006F6B32"/>
    <w:rsid w:val="006F7E69"/>
    <w:rsid w:val="00701664"/>
    <w:rsid w:val="007105CE"/>
    <w:rsid w:val="00714D91"/>
    <w:rsid w:val="007165E5"/>
    <w:rsid w:val="00717AB6"/>
    <w:rsid w:val="00721C8E"/>
    <w:rsid w:val="00725431"/>
    <w:rsid w:val="007337C1"/>
    <w:rsid w:val="007347D3"/>
    <w:rsid w:val="00743909"/>
    <w:rsid w:val="00747129"/>
    <w:rsid w:val="0075300C"/>
    <w:rsid w:val="007700B7"/>
    <w:rsid w:val="00770425"/>
    <w:rsid w:val="007913F7"/>
    <w:rsid w:val="007A2359"/>
    <w:rsid w:val="007B7EC9"/>
    <w:rsid w:val="007C0F88"/>
    <w:rsid w:val="007C1033"/>
    <w:rsid w:val="007D41C1"/>
    <w:rsid w:val="007D4DA5"/>
    <w:rsid w:val="007E5E6C"/>
    <w:rsid w:val="007E63DC"/>
    <w:rsid w:val="007F065F"/>
    <w:rsid w:val="007F7C50"/>
    <w:rsid w:val="00805818"/>
    <w:rsid w:val="00811B71"/>
    <w:rsid w:val="008169A9"/>
    <w:rsid w:val="008178CA"/>
    <w:rsid w:val="0082145A"/>
    <w:rsid w:val="008238FD"/>
    <w:rsid w:val="00824B13"/>
    <w:rsid w:val="00831110"/>
    <w:rsid w:val="008337FD"/>
    <w:rsid w:val="00837115"/>
    <w:rsid w:val="00840E64"/>
    <w:rsid w:val="0084134D"/>
    <w:rsid w:val="008418DD"/>
    <w:rsid w:val="00842896"/>
    <w:rsid w:val="00842B6B"/>
    <w:rsid w:val="00842FDE"/>
    <w:rsid w:val="008470E9"/>
    <w:rsid w:val="00847801"/>
    <w:rsid w:val="008543AE"/>
    <w:rsid w:val="00864A80"/>
    <w:rsid w:val="008655EB"/>
    <w:rsid w:val="00880526"/>
    <w:rsid w:val="008941D4"/>
    <w:rsid w:val="00895199"/>
    <w:rsid w:val="008A0085"/>
    <w:rsid w:val="008A43A2"/>
    <w:rsid w:val="008A65AA"/>
    <w:rsid w:val="008B2A98"/>
    <w:rsid w:val="008B642F"/>
    <w:rsid w:val="008B671A"/>
    <w:rsid w:val="008C020A"/>
    <w:rsid w:val="008C21A0"/>
    <w:rsid w:val="008D0F93"/>
    <w:rsid w:val="008D1D1B"/>
    <w:rsid w:val="008D4C9F"/>
    <w:rsid w:val="008E053B"/>
    <w:rsid w:val="008E214A"/>
    <w:rsid w:val="008E2F7C"/>
    <w:rsid w:val="00902C3E"/>
    <w:rsid w:val="00914643"/>
    <w:rsid w:val="00914E7F"/>
    <w:rsid w:val="00922704"/>
    <w:rsid w:val="00924021"/>
    <w:rsid w:val="009253B7"/>
    <w:rsid w:val="0092767C"/>
    <w:rsid w:val="009337D0"/>
    <w:rsid w:val="00940149"/>
    <w:rsid w:val="00941081"/>
    <w:rsid w:val="00941343"/>
    <w:rsid w:val="009468D7"/>
    <w:rsid w:val="009502D4"/>
    <w:rsid w:val="00954C41"/>
    <w:rsid w:val="00963BBD"/>
    <w:rsid w:val="009666E6"/>
    <w:rsid w:val="00966993"/>
    <w:rsid w:val="009745B1"/>
    <w:rsid w:val="00975375"/>
    <w:rsid w:val="00983D02"/>
    <w:rsid w:val="00986255"/>
    <w:rsid w:val="009A3AE0"/>
    <w:rsid w:val="009A6350"/>
    <w:rsid w:val="009B5A1A"/>
    <w:rsid w:val="009C1924"/>
    <w:rsid w:val="009C729F"/>
    <w:rsid w:val="009D026F"/>
    <w:rsid w:val="009D2990"/>
    <w:rsid w:val="009D4E83"/>
    <w:rsid w:val="009D5488"/>
    <w:rsid w:val="009E31C1"/>
    <w:rsid w:val="009E35EC"/>
    <w:rsid w:val="009E381D"/>
    <w:rsid w:val="009E5C83"/>
    <w:rsid w:val="009F0972"/>
    <w:rsid w:val="009F3DA8"/>
    <w:rsid w:val="00A0033C"/>
    <w:rsid w:val="00A05BBF"/>
    <w:rsid w:val="00A14F71"/>
    <w:rsid w:val="00A15730"/>
    <w:rsid w:val="00A20B3F"/>
    <w:rsid w:val="00A214DD"/>
    <w:rsid w:val="00A23402"/>
    <w:rsid w:val="00A24C66"/>
    <w:rsid w:val="00A31F27"/>
    <w:rsid w:val="00A50449"/>
    <w:rsid w:val="00A509CD"/>
    <w:rsid w:val="00A52AFF"/>
    <w:rsid w:val="00A60AB5"/>
    <w:rsid w:val="00A62FBC"/>
    <w:rsid w:val="00A65D88"/>
    <w:rsid w:val="00A7265B"/>
    <w:rsid w:val="00A7750A"/>
    <w:rsid w:val="00A77C78"/>
    <w:rsid w:val="00A8514C"/>
    <w:rsid w:val="00A9130F"/>
    <w:rsid w:val="00A955AE"/>
    <w:rsid w:val="00A96876"/>
    <w:rsid w:val="00AA1F5C"/>
    <w:rsid w:val="00AA48C4"/>
    <w:rsid w:val="00AB4EAD"/>
    <w:rsid w:val="00AC51FD"/>
    <w:rsid w:val="00AE52E6"/>
    <w:rsid w:val="00AF1757"/>
    <w:rsid w:val="00AF336E"/>
    <w:rsid w:val="00AF3987"/>
    <w:rsid w:val="00AF43A0"/>
    <w:rsid w:val="00AF6556"/>
    <w:rsid w:val="00B0014B"/>
    <w:rsid w:val="00B0156C"/>
    <w:rsid w:val="00B016AC"/>
    <w:rsid w:val="00B0317A"/>
    <w:rsid w:val="00B21EFD"/>
    <w:rsid w:val="00B2267D"/>
    <w:rsid w:val="00B2267F"/>
    <w:rsid w:val="00B249B5"/>
    <w:rsid w:val="00B4205B"/>
    <w:rsid w:val="00B44912"/>
    <w:rsid w:val="00B60311"/>
    <w:rsid w:val="00B61430"/>
    <w:rsid w:val="00B71D27"/>
    <w:rsid w:val="00B84286"/>
    <w:rsid w:val="00B85091"/>
    <w:rsid w:val="00BB2989"/>
    <w:rsid w:val="00BB4C61"/>
    <w:rsid w:val="00BB643F"/>
    <w:rsid w:val="00BC3563"/>
    <w:rsid w:val="00BC6F97"/>
    <w:rsid w:val="00BF1B60"/>
    <w:rsid w:val="00BF385F"/>
    <w:rsid w:val="00BF4B86"/>
    <w:rsid w:val="00BF638B"/>
    <w:rsid w:val="00BF6B87"/>
    <w:rsid w:val="00BF6D1B"/>
    <w:rsid w:val="00C0367D"/>
    <w:rsid w:val="00C20796"/>
    <w:rsid w:val="00C211DA"/>
    <w:rsid w:val="00C27115"/>
    <w:rsid w:val="00C34617"/>
    <w:rsid w:val="00C41CCB"/>
    <w:rsid w:val="00C41D0A"/>
    <w:rsid w:val="00C470A5"/>
    <w:rsid w:val="00C510A8"/>
    <w:rsid w:val="00C53B84"/>
    <w:rsid w:val="00C576D2"/>
    <w:rsid w:val="00C57935"/>
    <w:rsid w:val="00C62558"/>
    <w:rsid w:val="00C71914"/>
    <w:rsid w:val="00C81BCE"/>
    <w:rsid w:val="00C877E1"/>
    <w:rsid w:val="00C91A40"/>
    <w:rsid w:val="00C93C2A"/>
    <w:rsid w:val="00C97ED4"/>
    <w:rsid w:val="00CA0D99"/>
    <w:rsid w:val="00CA1514"/>
    <w:rsid w:val="00CA16A2"/>
    <w:rsid w:val="00CA2662"/>
    <w:rsid w:val="00CB2032"/>
    <w:rsid w:val="00CB32CB"/>
    <w:rsid w:val="00CB4BEF"/>
    <w:rsid w:val="00CB5CB8"/>
    <w:rsid w:val="00CB7AFC"/>
    <w:rsid w:val="00CC0368"/>
    <w:rsid w:val="00CC0FC0"/>
    <w:rsid w:val="00CC1A9E"/>
    <w:rsid w:val="00CC1F96"/>
    <w:rsid w:val="00CC6606"/>
    <w:rsid w:val="00CE146D"/>
    <w:rsid w:val="00CE3762"/>
    <w:rsid w:val="00CE39BE"/>
    <w:rsid w:val="00CE5E9F"/>
    <w:rsid w:val="00CE6E00"/>
    <w:rsid w:val="00CF5482"/>
    <w:rsid w:val="00CF5BB6"/>
    <w:rsid w:val="00D03B7E"/>
    <w:rsid w:val="00D05AFB"/>
    <w:rsid w:val="00D06459"/>
    <w:rsid w:val="00D103D4"/>
    <w:rsid w:val="00D26711"/>
    <w:rsid w:val="00D32E4C"/>
    <w:rsid w:val="00D33EF0"/>
    <w:rsid w:val="00D34C42"/>
    <w:rsid w:val="00D4031A"/>
    <w:rsid w:val="00D42E3A"/>
    <w:rsid w:val="00D44BBE"/>
    <w:rsid w:val="00D455B5"/>
    <w:rsid w:val="00D47473"/>
    <w:rsid w:val="00D6639E"/>
    <w:rsid w:val="00D70907"/>
    <w:rsid w:val="00D73F00"/>
    <w:rsid w:val="00D816F9"/>
    <w:rsid w:val="00D874D5"/>
    <w:rsid w:val="00D87E00"/>
    <w:rsid w:val="00D93665"/>
    <w:rsid w:val="00DA2B53"/>
    <w:rsid w:val="00DB3DF7"/>
    <w:rsid w:val="00DB495E"/>
    <w:rsid w:val="00DC1C13"/>
    <w:rsid w:val="00DC27C6"/>
    <w:rsid w:val="00DC6B79"/>
    <w:rsid w:val="00DC747F"/>
    <w:rsid w:val="00DD6073"/>
    <w:rsid w:val="00DD6450"/>
    <w:rsid w:val="00DE24BC"/>
    <w:rsid w:val="00DE2F0C"/>
    <w:rsid w:val="00DE64CF"/>
    <w:rsid w:val="00DF2765"/>
    <w:rsid w:val="00E00345"/>
    <w:rsid w:val="00E15D6B"/>
    <w:rsid w:val="00E23927"/>
    <w:rsid w:val="00E2478A"/>
    <w:rsid w:val="00E306ED"/>
    <w:rsid w:val="00E30A1E"/>
    <w:rsid w:val="00E352F7"/>
    <w:rsid w:val="00E44086"/>
    <w:rsid w:val="00E44A94"/>
    <w:rsid w:val="00E54BE6"/>
    <w:rsid w:val="00E65623"/>
    <w:rsid w:val="00E6580E"/>
    <w:rsid w:val="00E843FF"/>
    <w:rsid w:val="00E84D1C"/>
    <w:rsid w:val="00E85444"/>
    <w:rsid w:val="00E909E9"/>
    <w:rsid w:val="00E96319"/>
    <w:rsid w:val="00E97663"/>
    <w:rsid w:val="00EA0572"/>
    <w:rsid w:val="00EA3AA1"/>
    <w:rsid w:val="00EA458E"/>
    <w:rsid w:val="00EB0668"/>
    <w:rsid w:val="00EB6101"/>
    <w:rsid w:val="00EB649D"/>
    <w:rsid w:val="00EB6C4B"/>
    <w:rsid w:val="00EC0E93"/>
    <w:rsid w:val="00EC1EF1"/>
    <w:rsid w:val="00EC4726"/>
    <w:rsid w:val="00ED2F4C"/>
    <w:rsid w:val="00F015A8"/>
    <w:rsid w:val="00F03E4A"/>
    <w:rsid w:val="00F06E2B"/>
    <w:rsid w:val="00F17C21"/>
    <w:rsid w:val="00F23589"/>
    <w:rsid w:val="00F2579D"/>
    <w:rsid w:val="00F266EE"/>
    <w:rsid w:val="00F26840"/>
    <w:rsid w:val="00F26B14"/>
    <w:rsid w:val="00F32D57"/>
    <w:rsid w:val="00F33B75"/>
    <w:rsid w:val="00F435B5"/>
    <w:rsid w:val="00F55178"/>
    <w:rsid w:val="00F56F71"/>
    <w:rsid w:val="00F60DB5"/>
    <w:rsid w:val="00F71A5C"/>
    <w:rsid w:val="00F76BF8"/>
    <w:rsid w:val="00F84F5B"/>
    <w:rsid w:val="00F95914"/>
    <w:rsid w:val="00FA2BB6"/>
    <w:rsid w:val="00FA555A"/>
    <w:rsid w:val="00FB3BEF"/>
    <w:rsid w:val="00FB5A1B"/>
    <w:rsid w:val="00FB7967"/>
    <w:rsid w:val="00FC2A52"/>
    <w:rsid w:val="00FC5E9F"/>
    <w:rsid w:val="00FD55A5"/>
    <w:rsid w:val="00FD68D0"/>
    <w:rsid w:val="00FD754D"/>
    <w:rsid w:val="00FE2390"/>
    <w:rsid w:val="00FE33C6"/>
    <w:rsid w:val="00FE6355"/>
    <w:rsid w:val="00FF2A90"/>
    <w:rsid w:val="00FF37A1"/>
    <w:rsid w:val="00FF510F"/>
    <w:rsid w:val="00FF51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6CC822"/>
  <w15:chartTrackingRefBased/>
  <w15:docId w15:val="{70952EFE-4678-4193-A6B3-9886EB3AC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78CA"/>
    <w:pPr>
      <w:keepNext/>
      <w:keepLines/>
      <w:spacing w:before="240" w:after="0"/>
      <w:outlineLvl w:val="0"/>
    </w:pPr>
    <w:rPr>
      <w:rFonts w:asciiTheme="majorHAnsi" w:eastAsiaTheme="majorEastAsia" w:hAnsiTheme="majorHAnsi" w:cstheme="majorBidi"/>
      <w:color w:val="2F5496" w:themeColor="accent1" w:themeShade="BF"/>
      <w:sz w:val="32"/>
      <w:szCs w:val="32"/>
      <w:lang w:val="en-GB"/>
    </w:rPr>
  </w:style>
  <w:style w:type="paragraph" w:styleId="Heading2">
    <w:name w:val="heading 2"/>
    <w:basedOn w:val="Normal"/>
    <w:next w:val="Normal"/>
    <w:link w:val="Heading2Char"/>
    <w:uiPriority w:val="9"/>
    <w:qFormat/>
    <w:rsid w:val="00BB2989"/>
    <w:pPr>
      <w:spacing w:before="240" w:after="240" w:line="340" w:lineRule="atLeast"/>
      <w:jc w:val="both"/>
      <w:outlineLvl w:val="1"/>
    </w:pPr>
    <w:rPr>
      <w:rFonts w:ascii="Arial" w:eastAsia="Times New Roman" w:hAnsi="Arial" w:cs="Times New Roman"/>
      <w:b/>
      <w:color w:val="000000"/>
      <w:sz w:val="24"/>
      <w:szCs w:val="20"/>
      <w:lang w:val="en-US" w:eastAsia="de-DE"/>
    </w:rPr>
  </w:style>
  <w:style w:type="paragraph" w:styleId="Heading3">
    <w:name w:val="heading 3"/>
    <w:basedOn w:val="Normal"/>
    <w:next w:val="Normal"/>
    <w:link w:val="Heading3Char"/>
    <w:uiPriority w:val="9"/>
    <w:unhideWhenUsed/>
    <w:qFormat/>
    <w:rsid w:val="008178CA"/>
    <w:pPr>
      <w:keepNext/>
      <w:keepLines/>
      <w:spacing w:before="40" w:after="0"/>
      <w:outlineLvl w:val="2"/>
    </w:pPr>
    <w:rPr>
      <w:rFonts w:asciiTheme="majorHAnsi" w:eastAsiaTheme="majorEastAsia" w:hAnsiTheme="majorHAnsi" w:cstheme="majorBidi"/>
      <w:color w:val="1F3763" w:themeColor="accent1" w:themeShade="7F"/>
      <w:sz w:val="24"/>
      <w:szCs w:val="24"/>
      <w:lang w:val="en-GB"/>
    </w:rPr>
  </w:style>
  <w:style w:type="paragraph" w:styleId="Heading4">
    <w:name w:val="heading 4"/>
    <w:basedOn w:val="Normal"/>
    <w:next w:val="Normal"/>
    <w:link w:val="Heading4Char"/>
    <w:uiPriority w:val="9"/>
    <w:unhideWhenUsed/>
    <w:qFormat/>
    <w:rsid w:val="008178CA"/>
    <w:pPr>
      <w:keepNext/>
      <w:keepLines/>
      <w:spacing w:before="40" w:after="0"/>
      <w:outlineLvl w:val="3"/>
    </w:pPr>
    <w:rPr>
      <w:rFonts w:asciiTheme="majorHAnsi" w:eastAsiaTheme="majorEastAsia" w:hAnsiTheme="majorHAnsi" w:cstheme="majorBidi"/>
      <w:i/>
      <w:iCs/>
      <w:color w:val="2F5496" w:themeColor="accent1" w:themeShade="BF"/>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B2989"/>
    <w:rPr>
      <w:rFonts w:ascii="Arial" w:eastAsia="Times New Roman" w:hAnsi="Arial" w:cs="Times New Roman"/>
      <w:b/>
      <w:color w:val="000000"/>
      <w:sz w:val="24"/>
      <w:szCs w:val="20"/>
      <w:lang w:val="en-US" w:eastAsia="de-DE"/>
    </w:rPr>
  </w:style>
  <w:style w:type="paragraph" w:styleId="Header">
    <w:name w:val="header"/>
    <w:basedOn w:val="Normal"/>
    <w:link w:val="HeaderChar"/>
    <w:uiPriority w:val="99"/>
    <w:unhideWhenUsed/>
    <w:rsid w:val="002F7E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7E74"/>
  </w:style>
  <w:style w:type="paragraph" w:styleId="Footer">
    <w:name w:val="footer"/>
    <w:basedOn w:val="Normal"/>
    <w:link w:val="FooterChar"/>
    <w:uiPriority w:val="99"/>
    <w:unhideWhenUsed/>
    <w:rsid w:val="002F7E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7E74"/>
  </w:style>
  <w:style w:type="table" w:styleId="TableGrid">
    <w:name w:val="Table Grid"/>
    <w:basedOn w:val="TableNormal"/>
    <w:uiPriority w:val="39"/>
    <w:rsid w:val="008B67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A20B3F"/>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A20B3F"/>
    <w:rPr>
      <w:rFonts w:ascii="Calibri" w:hAnsi="Calibri" w:cs="Calibri"/>
      <w:noProof/>
      <w:lang w:val="en-US"/>
    </w:rPr>
  </w:style>
  <w:style w:type="paragraph" w:customStyle="1" w:styleId="EndNoteBibliography">
    <w:name w:val="EndNote Bibliography"/>
    <w:basedOn w:val="Normal"/>
    <w:link w:val="EndNoteBibliographyChar"/>
    <w:rsid w:val="00A20B3F"/>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A20B3F"/>
    <w:rPr>
      <w:rFonts w:ascii="Calibri" w:hAnsi="Calibri" w:cs="Calibri"/>
      <w:noProof/>
      <w:lang w:val="en-US"/>
    </w:rPr>
  </w:style>
  <w:style w:type="character" w:styleId="Hyperlink">
    <w:name w:val="Hyperlink"/>
    <w:basedOn w:val="DefaultParagraphFont"/>
    <w:uiPriority w:val="99"/>
    <w:unhideWhenUsed/>
    <w:rsid w:val="00A20B3F"/>
    <w:rPr>
      <w:color w:val="0563C1" w:themeColor="hyperlink"/>
      <w:u w:val="single"/>
    </w:rPr>
  </w:style>
  <w:style w:type="character" w:styleId="UnresolvedMention">
    <w:name w:val="Unresolved Mention"/>
    <w:basedOn w:val="DefaultParagraphFont"/>
    <w:uiPriority w:val="99"/>
    <w:semiHidden/>
    <w:unhideWhenUsed/>
    <w:rsid w:val="00A20B3F"/>
    <w:rPr>
      <w:color w:val="605E5C"/>
      <w:shd w:val="clear" w:color="auto" w:fill="E1DFDD"/>
    </w:rPr>
  </w:style>
  <w:style w:type="paragraph" w:styleId="ListParagraph">
    <w:name w:val="List Paragraph"/>
    <w:basedOn w:val="Normal"/>
    <w:link w:val="ListParagraphChar"/>
    <w:uiPriority w:val="34"/>
    <w:qFormat/>
    <w:rsid w:val="00FD55A5"/>
    <w:pPr>
      <w:ind w:left="720"/>
      <w:contextualSpacing/>
    </w:pPr>
    <w:rPr>
      <w:lang w:val="en-GB"/>
    </w:rPr>
  </w:style>
  <w:style w:type="character" w:customStyle="1" w:styleId="ListParagraphChar">
    <w:name w:val="List Paragraph Char"/>
    <w:basedOn w:val="DefaultParagraphFont"/>
    <w:link w:val="ListParagraph"/>
    <w:uiPriority w:val="34"/>
    <w:rsid w:val="00FD55A5"/>
    <w:rPr>
      <w:lang w:val="en-GB"/>
    </w:rPr>
  </w:style>
  <w:style w:type="character" w:customStyle="1" w:styleId="Heading1Char">
    <w:name w:val="Heading 1 Char"/>
    <w:basedOn w:val="DefaultParagraphFont"/>
    <w:link w:val="Heading1"/>
    <w:uiPriority w:val="9"/>
    <w:rsid w:val="008178CA"/>
    <w:rPr>
      <w:rFonts w:asciiTheme="majorHAnsi" w:eastAsiaTheme="majorEastAsia" w:hAnsiTheme="majorHAnsi" w:cstheme="majorBidi"/>
      <w:color w:val="2F5496" w:themeColor="accent1" w:themeShade="BF"/>
      <w:sz w:val="32"/>
      <w:szCs w:val="32"/>
      <w:lang w:val="en-GB"/>
    </w:rPr>
  </w:style>
  <w:style w:type="character" w:customStyle="1" w:styleId="Heading3Char">
    <w:name w:val="Heading 3 Char"/>
    <w:basedOn w:val="DefaultParagraphFont"/>
    <w:link w:val="Heading3"/>
    <w:uiPriority w:val="9"/>
    <w:rsid w:val="008178CA"/>
    <w:rPr>
      <w:rFonts w:asciiTheme="majorHAnsi" w:eastAsiaTheme="majorEastAsia" w:hAnsiTheme="majorHAnsi" w:cstheme="majorBidi"/>
      <w:color w:val="1F3763" w:themeColor="accent1" w:themeShade="7F"/>
      <w:sz w:val="24"/>
      <w:szCs w:val="24"/>
      <w:lang w:val="en-GB"/>
    </w:rPr>
  </w:style>
  <w:style w:type="character" w:customStyle="1" w:styleId="Heading4Char">
    <w:name w:val="Heading 4 Char"/>
    <w:basedOn w:val="DefaultParagraphFont"/>
    <w:link w:val="Heading4"/>
    <w:uiPriority w:val="9"/>
    <w:rsid w:val="008178CA"/>
    <w:rPr>
      <w:rFonts w:asciiTheme="majorHAnsi" w:eastAsiaTheme="majorEastAsia" w:hAnsiTheme="majorHAnsi" w:cstheme="majorBidi"/>
      <w:i/>
      <w:iCs/>
      <w:color w:val="2F5496" w:themeColor="accent1" w:themeShade="BF"/>
      <w:lang w:val="en-GB"/>
    </w:rPr>
  </w:style>
  <w:style w:type="table" w:customStyle="1" w:styleId="TableGrid2">
    <w:name w:val="Table Grid2"/>
    <w:basedOn w:val="TableNormal"/>
    <w:next w:val="TableGrid"/>
    <w:uiPriority w:val="39"/>
    <w:rsid w:val="008178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8178CA"/>
    <w:pPr>
      <w:spacing w:after="0" w:line="240" w:lineRule="auto"/>
    </w:pPr>
    <w:rPr>
      <w:sz w:val="20"/>
      <w:szCs w:val="20"/>
      <w:lang w:val="en-GB"/>
    </w:rPr>
  </w:style>
  <w:style w:type="character" w:customStyle="1" w:styleId="FootnoteTextChar">
    <w:name w:val="Footnote Text Char"/>
    <w:basedOn w:val="DefaultParagraphFont"/>
    <w:link w:val="FootnoteText"/>
    <w:uiPriority w:val="99"/>
    <w:rsid w:val="008178CA"/>
    <w:rPr>
      <w:sz w:val="20"/>
      <w:szCs w:val="20"/>
      <w:lang w:val="en-GB"/>
    </w:rPr>
  </w:style>
  <w:style w:type="character" w:styleId="FootnoteReference">
    <w:name w:val="footnote reference"/>
    <w:aliases w:val="FNRefe Char,BVI fnr Char,BVI fnr Char Char,BVI fnr Car Car Char Char,BVI fnr Car Char Char,BVI fnr Car Car Car Car Char Char Char Char,FNRefe Char Char,BVI fnr Char Char Char,BVI fnr Car Car Char Char Char,BVI fnr Car Char Char Char"/>
    <w:basedOn w:val="DefaultParagraphFont"/>
    <w:uiPriority w:val="99"/>
    <w:unhideWhenUsed/>
    <w:rsid w:val="008178CA"/>
    <w:rPr>
      <w:vertAlign w:val="superscript"/>
    </w:rPr>
  </w:style>
  <w:style w:type="table" w:customStyle="1" w:styleId="TableGrid4">
    <w:name w:val="Table Grid4"/>
    <w:basedOn w:val="TableNormal"/>
    <w:next w:val="TableGrid"/>
    <w:uiPriority w:val="39"/>
    <w:rsid w:val="008178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31text">
    <w:name w:val="MDPI_3.1_text"/>
    <w:link w:val="MDPI31textChar"/>
    <w:qFormat/>
    <w:rsid w:val="008178CA"/>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val="en-US" w:eastAsia="de-DE" w:bidi="en-US"/>
    </w:rPr>
  </w:style>
  <w:style w:type="character" w:customStyle="1" w:styleId="MDPI31textChar">
    <w:name w:val="MDPI_3.1_text Char"/>
    <w:basedOn w:val="DefaultParagraphFont"/>
    <w:link w:val="MDPI31text"/>
    <w:rsid w:val="008178CA"/>
    <w:rPr>
      <w:rFonts w:ascii="Palatino Linotype" w:eastAsia="Times New Roman" w:hAnsi="Palatino Linotype" w:cs="Times New Roman"/>
      <w:snapToGrid w:val="0"/>
      <w:color w:val="000000"/>
      <w:sz w:val="20"/>
      <w:lang w:val="en-US" w:eastAsia="de-DE" w:bidi="en-US"/>
    </w:rPr>
  </w:style>
  <w:style w:type="character" w:styleId="FollowedHyperlink">
    <w:name w:val="FollowedHyperlink"/>
    <w:basedOn w:val="DefaultParagraphFont"/>
    <w:uiPriority w:val="99"/>
    <w:semiHidden/>
    <w:unhideWhenUsed/>
    <w:rsid w:val="008178CA"/>
    <w:rPr>
      <w:color w:val="954F72" w:themeColor="followedHyperlink"/>
      <w:u w:val="single"/>
    </w:rPr>
  </w:style>
  <w:style w:type="character" w:customStyle="1" w:styleId="A2">
    <w:name w:val="A2"/>
    <w:uiPriority w:val="99"/>
    <w:rsid w:val="008178CA"/>
    <w:rPr>
      <w:rFonts w:cs="Boreal Light"/>
      <w:color w:val="0A1F49"/>
      <w:sz w:val="20"/>
      <w:szCs w:val="20"/>
    </w:rPr>
  </w:style>
  <w:style w:type="table" w:customStyle="1" w:styleId="TableGrid1">
    <w:name w:val="Table Grid1"/>
    <w:basedOn w:val="TableNormal"/>
    <w:next w:val="TableGrid"/>
    <w:uiPriority w:val="39"/>
    <w:rsid w:val="008178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39"/>
    <w:rsid w:val="008178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178CA"/>
    <w:rPr>
      <w:sz w:val="16"/>
      <w:szCs w:val="16"/>
    </w:rPr>
  </w:style>
  <w:style w:type="paragraph" w:styleId="CommentText">
    <w:name w:val="annotation text"/>
    <w:basedOn w:val="Normal"/>
    <w:link w:val="CommentTextChar"/>
    <w:semiHidden/>
    <w:unhideWhenUsed/>
    <w:rsid w:val="008178CA"/>
    <w:pPr>
      <w:spacing w:line="240" w:lineRule="auto"/>
    </w:pPr>
    <w:rPr>
      <w:sz w:val="20"/>
      <w:szCs w:val="20"/>
      <w:lang w:val="en-GB"/>
    </w:rPr>
  </w:style>
  <w:style w:type="character" w:customStyle="1" w:styleId="CommentTextChar">
    <w:name w:val="Comment Text Char"/>
    <w:basedOn w:val="DefaultParagraphFont"/>
    <w:link w:val="CommentText"/>
    <w:semiHidden/>
    <w:rsid w:val="008178CA"/>
    <w:rPr>
      <w:sz w:val="20"/>
      <w:szCs w:val="20"/>
      <w:lang w:val="en-GB"/>
    </w:rPr>
  </w:style>
  <w:style w:type="paragraph" w:styleId="CommentSubject">
    <w:name w:val="annotation subject"/>
    <w:basedOn w:val="CommentText"/>
    <w:next w:val="CommentText"/>
    <w:link w:val="CommentSubjectChar"/>
    <w:uiPriority w:val="99"/>
    <w:semiHidden/>
    <w:unhideWhenUsed/>
    <w:rsid w:val="008178CA"/>
    <w:rPr>
      <w:b/>
      <w:bCs/>
    </w:rPr>
  </w:style>
  <w:style w:type="character" w:customStyle="1" w:styleId="CommentSubjectChar">
    <w:name w:val="Comment Subject Char"/>
    <w:basedOn w:val="CommentTextChar"/>
    <w:link w:val="CommentSubject"/>
    <w:uiPriority w:val="99"/>
    <w:semiHidden/>
    <w:rsid w:val="008178CA"/>
    <w:rPr>
      <w:b/>
      <w:bCs/>
      <w:sz w:val="20"/>
      <w:szCs w:val="20"/>
      <w:lang w:val="en-GB"/>
    </w:rPr>
  </w:style>
  <w:style w:type="paragraph" w:styleId="BalloonText">
    <w:name w:val="Balloon Text"/>
    <w:basedOn w:val="Normal"/>
    <w:link w:val="BalloonTextChar"/>
    <w:uiPriority w:val="99"/>
    <w:semiHidden/>
    <w:unhideWhenUsed/>
    <w:rsid w:val="008178CA"/>
    <w:pPr>
      <w:spacing w:after="0" w:line="240" w:lineRule="auto"/>
    </w:pPr>
    <w:rPr>
      <w:rFonts w:ascii="Segoe UI" w:hAnsi="Segoe UI" w:cs="Segoe UI"/>
      <w:sz w:val="18"/>
      <w:szCs w:val="18"/>
      <w:lang w:val="en-GB"/>
    </w:rPr>
  </w:style>
  <w:style w:type="character" w:customStyle="1" w:styleId="BalloonTextChar">
    <w:name w:val="Balloon Text Char"/>
    <w:basedOn w:val="DefaultParagraphFont"/>
    <w:link w:val="BalloonText"/>
    <w:uiPriority w:val="99"/>
    <w:semiHidden/>
    <w:rsid w:val="008178CA"/>
    <w:rPr>
      <w:rFonts w:ascii="Segoe UI" w:hAnsi="Segoe UI" w:cs="Segoe UI"/>
      <w:sz w:val="18"/>
      <w:szCs w:val="18"/>
      <w:lang w:val="en-GB"/>
    </w:rPr>
  </w:style>
  <w:style w:type="paragraph" w:styleId="NormalWeb">
    <w:name w:val="Normal (Web)"/>
    <w:basedOn w:val="Normal"/>
    <w:uiPriority w:val="99"/>
    <w:semiHidden/>
    <w:unhideWhenUsed/>
    <w:rsid w:val="008178CA"/>
    <w:pPr>
      <w:spacing w:before="100" w:beforeAutospacing="1" w:after="100" w:afterAutospacing="1" w:line="240" w:lineRule="auto"/>
    </w:pPr>
    <w:rPr>
      <w:rFonts w:ascii="Times New Roman" w:eastAsiaTheme="minorEastAsia" w:hAnsi="Times New Roman" w:cs="Times New Roman"/>
      <w:sz w:val="24"/>
      <w:szCs w:val="24"/>
      <w:lang w:eastAsia="en-AU"/>
    </w:rPr>
  </w:style>
  <w:style w:type="paragraph" w:styleId="NoSpacing">
    <w:name w:val="No Spacing"/>
    <w:uiPriority w:val="1"/>
    <w:qFormat/>
    <w:rsid w:val="008178CA"/>
    <w:pPr>
      <w:spacing w:after="0" w:line="240" w:lineRule="auto"/>
    </w:pPr>
    <w:rPr>
      <w:lang w:val="en-GB"/>
    </w:rPr>
  </w:style>
  <w:style w:type="paragraph" w:styleId="TOCHeading">
    <w:name w:val="TOC Heading"/>
    <w:basedOn w:val="Heading1"/>
    <w:next w:val="Normal"/>
    <w:uiPriority w:val="39"/>
    <w:unhideWhenUsed/>
    <w:qFormat/>
    <w:rsid w:val="008178CA"/>
    <w:pPr>
      <w:outlineLvl w:val="9"/>
    </w:pPr>
    <w:rPr>
      <w:lang w:val="en-US"/>
    </w:rPr>
  </w:style>
  <w:style w:type="paragraph" w:styleId="TOC2">
    <w:name w:val="toc 2"/>
    <w:basedOn w:val="Normal"/>
    <w:next w:val="Normal"/>
    <w:autoRedefine/>
    <w:uiPriority w:val="39"/>
    <w:unhideWhenUsed/>
    <w:rsid w:val="008178CA"/>
    <w:pPr>
      <w:spacing w:after="100"/>
      <w:ind w:left="220"/>
    </w:pPr>
    <w:rPr>
      <w:lang w:val="en-GB"/>
    </w:rPr>
  </w:style>
  <w:style w:type="character" w:customStyle="1" w:styleId="A9">
    <w:name w:val="A9"/>
    <w:uiPriority w:val="99"/>
    <w:rsid w:val="008178CA"/>
    <w:rPr>
      <w:rFonts w:cs="Boreal Light"/>
      <w:color w:val="205D9F"/>
      <w:sz w:val="20"/>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chart" Target="charts/chart9.xml"/><Relationship Id="rId26" Type="http://schemas.openxmlformats.org/officeDocument/2006/relationships/hyperlink" Target="https://doi.org/10.1016/j.scs.2021.103554" TargetMode="External"/><Relationship Id="rId39" Type="http://schemas.openxmlformats.org/officeDocument/2006/relationships/hyperlink" Target="https://doi.org/10.1038/s43016-020-0074-1" TargetMode="External"/><Relationship Id="rId21" Type="http://schemas.openxmlformats.org/officeDocument/2006/relationships/chart" Target="charts/chart12.xml"/><Relationship Id="rId34" Type="http://schemas.openxmlformats.org/officeDocument/2006/relationships/hyperlink" Target="https://doi.org/10.1016/j.tra.2022.05.012" TargetMode="External"/><Relationship Id="rId42" Type="http://schemas.openxmlformats.org/officeDocument/2006/relationships/hyperlink" Target="https://doi.org/10.1016/j.gloenvcha.2016.05.009" TargetMode="External"/><Relationship Id="rId47" Type="http://schemas.openxmlformats.org/officeDocument/2006/relationships/hyperlink" Target="https://doi.org/10.1007/s13280-017-0934-6"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7.xml"/><Relationship Id="rId29" Type="http://schemas.openxmlformats.org/officeDocument/2006/relationships/hyperlink" Target="http://www.nrm.gov.au/national/20-million-trees" TargetMode="External"/><Relationship Id="rId11" Type="http://schemas.openxmlformats.org/officeDocument/2006/relationships/chart" Target="charts/chart4.xml"/><Relationship Id="rId24" Type="http://schemas.openxmlformats.org/officeDocument/2006/relationships/chart" Target="charts/chart15.xml"/><Relationship Id="rId32" Type="http://schemas.openxmlformats.org/officeDocument/2006/relationships/hyperlink" Target="https://doi.org/10.1016/j.jdeveco.2012.10.001" TargetMode="External"/><Relationship Id="rId37" Type="http://schemas.openxmlformats.org/officeDocument/2006/relationships/hyperlink" Target="https://doi.org/10.1016/j.envsci.2017.10.011" TargetMode="External"/><Relationship Id="rId40" Type="http://schemas.openxmlformats.org/officeDocument/2006/relationships/hyperlink" Target="https://doi.org/10.1016/j.jrurstud.2011.12.005" TargetMode="External"/><Relationship Id="rId45" Type="http://schemas.openxmlformats.org/officeDocument/2006/relationships/hyperlink" Target="https://doi.org/10.1016/j.egypro.2016.09.112" TargetMode="External"/><Relationship Id="rId5" Type="http://schemas.openxmlformats.org/officeDocument/2006/relationships/webSettings" Target="webSettings.xml"/><Relationship Id="rId15" Type="http://schemas.openxmlformats.org/officeDocument/2006/relationships/chart" Target="charts/chart6.xml"/><Relationship Id="rId23" Type="http://schemas.openxmlformats.org/officeDocument/2006/relationships/chart" Target="charts/chart14.xml"/><Relationship Id="rId28" Type="http://schemas.openxmlformats.org/officeDocument/2006/relationships/hyperlink" Target="https://doi.org/10.3390/su11195272" TargetMode="External"/><Relationship Id="rId36" Type="http://schemas.openxmlformats.org/officeDocument/2006/relationships/hyperlink" Target="https://doi.org/10.1080/1523908X.2022.2117145" TargetMode="External"/><Relationship Id="rId49" Type="http://schemas.openxmlformats.org/officeDocument/2006/relationships/theme" Target="theme/theme1.xml"/><Relationship Id="rId10" Type="http://schemas.openxmlformats.org/officeDocument/2006/relationships/chart" Target="charts/chart3.xml"/><Relationship Id="rId19" Type="http://schemas.openxmlformats.org/officeDocument/2006/relationships/chart" Target="charts/chart10.xml"/><Relationship Id="rId31" Type="http://schemas.openxmlformats.org/officeDocument/2006/relationships/hyperlink" Target="https://doi.org/10.1111/j.1755-263X.2011.00171.x" TargetMode="External"/><Relationship Id="rId44" Type="http://schemas.openxmlformats.org/officeDocument/2006/relationships/hyperlink" Target="https://doi.org/10.1080/14693062.2020.1870097" TargetMode="Externa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5.xml"/><Relationship Id="rId22" Type="http://schemas.openxmlformats.org/officeDocument/2006/relationships/chart" Target="charts/chart13.xml"/><Relationship Id="rId27" Type="http://schemas.openxmlformats.org/officeDocument/2006/relationships/hyperlink" Target="https://doi.org/10.1007/s11625-019-00711-x" TargetMode="External"/><Relationship Id="rId30" Type="http://schemas.openxmlformats.org/officeDocument/2006/relationships/hyperlink" Target="https://doi.org/10.1073/pnas.0403239101" TargetMode="External"/><Relationship Id="rId35" Type="http://schemas.openxmlformats.org/officeDocument/2006/relationships/hyperlink" Target="https://doi.org/10.1007/s10460-012-9412-8" TargetMode="External"/><Relationship Id="rId43" Type="http://schemas.openxmlformats.org/officeDocument/2006/relationships/hyperlink" Target="https://doi.org/10.1038/ngeo2985" TargetMode="External"/><Relationship Id="rId48" Type="http://schemas.openxmlformats.org/officeDocument/2006/relationships/fontTable" Target="fontTable.xml"/><Relationship Id="rId8" Type="http://schemas.openxmlformats.org/officeDocument/2006/relationships/chart" Target="charts/chart1.xm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chart" Target="charts/chart8.xml"/><Relationship Id="rId25" Type="http://schemas.openxmlformats.org/officeDocument/2006/relationships/chart" Target="charts/chart16.xml"/><Relationship Id="rId33" Type="http://schemas.openxmlformats.org/officeDocument/2006/relationships/hyperlink" Target="https://doi.org/10.1016/j.enpol.2022.113144" TargetMode="External"/><Relationship Id="rId38" Type="http://schemas.openxmlformats.org/officeDocument/2006/relationships/hyperlink" Target="https://doi.org/10.1016/S2542-5196(20)30277-1" TargetMode="External"/><Relationship Id="rId46" Type="http://schemas.openxmlformats.org/officeDocument/2006/relationships/hyperlink" Target="https://doi.org/10.1016/j.landusepol.2014.12.002" TargetMode="External"/><Relationship Id="rId20" Type="http://schemas.openxmlformats.org/officeDocument/2006/relationships/chart" Target="charts/chart11.xml"/><Relationship Id="rId41" Type="http://schemas.openxmlformats.org/officeDocument/2006/relationships/hyperlink" Target="https://doi.org/10.1038/s41893-018-0021-4" TargetMode="External"/><Relationship Id="rId1" Type="http://schemas.openxmlformats.org/officeDocument/2006/relationships/customXml" Target="../customXml/item1.xml"/><Relationship Id="rId6" Type="http://schemas.openxmlformats.org/officeDocument/2006/relationships/footnotes" Target="footnotes.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https://d.docs.live.net/549239fbcf2947a6/Documents/AF.%20Journal%20Articles/16.%20COVID%20SDGs%20Modelling/iSDG%20Simulation%20Results.xlsx"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https://d.docs.live.net/549239fbcf2947a6/Documents/AF.%20Journal%20Articles/16.%20COVID%20SDGs%20Modelling/iSDG%20Simulation%20Results.xlsx"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https://d.docs.live.net/549239fbcf2947a6/Documents/AF.%20Journal%20Articles/16.%20COVID%20SDGs%20Modelling/iSDG%20Simulation%20Results.xlsx" TargetMode="Externa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https://d.docs.live.net/549239fbcf2947a6/Documents/AF.%20Journal%20Articles/16.%20COVID%20SDGs%20Modelling/iSDG%20Simulation%20Results.xlsx" TargetMode="Externa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https://d.docs.live.net/549239fbcf2947a6/Documents/AF.%20Journal%20Articles/16.%20COVID%20SDGs%20Modelling/iSDG%20Simulation%20Results.xlsx" TargetMode="External"/></Relationships>
</file>

<file path=word/charts/_rels/chart6.xml.rels><?xml version="1.0" encoding="UTF-8" standalone="yes"?>
<Relationships xmlns="http://schemas.openxmlformats.org/package/2006/relationships"><Relationship Id="rId2" Type="http://schemas.openxmlformats.org/officeDocument/2006/relationships/oleObject" Target="https://d.docs.live.net/549239fbcf2947a6/Documents/AF.%20Journal%20Articles/16.%20COVID%20SDGs%20Modelling/iSDG%20Simulation%20Results.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https://d.docs.live.net/549239fbcf2947a6/Documents/AF.%20Journal%20Articles/16.%20COVID%20SDGs%20Modelling/iSDG%20Simulation%20Results.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https://d.docs.live.net/549239fbcf2947a6/Documents/AF.%20Journal%20Articles/16.%20COVID%20SDGs%20Modelling/iSDG%20Simulation%20Results.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oleObject" Target="https://d.docs.live.net/549239fbcf2947a6/Documents/AF.%20Journal%20Articles/16.%20COVID%20SDGs%20Modelling/iSDG%20Simulation%20Results.xlsx" TargetMode="External"/><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oleObject" Target="https://d.docs.live.net/549239fbcf2947a6/Documents/AF.%20Journal%20Articles/16.%20COVID%20SDGs%20Modelling/iSDG%20Simulation%20Results.xlsx" TargetMode="External"/><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2" Type="http://schemas.openxmlformats.org/officeDocument/2006/relationships/oleObject" Target="https://d.docs.live.net/549239fbcf2947a6/Documents/AF.%20Journal%20Articles/16.%20COVID%20SDGs%20Modelling/iSDG%20Simulation%20Results.xlsx" TargetMode="External"/><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2" Type="http://schemas.openxmlformats.org/officeDocument/2006/relationships/oleObject" Target="https://d.docs.live.net/549239fbcf2947a6/Documents/AF.%20Journal%20Articles/16.%20COVID%20SDGs%20Modelling/iSDG%20Simulation%20Results.xlsx" TargetMode="External"/><Relationship Id="rId1" Type="http://schemas.openxmlformats.org/officeDocument/2006/relationships/themeOverride" Target="../theme/themeOverride12.xml"/></Relationships>
</file>

<file path=word/charts/_rels/chart13.xml.rels><?xml version="1.0" encoding="UTF-8" standalone="yes"?>
<Relationships xmlns="http://schemas.openxmlformats.org/package/2006/relationships"><Relationship Id="rId2" Type="http://schemas.openxmlformats.org/officeDocument/2006/relationships/oleObject" Target="https://d.docs.live.net/549239fbcf2947a6/Documents/AF.%20Journal%20Articles/16.%20COVID%20SDGs%20Modelling/iSDG%20Simulation%20Results.xlsx" TargetMode="External"/><Relationship Id="rId1" Type="http://schemas.openxmlformats.org/officeDocument/2006/relationships/themeOverride" Target="../theme/themeOverride13.xml"/></Relationships>
</file>

<file path=word/charts/_rels/chart14.xml.rels><?xml version="1.0" encoding="UTF-8" standalone="yes"?>
<Relationships xmlns="http://schemas.openxmlformats.org/package/2006/relationships"><Relationship Id="rId2" Type="http://schemas.openxmlformats.org/officeDocument/2006/relationships/oleObject" Target="https://d.docs.live.net/549239fbcf2947a6/Documents/AF.%20Journal%20Articles/16.%20COVID%20SDGs%20Modelling/iSDG%20Simulation%20Results.xlsx" TargetMode="External"/><Relationship Id="rId1" Type="http://schemas.openxmlformats.org/officeDocument/2006/relationships/themeOverride" Target="../theme/themeOverride14.xml"/></Relationships>
</file>

<file path=word/charts/_rels/chart15.xml.rels><?xml version="1.0" encoding="UTF-8" standalone="yes"?>
<Relationships xmlns="http://schemas.openxmlformats.org/package/2006/relationships"><Relationship Id="rId2" Type="http://schemas.openxmlformats.org/officeDocument/2006/relationships/oleObject" Target="https://d.docs.live.net/549239fbcf2947a6/Documents/AF.%20Journal%20Articles/16.%20COVID%20SDGs%20Modelling/iSDG%20Simulation%20Results.xlsx" TargetMode="External"/><Relationship Id="rId1" Type="http://schemas.openxmlformats.org/officeDocument/2006/relationships/themeOverride" Target="../theme/themeOverride15.xml"/></Relationships>
</file>

<file path=word/charts/_rels/chart16.xml.rels><?xml version="1.0" encoding="UTF-8" standalone="yes"?>
<Relationships xmlns="http://schemas.openxmlformats.org/package/2006/relationships"><Relationship Id="rId2" Type="http://schemas.openxmlformats.org/officeDocument/2006/relationships/oleObject" Target="https://d.docs.live.net/549239fbcf2947a6/Documents/AF.%20Journal%20Articles/16.%20COVID%20SDGs%20Modelling/iSDG%20Simulation%20Results.xlsx" TargetMode="External"/><Relationship Id="rId1" Type="http://schemas.openxmlformats.org/officeDocument/2006/relationships/themeOverride" Target="../theme/themeOverride1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0481879622749768"/>
          <c:y val="6.2804017299202472E-2"/>
          <c:w val="0.72962319522325514"/>
          <c:h val="0.66866272849063557"/>
        </c:manualLayout>
      </c:layout>
      <c:lineChart>
        <c:grouping val="standard"/>
        <c:varyColors val="0"/>
        <c:ser>
          <c:idx val="0"/>
          <c:order val="0"/>
          <c:tx>
            <c:strRef>
              <c:f>'[iSDG Simulation Results.xlsx]BBaB_charts'!$A$4</c:f>
              <c:strCache>
                <c:ptCount val="1"/>
                <c:pt idx="0">
                  <c:v>BBS Baseline</c:v>
                </c:pt>
              </c:strCache>
            </c:strRef>
          </c:tx>
          <c:spPr>
            <a:ln w="28575" cap="rnd">
              <a:solidFill>
                <a:srgbClr val="FFC000"/>
              </a:solidFill>
              <a:round/>
            </a:ln>
            <a:effectLst/>
          </c:spPr>
          <c:marker>
            <c:symbol val="none"/>
          </c:marker>
          <c:cat>
            <c:numRef>
              <c:f>'[iSDG Simulation Results.xlsx]BBaB_charts'!$B$3:$AP$3</c:f>
              <c:numCache>
                <c:formatCode>General</c:formatCode>
                <c:ptCount val="4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pt idx="32">
                  <c:v>2022</c:v>
                </c:pt>
                <c:pt idx="33">
                  <c:v>2023</c:v>
                </c:pt>
                <c:pt idx="34">
                  <c:v>2024</c:v>
                </c:pt>
                <c:pt idx="35">
                  <c:v>2025</c:v>
                </c:pt>
                <c:pt idx="36">
                  <c:v>2026</c:v>
                </c:pt>
                <c:pt idx="37">
                  <c:v>2027</c:v>
                </c:pt>
                <c:pt idx="38">
                  <c:v>2028</c:v>
                </c:pt>
                <c:pt idx="39">
                  <c:v>2029</c:v>
                </c:pt>
                <c:pt idx="40">
                  <c:v>2030</c:v>
                </c:pt>
              </c:numCache>
            </c:numRef>
          </c:cat>
          <c:val>
            <c:numRef>
              <c:f>'[iSDG Simulation Results.xlsx]BBaB_charts'!$B$4:$AP$4</c:f>
              <c:numCache>
                <c:formatCode>0.00E+00</c:formatCode>
                <c:ptCount val="41"/>
                <c:pt idx="0">
                  <c:v>838.29600000000005</c:v>
                </c:pt>
                <c:pt idx="1">
                  <c:v>820.68299999999999</c:v>
                </c:pt>
                <c:pt idx="2">
                  <c:v>823.98699999999997</c:v>
                </c:pt>
                <c:pt idx="3">
                  <c:v>866.48400000000004</c:v>
                </c:pt>
                <c:pt idx="4">
                  <c:v>879.97900000000004</c:v>
                </c:pt>
                <c:pt idx="5">
                  <c:v>899.58100000000002</c:v>
                </c:pt>
                <c:pt idx="6">
                  <c:v>944.57500000000005</c:v>
                </c:pt>
                <c:pt idx="7">
                  <c:v>999.11300000000006</c:v>
                </c:pt>
                <c:pt idx="8">
                  <c:v>1052.82</c:v>
                </c:pt>
                <c:pt idx="9">
                  <c:v>1079.57</c:v>
                </c:pt>
                <c:pt idx="10">
                  <c:v>1143.68</c:v>
                </c:pt>
                <c:pt idx="11">
                  <c:v>1192.57</c:v>
                </c:pt>
                <c:pt idx="12">
                  <c:v>1252.6300000000001</c:v>
                </c:pt>
                <c:pt idx="13">
                  <c:v>1313.32</c:v>
                </c:pt>
                <c:pt idx="14">
                  <c:v>1368.24</c:v>
                </c:pt>
                <c:pt idx="15">
                  <c:v>1390.64</c:v>
                </c:pt>
                <c:pt idx="16">
                  <c:v>1409.17</c:v>
                </c:pt>
                <c:pt idx="17">
                  <c:v>1458.61</c:v>
                </c:pt>
                <c:pt idx="18">
                  <c:v>1514.99</c:v>
                </c:pt>
                <c:pt idx="19">
                  <c:v>1545.12</c:v>
                </c:pt>
                <c:pt idx="20">
                  <c:v>1570.6</c:v>
                </c:pt>
                <c:pt idx="21">
                  <c:v>1591.05</c:v>
                </c:pt>
                <c:pt idx="22">
                  <c:v>1671.47</c:v>
                </c:pt>
                <c:pt idx="23">
                  <c:v>1730.86</c:v>
                </c:pt>
                <c:pt idx="24">
                  <c:v>1762.17</c:v>
                </c:pt>
                <c:pt idx="25">
                  <c:v>1786.55</c:v>
                </c:pt>
                <c:pt idx="26">
                  <c:v>1833.93</c:v>
                </c:pt>
                <c:pt idx="27">
                  <c:v>1886.15</c:v>
                </c:pt>
                <c:pt idx="28">
                  <c:v>1994.09</c:v>
                </c:pt>
                <c:pt idx="29">
                  <c:v>2034.31</c:v>
                </c:pt>
                <c:pt idx="30">
                  <c:v>2023.77</c:v>
                </c:pt>
                <c:pt idx="31">
                  <c:v>2072</c:v>
                </c:pt>
                <c:pt idx="32">
                  <c:v>2138.75</c:v>
                </c:pt>
                <c:pt idx="33">
                  <c:v>2180.2199999999998</c:v>
                </c:pt>
                <c:pt idx="34">
                  <c:v>2222.11</c:v>
                </c:pt>
                <c:pt idx="35">
                  <c:v>2264.1799999999998</c:v>
                </c:pt>
                <c:pt idx="36">
                  <c:v>2307.59</c:v>
                </c:pt>
                <c:pt idx="37">
                  <c:v>2353.54</c:v>
                </c:pt>
                <c:pt idx="38">
                  <c:v>2398.16</c:v>
                </c:pt>
                <c:pt idx="39">
                  <c:v>2442.66</c:v>
                </c:pt>
                <c:pt idx="40">
                  <c:v>2487.0300000000002</c:v>
                </c:pt>
              </c:numCache>
            </c:numRef>
          </c:val>
          <c:smooth val="0"/>
          <c:extLst>
            <c:ext xmlns:c16="http://schemas.microsoft.com/office/drawing/2014/chart" uri="{C3380CC4-5D6E-409C-BE32-E72D297353CC}">
              <c16:uniqueId val="{00000000-8E35-4DA5-A9CA-63CD59448C03}"/>
            </c:ext>
          </c:extLst>
        </c:ser>
        <c:ser>
          <c:idx val="1"/>
          <c:order val="1"/>
          <c:tx>
            <c:strRef>
              <c:f>'[iSDG Simulation Results.xlsx]BBaB_charts'!$A$5</c:f>
              <c:strCache>
                <c:ptCount val="1"/>
                <c:pt idx="0">
                  <c:v>Data</c:v>
                </c:pt>
              </c:strCache>
            </c:strRef>
          </c:tx>
          <c:spPr>
            <a:ln w="28575" cap="rnd">
              <a:solidFill>
                <a:sysClr val="windowText" lastClr="000000">
                  <a:lumMod val="50000"/>
                  <a:lumOff val="50000"/>
                </a:sysClr>
              </a:solidFill>
              <a:prstDash val="dash"/>
              <a:round/>
            </a:ln>
            <a:effectLst/>
          </c:spPr>
          <c:marker>
            <c:symbol val="none"/>
          </c:marker>
          <c:cat>
            <c:numRef>
              <c:f>'[iSDG Simulation Results.xlsx]BBaB_charts'!$B$3:$AP$3</c:f>
              <c:numCache>
                <c:formatCode>General</c:formatCode>
                <c:ptCount val="4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pt idx="32">
                  <c:v>2022</c:v>
                </c:pt>
                <c:pt idx="33">
                  <c:v>2023</c:v>
                </c:pt>
                <c:pt idx="34">
                  <c:v>2024</c:v>
                </c:pt>
                <c:pt idx="35">
                  <c:v>2025</c:v>
                </c:pt>
                <c:pt idx="36">
                  <c:v>2026</c:v>
                </c:pt>
                <c:pt idx="37">
                  <c:v>2027</c:v>
                </c:pt>
                <c:pt idx="38">
                  <c:v>2028</c:v>
                </c:pt>
                <c:pt idx="39">
                  <c:v>2029</c:v>
                </c:pt>
                <c:pt idx="40">
                  <c:v>2030</c:v>
                </c:pt>
              </c:numCache>
            </c:numRef>
          </c:cat>
          <c:val>
            <c:numRef>
              <c:f>'[iSDG Simulation Results.xlsx]BBaB_charts'!$B$5:$AP$5</c:f>
              <c:numCache>
                <c:formatCode>0.00E+00</c:formatCode>
                <c:ptCount val="41"/>
                <c:pt idx="0">
                  <c:v>838.29600000000005</c:v>
                </c:pt>
                <c:pt idx="1">
                  <c:v>834.98400000000004</c:v>
                </c:pt>
                <c:pt idx="2">
                  <c:v>838.43899999999996</c:v>
                </c:pt>
                <c:pt idx="3">
                  <c:v>872.25800000000004</c:v>
                </c:pt>
                <c:pt idx="4">
                  <c:v>906.97799999999995</c:v>
                </c:pt>
                <c:pt idx="5">
                  <c:v>941.75</c:v>
                </c:pt>
                <c:pt idx="6">
                  <c:v>978.04899999999998</c:v>
                </c:pt>
                <c:pt idx="7">
                  <c:v>1016.27</c:v>
                </c:pt>
                <c:pt idx="8">
                  <c:v>1063.1600000000001</c:v>
                </c:pt>
                <c:pt idx="9">
                  <c:v>1115.6500000000001</c:v>
                </c:pt>
                <c:pt idx="10">
                  <c:v>1159.3</c:v>
                </c:pt>
                <c:pt idx="11">
                  <c:v>1182.93</c:v>
                </c:pt>
                <c:pt idx="12">
                  <c:v>1230.42</c:v>
                </c:pt>
                <c:pt idx="13">
                  <c:v>1268.69</c:v>
                </c:pt>
                <c:pt idx="14">
                  <c:v>1322.04</c:v>
                </c:pt>
                <c:pt idx="15">
                  <c:v>1363.82</c:v>
                </c:pt>
                <c:pt idx="16">
                  <c:v>1401.01</c:v>
                </c:pt>
                <c:pt idx="17">
                  <c:v>1453.81</c:v>
                </c:pt>
                <c:pt idx="18">
                  <c:v>1505.81</c:v>
                </c:pt>
                <c:pt idx="19">
                  <c:v>1533.92</c:v>
                </c:pt>
                <c:pt idx="20">
                  <c:v>1567.25</c:v>
                </c:pt>
                <c:pt idx="21">
                  <c:v>1605.95</c:v>
                </c:pt>
                <c:pt idx="22">
                  <c:v>1668.86</c:v>
                </c:pt>
                <c:pt idx="23">
                  <c:v>1712.26</c:v>
                </c:pt>
                <c:pt idx="24">
                  <c:v>1756.14</c:v>
                </c:pt>
                <c:pt idx="25">
                  <c:v>1794.29</c:v>
                </c:pt>
                <c:pt idx="26">
                  <c:v>1843.48</c:v>
                </c:pt>
                <c:pt idx="27">
                  <c:v>1885.81</c:v>
                </c:pt>
                <c:pt idx="28">
                  <c:v>1939.95</c:v>
                </c:pt>
                <c:pt idx="29">
                  <c:v>1980.94</c:v>
                </c:pt>
                <c:pt idx="30">
                  <c:v>1980.87</c:v>
                </c:pt>
                <c:pt idx="31">
                  <c:v>2010.09</c:v>
                </c:pt>
              </c:numCache>
            </c:numRef>
          </c:val>
          <c:smooth val="0"/>
          <c:extLst>
            <c:ext xmlns:c16="http://schemas.microsoft.com/office/drawing/2014/chart" uri="{C3380CC4-5D6E-409C-BE32-E72D297353CC}">
              <c16:uniqueId val="{00000001-8E35-4DA5-A9CA-63CD59448C03}"/>
            </c:ext>
          </c:extLst>
        </c:ser>
        <c:dLbls>
          <c:showLegendKey val="0"/>
          <c:showVal val="0"/>
          <c:showCatName val="0"/>
          <c:showSerName val="0"/>
          <c:showPercent val="0"/>
          <c:showBubbleSize val="0"/>
        </c:dLbls>
        <c:smooth val="0"/>
        <c:axId val="684565432"/>
        <c:axId val="684566072"/>
      </c:lineChart>
      <c:catAx>
        <c:axId val="684565432"/>
        <c:scaling>
          <c:orientation val="minMax"/>
        </c:scaling>
        <c:delete val="0"/>
        <c:axPos val="b"/>
        <c:numFmt formatCode="General" sourceLinked="1"/>
        <c:majorTickMark val="in"/>
        <c:minorTickMark val="none"/>
        <c:tickLblPos val="nextTo"/>
        <c:spPr>
          <a:noFill/>
          <a:ln w="9525" cap="flat" cmpd="sng" algn="ctr">
            <a:solidFill>
              <a:schemeClr val="tx1">
                <a:lumMod val="65000"/>
                <a:lumOff val="35000"/>
              </a:schemeClr>
            </a:solidFill>
            <a:round/>
          </a:ln>
          <a:effectLst/>
        </c:spPr>
        <c:txPr>
          <a:bodyPr rot="-4200000" spcFirstLastPara="1" vertOverflow="ellipsis"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n-US"/>
          </a:p>
        </c:txPr>
        <c:crossAx val="684566072"/>
        <c:crosses val="autoZero"/>
        <c:auto val="1"/>
        <c:lblAlgn val="ctr"/>
        <c:lblOffset val="100"/>
        <c:noMultiLvlLbl val="0"/>
      </c:catAx>
      <c:valAx>
        <c:axId val="68456607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Arial Narrow" panose="020B0606020202030204" pitchFamily="34" charset="0"/>
                    <a:ea typeface="+mn-ea"/>
                    <a:cs typeface="+mn-cs"/>
                  </a:defRPr>
                </a:pPr>
                <a:r>
                  <a:rPr lang="en-AU"/>
                  <a:t>Real GDP (AUD Billions)</a:t>
                </a:r>
              </a:p>
            </c:rich>
          </c:tx>
          <c:layout>
            <c:manualLayout>
              <c:xMode val="edge"/>
              <c:yMode val="edge"/>
              <c:x val="1.3726905183181613E-2"/>
              <c:y val="7.996969942186137E-2"/>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Narrow" panose="020B0606020202030204" pitchFamily="34" charset="0"/>
                  <a:ea typeface="+mn-ea"/>
                  <a:cs typeface="+mn-cs"/>
                </a:defRPr>
              </a:pPr>
              <a:endParaRPr lang="en-US"/>
            </a:p>
          </c:txPr>
        </c:title>
        <c:numFmt formatCode="#,##0" sourceLinked="0"/>
        <c:majorTickMark val="none"/>
        <c:minorTickMark val="none"/>
        <c:tickLblPos val="nextTo"/>
        <c:spPr>
          <a:noFill/>
          <a:ln>
            <a:solidFill>
              <a:schemeClr val="tx1">
                <a:lumMod val="65000"/>
                <a:lumOff val="35000"/>
              </a:schemeClr>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n-US"/>
          </a:p>
        </c:txPr>
        <c:crossAx val="684565432"/>
        <c:crosses val="autoZero"/>
        <c:crossBetween val="midCat"/>
      </c:valAx>
      <c:spPr>
        <a:noFill/>
        <a:ln>
          <a:solidFill>
            <a:schemeClr val="tx1">
              <a:lumMod val="65000"/>
              <a:lumOff val="35000"/>
            </a:schemeClr>
          </a:solidFill>
        </a:ln>
        <a:effectLst/>
      </c:spPr>
    </c:plotArea>
    <c:legend>
      <c:legendPos val="b"/>
      <c:layout>
        <c:manualLayout>
          <c:xMode val="edge"/>
          <c:yMode val="edge"/>
          <c:x val="0.16407605587123744"/>
          <c:y val="0.90814564058299396"/>
          <c:w val="0.6718475318904028"/>
          <c:h val="9.1854359417006093E-2"/>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latin typeface="Arial Narrow" panose="020B0606020202030204" pitchFamily="34" charset="0"/>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8332895954979189"/>
          <c:y val="6.3505484564576026E-2"/>
          <c:w val="0.77276481436933686"/>
          <c:h val="0.69382810333619727"/>
        </c:manualLayout>
      </c:layout>
      <c:lineChart>
        <c:grouping val="standard"/>
        <c:varyColors val="0"/>
        <c:ser>
          <c:idx val="0"/>
          <c:order val="0"/>
          <c:tx>
            <c:strRef>
              <c:f>'[iSDG Simulation Results.xlsx]BBaB_charts'!$A$10</c:f>
              <c:strCache>
                <c:ptCount val="1"/>
                <c:pt idx="0">
                  <c:v>BBS Baseline</c:v>
                </c:pt>
              </c:strCache>
            </c:strRef>
          </c:tx>
          <c:spPr>
            <a:ln w="28575" cap="rnd">
              <a:solidFill>
                <a:srgbClr val="FFC000"/>
              </a:solidFill>
              <a:round/>
            </a:ln>
            <a:effectLst/>
          </c:spPr>
          <c:marker>
            <c:symbol val="none"/>
          </c:marker>
          <c:cat>
            <c:numRef>
              <c:f>'[iSDG Simulation Results.xlsx]BBaB_charts'!$B$9:$AP$9</c:f>
              <c:numCache>
                <c:formatCode>General</c:formatCode>
                <c:ptCount val="4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pt idx="32">
                  <c:v>2022</c:v>
                </c:pt>
                <c:pt idx="33">
                  <c:v>2023</c:v>
                </c:pt>
                <c:pt idx="34">
                  <c:v>2024</c:v>
                </c:pt>
                <c:pt idx="35">
                  <c:v>2025</c:v>
                </c:pt>
                <c:pt idx="36">
                  <c:v>2026</c:v>
                </c:pt>
                <c:pt idx="37">
                  <c:v>2027</c:v>
                </c:pt>
                <c:pt idx="38">
                  <c:v>2028</c:v>
                </c:pt>
                <c:pt idx="39">
                  <c:v>2029</c:v>
                </c:pt>
                <c:pt idx="40">
                  <c:v>2030</c:v>
                </c:pt>
              </c:numCache>
            </c:numRef>
          </c:cat>
          <c:val>
            <c:numRef>
              <c:f>'[iSDG Simulation Results.xlsx]BBaB_charts'!$B$10:$AP$10</c:f>
              <c:numCache>
                <c:formatCode>General</c:formatCode>
                <c:ptCount val="41"/>
                <c:pt idx="0">
                  <c:v>8.1590099999999999E-2</c:v>
                </c:pt>
                <c:pt idx="1">
                  <c:v>0.11611299999999999</c:v>
                </c:pt>
                <c:pt idx="2">
                  <c:v>0.11169999999999999</c:v>
                </c:pt>
                <c:pt idx="3">
                  <c:v>0.102506</c:v>
                </c:pt>
                <c:pt idx="4">
                  <c:v>0.117729</c:v>
                </c:pt>
                <c:pt idx="5">
                  <c:v>9.9501000000000006E-2</c:v>
                </c:pt>
                <c:pt idx="6">
                  <c:v>9.9185899999999994E-2</c:v>
                </c:pt>
                <c:pt idx="7">
                  <c:v>8.45606E-2</c:v>
                </c:pt>
                <c:pt idx="8">
                  <c:v>7.6040800000000006E-2</c:v>
                </c:pt>
                <c:pt idx="9">
                  <c:v>7.1491899999999997E-2</c:v>
                </c:pt>
                <c:pt idx="10">
                  <c:v>6.4151899999999998E-2</c:v>
                </c:pt>
                <c:pt idx="11">
                  <c:v>6.4227400000000004E-2</c:v>
                </c:pt>
                <c:pt idx="12">
                  <c:v>5.2255599999999999E-2</c:v>
                </c:pt>
                <c:pt idx="13">
                  <c:v>5.0180299999999997E-2</c:v>
                </c:pt>
                <c:pt idx="14">
                  <c:v>4.5372900000000001E-2</c:v>
                </c:pt>
                <c:pt idx="15">
                  <c:v>4.9304500000000001E-2</c:v>
                </c:pt>
                <c:pt idx="16">
                  <c:v>5.1452600000000001E-2</c:v>
                </c:pt>
                <c:pt idx="17">
                  <c:v>5.31914E-2</c:v>
                </c:pt>
                <c:pt idx="18">
                  <c:v>5.3511700000000002E-2</c:v>
                </c:pt>
                <c:pt idx="19">
                  <c:v>5.4896300000000002E-2</c:v>
                </c:pt>
                <c:pt idx="20">
                  <c:v>5.8029600000000001E-2</c:v>
                </c:pt>
                <c:pt idx="21">
                  <c:v>5.2458499999999998E-2</c:v>
                </c:pt>
                <c:pt idx="22">
                  <c:v>5.6157199999999997E-2</c:v>
                </c:pt>
                <c:pt idx="23">
                  <c:v>5.4350799999999998E-2</c:v>
                </c:pt>
                <c:pt idx="24">
                  <c:v>5.7829499999999999E-2</c:v>
                </c:pt>
                <c:pt idx="25">
                  <c:v>5.73146E-2</c:v>
                </c:pt>
                <c:pt idx="26">
                  <c:v>5.2899799999999997E-2</c:v>
                </c:pt>
                <c:pt idx="27">
                  <c:v>5.3221499999999998E-2</c:v>
                </c:pt>
                <c:pt idx="28">
                  <c:v>5.5721300000000001E-2</c:v>
                </c:pt>
                <c:pt idx="29">
                  <c:v>5.97636E-2</c:v>
                </c:pt>
                <c:pt idx="30">
                  <c:v>6.3712599999999994E-2</c:v>
                </c:pt>
                <c:pt idx="31">
                  <c:v>5.5287599999999999E-2</c:v>
                </c:pt>
                <c:pt idx="32">
                  <c:v>5.0475800000000001E-2</c:v>
                </c:pt>
                <c:pt idx="33">
                  <c:v>4.8930099999999997E-2</c:v>
                </c:pt>
                <c:pt idx="34">
                  <c:v>4.7414999999999999E-2</c:v>
                </c:pt>
                <c:pt idx="35">
                  <c:v>4.6146800000000002E-2</c:v>
                </c:pt>
                <c:pt idx="36">
                  <c:v>4.5942400000000001E-2</c:v>
                </c:pt>
                <c:pt idx="37">
                  <c:v>4.5509300000000003E-2</c:v>
                </c:pt>
                <c:pt idx="38">
                  <c:v>4.5242999999999998E-2</c:v>
                </c:pt>
                <c:pt idx="39">
                  <c:v>4.4933099999999997E-2</c:v>
                </c:pt>
                <c:pt idx="40">
                  <c:v>4.4596299999999998E-2</c:v>
                </c:pt>
              </c:numCache>
            </c:numRef>
          </c:val>
          <c:smooth val="0"/>
          <c:extLst>
            <c:ext xmlns:c16="http://schemas.microsoft.com/office/drawing/2014/chart" uri="{C3380CC4-5D6E-409C-BE32-E72D297353CC}">
              <c16:uniqueId val="{00000000-A786-4A62-9ADF-D58C9C587776}"/>
            </c:ext>
          </c:extLst>
        </c:ser>
        <c:ser>
          <c:idx val="1"/>
          <c:order val="1"/>
          <c:tx>
            <c:strRef>
              <c:f>'[iSDG Simulation Results.xlsx]BBaB_charts'!$A$11</c:f>
              <c:strCache>
                <c:ptCount val="1"/>
                <c:pt idx="0">
                  <c:v>Data</c:v>
                </c:pt>
              </c:strCache>
            </c:strRef>
          </c:tx>
          <c:spPr>
            <a:ln w="28575" cap="rnd">
              <a:solidFill>
                <a:sysClr val="windowText" lastClr="000000">
                  <a:lumMod val="50000"/>
                  <a:lumOff val="50000"/>
                </a:sysClr>
              </a:solidFill>
              <a:prstDash val="dash"/>
              <a:round/>
            </a:ln>
            <a:effectLst/>
          </c:spPr>
          <c:marker>
            <c:symbol val="none"/>
          </c:marker>
          <c:cat>
            <c:numRef>
              <c:f>'[iSDG Simulation Results.xlsx]BBaB_charts'!$B$9:$AP$9</c:f>
              <c:numCache>
                <c:formatCode>General</c:formatCode>
                <c:ptCount val="4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pt idx="32">
                  <c:v>2022</c:v>
                </c:pt>
                <c:pt idx="33">
                  <c:v>2023</c:v>
                </c:pt>
                <c:pt idx="34">
                  <c:v>2024</c:v>
                </c:pt>
                <c:pt idx="35">
                  <c:v>2025</c:v>
                </c:pt>
                <c:pt idx="36">
                  <c:v>2026</c:v>
                </c:pt>
                <c:pt idx="37">
                  <c:v>2027</c:v>
                </c:pt>
                <c:pt idx="38">
                  <c:v>2028</c:v>
                </c:pt>
                <c:pt idx="39">
                  <c:v>2029</c:v>
                </c:pt>
                <c:pt idx="40">
                  <c:v>2030</c:v>
                </c:pt>
              </c:numCache>
            </c:numRef>
          </c:cat>
          <c:val>
            <c:numRef>
              <c:f>'[iSDG Simulation Results.xlsx]BBaB_charts'!$B$11:$AP$11</c:f>
              <c:numCache>
                <c:formatCode>General</c:formatCode>
                <c:ptCount val="41"/>
                <c:pt idx="0">
                  <c:v>7.2646299999999997E-2</c:v>
                </c:pt>
                <c:pt idx="1">
                  <c:v>9.8818699999999995E-2</c:v>
                </c:pt>
                <c:pt idx="2">
                  <c:v>0.109431</c:v>
                </c:pt>
                <c:pt idx="3">
                  <c:v>0.110864</c:v>
                </c:pt>
                <c:pt idx="4">
                  <c:v>9.4775899999999996E-2</c:v>
                </c:pt>
                <c:pt idx="5">
                  <c:v>8.4906099999999998E-2</c:v>
                </c:pt>
                <c:pt idx="6">
                  <c:v>8.5927000000000003E-2</c:v>
                </c:pt>
                <c:pt idx="7">
                  <c:v>8.4277599999999994E-2</c:v>
                </c:pt>
                <c:pt idx="8">
                  <c:v>7.8246099999999999E-2</c:v>
                </c:pt>
                <c:pt idx="9">
                  <c:v>6.8409800000000007E-2</c:v>
                </c:pt>
                <c:pt idx="10">
                  <c:v>6.2602000000000005E-2</c:v>
                </c:pt>
                <c:pt idx="11">
                  <c:v>6.9719900000000001E-2</c:v>
                </c:pt>
                <c:pt idx="12">
                  <c:v>6.3554399999999997E-2</c:v>
                </c:pt>
                <c:pt idx="13">
                  <c:v>5.9034900000000001E-2</c:v>
                </c:pt>
                <c:pt idx="14">
                  <c:v>5.4526600000000001E-2</c:v>
                </c:pt>
                <c:pt idx="15">
                  <c:v>5.0332799999999997E-2</c:v>
                </c:pt>
                <c:pt idx="16">
                  <c:v>4.7671100000000001E-2</c:v>
                </c:pt>
                <c:pt idx="17">
                  <c:v>4.3741000000000002E-2</c:v>
                </c:pt>
                <c:pt idx="18">
                  <c:v>4.2378600000000002E-2</c:v>
                </c:pt>
                <c:pt idx="19">
                  <c:v>5.7844899999999998E-2</c:v>
                </c:pt>
                <c:pt idx="20">
                  <c:v>5.1683899999999998E-2</c:v>
                </c:pt>
                <c:pt idx="21">
                  <c:v>5.2236200000000003E-2</c:v>
                </c:pt>
                <c:pt idx="22">
                  <c:v>5.2569400000000002E-2</c:v>
                </c:pt>
                <c:pt idx="23">
                  <c:v>5.6917200000000001E-2</c:v>
                </c:pt>
                <c:pt idx="24">
                  <c:v>5.9125299999999999E-2</c:v>
                </c:pt>
                <c:pt idx="25">
                  <c:v>6.1598100000000003E-2</c:v>
                </c:pt>
                <c:pt idx="26">
                  <c:v>5.7103000000000001E-2</c:v>
                </c:pt>
                <c:pt idx="27">
                  <c:v>5.5937599999999997E-2</c:v>
                </c:pt>
                <c:pt idx="28">
                  <c:v>5.29986E-2</c:v>
                </c:pt>
                <c:pt idx="29">
                  <c:v>5.1600300000000002E-2</c:v>
                </c:pt>
                <c:pt idx="30">
                  <c:v>6.4600000000000005E-2</c:v>
                </c:pt>
                <c:pt idx="31">
                  <c:v>5.11E-2</c:v>
                </c:pt>
              </c:numCache>
            </c:numRef>
          </c:val>
          <c:smooth val="0"/>
          <c:extLst>
            <c:ext xmlns:c16="http://schemas.microsoft.com/office/drawing/2014/chart" uri="{C3380CC4-5D6E-409C-BE32-E72D297353CC}">
              <c16:uniqueId val="{00000001-A786-4A62-9ADF-D58C9C587776}"/>
            </c:ext>
          </c:extLst>
        </c:ser>
        <c:dLbls>
          <c:showLegendKey val="0"/>
          <c:showVal val="0"/>
          <c:showCatName val="0"/>
          <c:showSerName val="0"/>
          <c:showPercent val="0"/>
          <c:showBubbleSize val="0"/>
        </c:dLbls>
        <c:smooth val="0"/>
        <c:axId val="684565432"/>
        <c:axId val="684566072"/>
      </c:lineChart>
      <c:catAx>
        <c:axId val="684565432"/>
        <c:scaling>
          <c:orientation val="minMax"/>
        </c:scaling>
        <c:delete val="0"/>
        <c:axPos val="b"/>
        <c:numFmt formatCode="General" sourceLinked="1"/>
        <c:majorTickMark val="in"/>
        <c:minorTickMark val="none"/>
        <c:tickLblPos val="nextTo"/>
        <c:spPr>
          <a:noFill/>
          <a:ln w="9525" cap="flat" cmpd="sng" algn="ctr">
            <a:solidFill>
              <a:schemeClr val="tx1">
                <a:lumMod val="65000"/>
                <a:lumOff val="35000"/>
              </a:schemeClr>
            </a:solidFill>
            <a:round/>
          </a:ln>
          <a:effectLst/>
        </c:spPr>
        <c:txPr>
          <a:bodyPr rot="-4200000" spcFirstLastPara="1" vertOverflow="ellipsis"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n-US"/>
          </a:p>
        </c:txPr>
        <c:crossAx val="684566072"/>
        <c:crosses val="autoZero"/>
        <c:auto val="1"/>
        <c:lblAlgn val="ctr"/>
        <c:lblOffset val="100"/>
        <c:noMultiLvlLbl val="0"/>
      </c:catAx>
      <c:valAx>
        <c:axId val="68456607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Arial Narrow" panose="020B0606020202030204" pitchFamily="34" charset="0"/>
                    <a:ea typeface="+mn-ea"/>
                    <a:cs typeface="+mn-cs"/>
                  </a:defRPr>
                </a:pPr>
                <a:r>
                  <a:rPr lang="en-AU"/>
                  <a:t>Unemployment Rate (%)</a:t>
                </a:r>
              </a:p>
            </c:rich>
          </c:tx>
          <c:layout>
            <c:manualLayout>
              <c:xMode val="edge"/>
              <c:yMode val="edge"/>
              <c:x val="1.3726755162886991E-2"/>
              <c:y val="0.11891526995513249"/>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Narrow" panose="020B0606020202030204" pitchFamily="34" charset="0"/>
                  <a:ea typeface="+mn-ea"/>
                  <a:cs typeface="+mn-cs"/>
                </a:defRPr>
              </a:pPr>
              <a:endParaRPr lang="en-US"/>
            </a:p>
          </c:txPr>
        </c:title>
        <c:numFmt formatCode="0%" sourceLinked="0"/>
        <c:majorTickMark val="none"/>
        <c:minorTickMark val="none"/>
        <c:tickLblPos val="nextTo"/>
        <c:spPr>
          <a:noFill/>
          <a:ln>
            <a:solidFill>
              <a:schemeClr val="tx1">
                <a:lumMod val="65000"/>
                <a:lumOff val="35000"/>
              </a:schemeClr>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n-US"/>
          </a:p>
        </c:txPr>
        <c:crossAx val="684565432"/>
        <c:crosses val="autoZero"/>
        <c:crossBetween val="midCat"/>
      </c:valAx>
      <c:spPr>
        <a:noFill/>
        <a:ln>
          <a:solidFill>
            <a:schemeClr val="tx1">
              <a:lumMod val="65000"/>
              <a:lumOff val="35000"/>
            </a:schemeClr>
          </a:solidFill>
        </a:ln>
        <a:effectLst/>
      </c:spPr>
    </c:plotArea>
    <c:legend>
      <c:legendPos val="b"/>
      <c:layout>
        <c:manualLayout>
          <c:xMode val="edge"/>
          <c:yMode val="edge"/>
          <c:x val="0.15642691043220272"/>
          <c:y val="0.8955732540537592"/>
          <c:w val="0.68714617913559461"/>
          <c:h val="9.2880294207226988E-2"/>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latin typeface="Arial Narrow" panose="020B0606020202030204" pitchFamily="34" charset="0"/>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8415322957814378"/>
          <c:y val="6.7028437906332922E-2"/>
          <c:w val="0.74966434260798231"/>
          <c:h val="0.68903027075266654"/>
        </c:manualLayout>
      </c:layout>
      <c:lineChart>
        <c:grouping val="standard"/>
        <c:varyColors val="0"/>
        <c:ser>
          <c:idx val="0"/>
          <c:order val="0"/>
          <c:tx>
            <c:strRef>
              <c:f>'[iSDG Simulation Results.xlsx]BBaB_charts'!$A$17</c:f>
              <c:strCache>
                <c:ptCount val="1"/>
                <c:pt idx="0">
                  <c:v>BBS Baseline</c:v>
                </c:pt>
              </c:strCache>
            </c:strRef>
          </c:tx>
          <c:spPr>
            <a:ln w="28575" cap="rnd">
              <a:solidFill>
                <a:srgbClr val="FFC000"/>
              </a:solidFill>
              <a:round/>
            </a:ln>
            <a:effectLst/>
          </c:spPr>
          <c:marker>
            <c:symbol val="none"/>
          </c:marker>
          <c:cat>
            <c:numRef>
              <c:f>'[iSDG Simulation Results.xlsx]BBaB_charts'!$B$16:$AP$16</c:f>
              <c:numCache>
                <c:formatCode>General</c:formatCode>
                <c:ptCount val="4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pt idx="32">
                  <c:v>2022</c:v>
                </c:pt>
                <c:pt idx="33">
                  <c:v>2023</c:v>
                </c:pt>
                <c:pt idx="34">
                  <c:v>2024</c:v>
                </c:pt>
                <c:pt idx="35">
                  <c:v>2025</c:v>
                </c:pt>
                <c:pt idx="36">
                  <c:v>2026</c:v>
                </c:pt>
                <c:pt idx="37">
                  <c:v>2027</c:v>
                </c:pt>
                <c:pt idx="38">
                  <c:v>2028</c:v>
                </c:pt>
                <c:pt idx="39">
                  <c:v>2029</c:v>
                </c:pt>
                <c:pt idx="40">
                  <c:v>2030</c:v>
                </c:pt>
              </c:numCache>
            </c:numRef>
          </c:cat>
          <c:val>
            <c:numRef>
              <c:f>'[iSDG Simulation Results.xlsx]BBaB_charts'!$B$17:$AP$17</c:f>
              <c:numCache>
                <c:formatCode>0.00E+00</c:formatCode>
                <c:ptCount val="41"/>
                <c:pt idx="0">
                  <c:v>442.036</c:v>
                </c:pt>
                <c:pt idx="1">
                  <c:v>444.47699999999998</c:v>
                </c:pt>
                <c:pt idx="2">
                  <c:v>440.87599999999998</c:v>
                </c:pt>
                <c:pt idx="3">
                  <c:v>442.81299999999999</c:v>
                </c:pt>
                <c:pt idx="4">
                  <c:v>436.846</c:v>
                </c:pt>
                <c:pt idx="5">
                  <c:v>437.279</c:v>
                </c:pt>
                <c:pt idx="6">
                  <c:v>455.93900000000002</c:v>
                </c:pt>
                <c:pt idx="7">
                  <c:v>464.68099999999998</c:v>
                </c:pt>
                <c:pt idx="8">
                  <c:v>482.40600000000001</c:v>
                </c:pt>
                <c:pt idx="9">
                  <c:v>484.96699999999998</c:v>
                </c:pt>
                <c:pt idx="10">
                  <c:v>474.71899999999999</c:v>
                </c:pt>
                <c:pt idx="11">
                  <c:v>511.55200000000002</c:v>
                </c:pt>
                <c:pt idx="12">
                  <c:v>533.41899999999998</c:v>
                </c:pt>
                <c:pt idx="13">
                  <c:v>529.274</c:v>
                </c:pt>
                <c:pt idx="14">
                  <c:v>541.10900000000004</c:v>
                </c:pt>
                <c:pt idx="15">
                  <c:v>542.75699999999995</c:v>
                </c:pt>
                <c:pt idx="16">
                  <c:v>547.154</c:v>
                </c:pt>
                <c:pt idx="17">
                  <c:v>554.34799999999996</c:v>
                </c:pt>
                <c:pt idx="18">
                  <c:v>568.96</c:v>
                </c:pt>
                <c:pt idx="19">
                  <c:v>577.58399999999995</c:v>
                </c:pt>
                <c:pt idx="20">
                  <c:v>580.60500000000002</c:v>
                </c:pt>
                <c:pt idx="21">
                  <c:v>577.64200000000005</c:v>
                </c:pt>
                <c:pt idx="22">
                  <c:v>574.46100000000001</c:v>
                </c:pt>
                <c:pt idx="23">
                  <c:v>567.03499999999997</c:v>
                </c:pt>
                <c:pt idx="24">
                  <c:v>560.447</c:v>
                </c:pt>
                <c:pt idx="25">
                  <c:v>559.60699999999997</c:v>
                </c:pt>
                <c:pt idx="26">
                  <c:v>569.63800000000003</c:v>
                </c:pt>
                <c:pt idx="27">
                  <c:v>577.48800000000006</c:v>
                </c:pt>
                <c:pt idx="28">
                  <c:v>570.70100000000002</c:v>
                </c:pt>
                <c:pt idx="29">
                  <c:v>564.13199999999995</c:v>
                </c:pt>
                <c:pt idx="30">
                  <c:v>543.26</c:v>
                </c:pt>
                <c:pt idx="31">
                  <c:v>550.22299999999996</c:v>
                </c:pt>
                <c:pt idx="32">
                  <c:v>549.029</c:v>
                </c:pt>
                <c:pt idx="33">
                  <c:v>545.88199999999995</c:v>
                </c:pt>
                <c:pt idx="34">
                  <c:v>543.38</c:v>
                </c:pt>
                <c:pt idx="35">
                  <c:v>540.57799999999997</c:v>
                </c:pt>
                <c:pt idx="36">
                  <c:v>536.91899999999998</c:v>
                </c:pt>
                <c:pt idx="37">
                  <c:v>533.31200000000001</c:v>
                </c:pt>
                <c:pt idx="38">
                  <c:v>529.79899999999998</c:v>
                </c:pt>
                <c:pt idx="39">
                  <c:v>526.25900000000001</c:v>
                </c:pt>
                <c:pt idx="40">
                  <c:v>522.52599999999995</c:v>
                </c:pt>
              </c:numCache>
            </c:numRef>
          </c:val>
          <c:smooth val="0"/>
          <c:extLst>
            <c:ext xmlns:c16="http://schemas.microsoft.com/office/drawing/2014/chart" uri="{C3380CC4-5D6E-409C-BE32-E72D297353CC}">
              <c16:uniqueId val="{00000000-BFF8-4974-8A95-290627565D23}"/>
            </c:ext>
          </c:extLst>
        </c:ser>
        <c:ser>
          <c:idx val="1"/>
          <c:order val="1"/>
          <c:tx>
            <c:strRef>
              <c:f>'[iSDG Simulation Results.xlsx]BBaB_charts'!$A$18</c:f>
              <c:strCache>
                <c:ptCount val="1"/>
                <c:pt idx="0">
                  <c:v>Data</c:v>
                </c:pt>
              </c:strCache>
            </c:strRef>
          </c:tx>
          <c:spPr>
            <a:ln w="28575" cap="rnd">
              <a:solidFill>
                <a:sysClr val="windowText" lastClr="000000">
                  <a:lumMod val="50000"/>
                  <a:lumOff val="50000"/>
                </a:sysClr>
              </a:solidFill>
              <a:prstDash val="dash"/>
              <a:round/>
            </a:ln>
            <a:effectLst/>
          </c:spPr>
          <c:marker>
            <c:symbol val="none"/>
          </c:marker>
          <c:cat>
            <c:numRef>
              <c:f>'[iSDG Simulation Results.xlsx]BBaB_charts'!$B$16:$AP$16</c:f>
              <c:numCache>
                <c:formatCode>General</c:formatCode>
                <c:ptCount val="4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pt idx="32">
                  <c:v>2022</c:v>
                </c:pt>
                <c:pt idx="33">
                  <c:v>2023</c:v>
                </c:pt>
                <c:pt idx="34">
                  <c:v>2024</c:v>
                </c:pt>
                <c:pt idx="35">
                  <c:v>2025</c:v>
                </c:pt>
                <c:pt idx="36">
                  <c:v>2026</c:v>
                </c:pt>
                <c:pt idx="37">
                  <c:v>2027</c:v>
                </c:pt>
                <c:pt idx="38">
                  <c:v>2028</c:v>
                </c:pt>
                <c:pt idx="39">
                  <c:v>2029</c:v>
                </c:pt>
                <c:pt idx="40">
                  <c:v>2030</c:v>
                </c:pt>
              </c:numCache>
            </c:numRef>
          </c:cat>
          <c:val>
            <c:numRef>
              <c:f>'[iSDG Simulation Results.xlsx]BBaB_charts'!$B$18:$AP$18</c:f>
              <c:numCache>
                <c:formatCode>0.00E+00</c:formatCode>
                <c:ptCount val="41"/>
                <c:pt idx="0">
                  <c:v>436.00200000000001</c:v>
                </c:pt>
                <c:pt idx="1">
                  <c:v>435.995</c:v>
                </c:pt>
                <c:pt idx="2">
                  <c:v>439.6</c:v>
                </c:pt>
                <c:pt idx="3">
                  <c:v>440.13200000000001</c:v>
                </c:pt>
                <c:pt idx="4">
                  <c:v>440.46899999999999</c:v>
                </c:pt>
                <c:pt idx="5">
                  <c:v>448.91899999999998</c:v>
                </c:pt>
                <c:pt idx="6">
                  <c:v>455.49</c:v>
                </c:pt>
                <c:pt idx="7">
                  <c:v>467.82100000000003</c:v>
                </c:pt>
                <c:pt idx="8">
                  <c:v>481.38099999999997</c:v>
                </c:pt>
                <c:pt idx="9">
                  <c:v>487.60399999999998</c:v>
                </c:pt>
                <c:pt idx="10">
                  <c:v>499.315</c:v>
                </c:pt>
                <c:pt idx="11">
                  <c:v>506.86900000000003</c:v>
                </c:pt>
                <c:pt idx="12">
                  <c:v>510.15899999999999</c:v>
                </c:pt>
                <c:pt idx="13">
                  <c:v>510.935</c:v>
                </c:pt>
                <c:pt idx="14">
                  <c:v>527.98900000000003</c:v>
                </c:pt>
                <c:pt idx="15">
                  <c:v>534.83500000000004</c:v>
                </c:pt>
                <c:pt idx="16">
                  <c:v>538.68899999999996</c:v>
                </c:pt>
                <c:pt idx="17">
                  <c:v>545.18299999999999</c:v>
                </c:pt>
                <c:pt idx="18">
                  <c:v>547.76400000000001</c:v>
                </c:pt>
                <c:pt idx="19">
                  <c:v>550.67700000000002</c:v>
                </c:pt>
                <c:pt idx="20">
                  <c:v>545.57299999999998</c:v>
                </c:pt>
                <c:pt idx="21">
                  <c:v>547.26599999999996</c:v>
                </c:pt>
                <c:pt idx="22">
                  <c:v>549.59699999999998</c:v>
                </c:pt>
                <c:pt idx="23">
                  <c:v>540.48299999999995</c:v>
                </c:pt>
                <c:pt idx="24">
                  <c:v>534.43600000000004</c:v>
                </c:pt>
                <c:pt idx="25">
                  <c:v>542.83399999999995</c:v>
                </c:pt>
                <c:pt idx="26">
                  <c:v>551.98699999999997</c:v>
                </c:pt>
                <c:pt idx="27">
                  <c:v>559.04300000000001</c:v>
                </c:pt>
                <c:pt idx="28">
                  <c:v>559.66200000000003</c:v>
                </c:pt>
                <c:pt idx="29">
                  <c:v>554.36099999999999</c:v>
                </c:pt>
                <c:pt idx="30">
                  <c:v>543.26</c:v>
                </c:pt>
              </c:numCache>
            </c:numRef>
          </c:val>
          <c:smooth val="0"/>
          <c:extLst>
            <c:ext xmlns:c16="http://schemas.microsoft.com/office/drawing/2014/chart" uri="{C3380CC4-5D6E-409C-BE32-E72D297353CC}">
              <c16:uniqueId val="{00000001-BFF8-4974-8A95-290627565D23}"/>
            </c:ext>
          </c:extLst>
        </c:ser>
        <c:dLbls>
          <c:showLegendKey val="0"/>
          <c:showVal val="0"/>
          <c:showCatName val="0"/>
          <c:showSerName val="0"/>
          <c:showPercent val="0"/>
          <c:showBubbleSize val="0"/>
        </c:dLbls>
        <c:smooth val="0"/>
        <c:axId val="684565432"/>
        <c:axId val="684566072"/>
      </c:lineChart>
      <c:catAx>
        <c:axId val="684565432"/>
        <c:scaling>
          <c:orientation val="minMax"/>
        </c:scaling>
        <c:delete val="0"/>
        <c:axPos val="b"/>
        <c:numFmt formatCode="General" sourceLinked="1"/>
        <c:majorTickMark val="in"/>
        <c:minorTickMark val="none"/>
        <c:tickLblPos val="nextTo"/>
        <c:spPr>
          <a:noFill/>
          <a:ln w="9525" cap="flat" cmpd="sng" algn="ctr">
            <a:solidFill>
              <a:schemeClr val="tx1">
                <a:lumMod val="65000"/>
                <a:lumOff val="35000"/>
              </a:schemeClr>
            </a:solidFill>
            <a:round/>
          </a:ln>
          <a:effectLst/>
        </c:spPr>
        <c:txPr>
          <a:bodyPr rot="-4200000" spcFirstLastPara="1" vertOverflow="ellipsis"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n-US"/>
          </a:p>
        </c:txPr>
        <c:crossAx val="684566072"/>
        <c:crosses val="autoZero"/>
        <c:auto val="1"/>
        <c:lblAlgn val="ctr"/>
        <c:lblOffset val="100"/>
        <c:noMultiLvlLbl val="0"/>
      </c:catAx>
      <c:valAx>
        <c:axId val="68456607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Arial Narrow" panose="020B0606020202030204" pitchFamily="34" charset="0"/>
                    <a:ea typeface="+mn-ea"/>
                    <a:cs typeface="+mn-cs"/>
                  </a:defRPr>
                </a:pPr>
                <a:r>
                  <a:rPr lang="en-AU"/>
                  <a:t>Total GHG Emissions (Mt CO2-eq</a:t>
                </a:r>
              </a:p>
            </c:rich>
          </c:tx>
          <c:layout>
            <c:manualLayout>
              <c:xMode val="edge"/>
              <c:yMode val="edge"/>
              <c:x val="1.9786877342946936E-5"/>
              <c:y val="4.3686995907282915E-2"/>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Narrow" panose="020B0606020202030204" pitchFamily="34" charset="0"/>
                  <a:ea typeface="+mn-ea"/>
                  <a:cs typeface="+mn-cs"/>
                </a:defRPr>
              </a:pPr>
              <a:endParaRPr lang="en-US"/>
            </a:p>
          </c:txPr>
        </c:title>
        <c:numFmt formatCode="0" sourceLinked="0"/>
        <c:majorTickMark val="none"/>
        <c:minorTickMark val="none"/>
        <c:tickLblPos val="nextTo"/>
        <c:spPr>
          <a:noFill/>
          <a:ln>
            <a:solidFill>
              <a:schemeClr val="tx1">
                <a:lumMod val="65000"/>
                <a:lumOff val="35000"/>
              </a:schemeClr>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n-US"/>
          </a:p>
        </c:txPr>
        <c:crossAx val="684565432"/>
        <c:crosses val="autoZero"/>
        <c:crossBetween val="midCat"/>
      </c:valAx>
      <c:spPr>
        <a:noFill/>
        <a:ln>
          <a:solidFill>
            <a:schemeClr val="tx1">
              <a:lumMod val="65000"/>
              <a:lumOff val="35000"/>
            </a:schemeClr>
          </a:solidFill>
        </a:ln>
        <a:effectLst/>
      </c:spPr>
    </c:plotArea>
    <c:legend>
      <c:legendPos val="b"/>
      <c:layout>
        <c:manualLayout>
          <c:xMode val="edge"/>
          <c:yMode val="edge"/>
          <c:x val="0.16087666659471436"/>
          <c:y val="0.89587369673590223"/>
          <c:w val="0.67824666681057122"/>
          <c:h val="9.8032808908976629E-2"/>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latin typeface="Arial Narrow" panose="020B0606020202030204" pitchFamily="34" charset="0"/>
        </a:defRPr>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9156366137993436"/>
          <c:y val="5.0855293573740176E-2"/>
          <c:w val="0.76339741720319143"/>
          <c:h val="0.70396176206129568"/>
        </c:manualLayout>
      </c:layout>
      <c:lineChart>
        <c:grouping val="standard"/>
        <c:varyColors val="0"/>
        <c:ser>
          <c:idx val="0"/>
          <c:order val="0"/>
          <c:tx>
            <c:strRef>
              <c:f>'[iSDG Simulation Results.xlsx]BBaB_charts'!$A$32</c:f>
              <c:strCache>
                <c:ptCount val="1"/>
                <c:pt idx="0">
                  <c:v>BBS</c:v>
                </c:pt>
              </c:strCache>
            </c:strRef>
          </c:tx>
          <c:spPr>
            <a:ln w="28575" cap="rnd">
              <a:solidFill>
                <a:srgbClr val="FFC000"/>
              </a:solidFill>
              <a:round/>
            </a:ln>
            <a:effectLst/>
          </c:spPr>
          <c:marker>
            <c:symbol val="none"/>
          </c:marker>
          <c:cat>
            <c:numRef>
              <c:f>'[iSDG Simulation Results.xlsx]BBaB_charts'!$W$31:$AQ$31</c:f>
              <c:numCache>
                <c:formatCode>General</c:formatCode>
                <c:ptCount val="21"/>
                <c:pt idx="0">
                  <c:v>2011</c:v>
                </c:pt>
                <c:pt idx="1">
                  <c:v>2012</c:v>
                </c:pt>
                <c:pt idx="2">
                  <c:v>2013</c:v>
                </c:pt>
                <c:pt idx="3">
                  <c:v>2014</c:v>
                </c:pt>
                <c:pt idx="4">
                  <c:v>2015</c:v>
                </c:pt>
                <c:pt idx="5">
                  <c:v>2016</c:v>
                </c:pt>
                <c:pt idx="6">
                  <c:v>2017</c:v>
                </c:pt>
                <c:pt idx="7">
                  <c:v>2018</c:v>
                </c:pt>
                <c:pt idx="8">
                  <c:v>2019</c:v>
                </c:pt>
                <c:pt idx="9">
                  <c:v>2020</c:v>
                </c:pt>
                <c:pt idx="10">
                  <c:v>2021</c:v>
                </c:pt>
                <c:pt idx="11">
                  <c:v>2022</c:v>
                </c:pt>
                <c:pt idx="12">
                  <c:v>2023</c:v>
                </c:pt>
                <c:pt idx="13">
                  <c:v>2024</c:v>
                </c:pt>
                <c:pt idx="14">
                  <c:v>2025</c:v>
                </c:pt>
                <c:pt idx="15">
                  <c:v>2026</c:v>
                </c:pt>
                <c:pt idx="16">
                  <c:v>2027</c:v>
                </c:pt>
                <c:pt idx="17">
                  <c:v>2028</c:v>
                </c:pt>
                <c:pt idx="18">
                  <c:v>2029</c:v>
                </c:pt>
                <c:pt idx="19">
                  <c:v>2030</c:v>
                </c:pt>
                <c:pt idx="20">
                  <c:v>2031</c:v>
                </c:pt>
              </c:numCache>
            </c:numRef>
          </c:cat>
          <c:val>
            <c:numRef>
              <c:f>'[iSDG Simulation Results.xlsx]BBaB_charts'!$W$32:$AQ$32</c:f>
              <c:numCache>
                <c:formatCode>0.00E+00</c:formatCode>
                <c:ptCount val="21"/>
                <c:pt idx="0">
                  <c:v>486.61799999999999</c:v>
                </c:pt>
                <c:pt idx="1">
                  <c:v>528.20500000000004</c:v>
                </c:pt>
                <c:pt idx="2">
                  <c:v>550.976</c:v>
                </c:pt>
                <c:pt idx="3">
                  <c:v>570.60799999999995</c:v>
                </c:pt>
                <c:pt idx="4">
                  <c:v>584.673</c:v>
                </c:pt>
                <c:pt idx="5">
                  <c:v>600.00900000000001</c:v>
                </c:pt>
                <c:pt idx="6">
                  <c:v>627.15499999999997</c:v>
                </c:pt>
                <c:pt idx="7">
                  <c:v>666.71600000000001</c:v>
                </c:pt>
                <c:pt idx="8">
                  <c:v>717.81899999999996</c:v>
                </c:pt>
                <c:pt idx="9">
                  <c:v>971.53800000000001</c:v>
                </c:pt>
                <c:pt idx="10">
                  <c:v>854.11500000000001</c:v>
                </c:pt>
                <c:pt idx="11">
                  <c:v>918.11699999999996</c:v>
                </c:pt>
                <c:pt idx="12">
                  <c:v>990.38099999999997</c:v>
                </c:pt>
                <c:pt idx="13">
                  <c:v>1064.99</c:v>
                </c:pt>
                <c:pt idx="14">
                  <c:v>1148.3499999999999</c:v>
                </c:pt>
                <c:pt idx="15">
                  <c:v>1238.67</c:v>
                </c:pt>
                <c:pt idx="16">
                  <c:v>1337.1</c:v>
                </c:pt>
                <c:pt idx="17">
                  <c:v>1442.16</c:v>
                </c:pt>
                <c:pt idx="18">
                  <c:v>1554.95</c:v>
                </c:pt>
                <c:pt idx="19">
                  <c:v>1676.01</c:v>
                </c:pt>
                <c:pt idx="20">
                  <c:v>1787.42</c:v>
                </c:pt>
              </c:numCache>
            </c:numRef>
          </c:val>
          <c:smooth val="0"/>
          <c:extLst>
            <c:ext xmlns:c16="http://schemas.microsoft.com/office/drawing/2014/chart" uri="{C3380CC4-5D6E-409C-BE32-E72D297353CC}">
              <c16:uniqueId val="{00000000-A3F3-47F5-8A0B-6AE453B08583}"/>
            </c:ext>
          </c:extLst>
        </c:ser>
        <c:ser>
          <c:idx val="1"/>
          <c:order val="1"/>
          <c:tx>
            <c:strRef>
              <c:f>'[iSDG Simulation Results.xlsx]BBaB_charts'!$A$33</c:f>
              <c:strCache>
                <c:ptCount val="1"/>
                <c:pt idx="0">
                  <c:v>Data</c:v>
                </c:pt>
              </c:strCache>
            </c:strRef>
          </c:tx>
          <c:spPr>
            <a:ln w="28575" cap="rnd">
              <a:solidFill>
                <a:sysClr val="windowText" lastClr="000000">
                  <a:lumMod val="50000"/>
                  <a:lumOff val="50000"/>
                </a:sysClr>
              </a:solidFill>
              <a:prstDash val="dash"/>
              <a:round/>
            </a:ln>
            <a:effectLst/>
          </c:spPr>
          <c:marker>
            <c:symbol val="none"/>
          </c:marker>
          <c:cat>
            <c:numRef>
              <c:f>'[iSDG Simulation Results.xlsx]BBaB_charts'!$W$31:$AQ$31</c:f>
              <c:numCache>
                <c:formatCode>General</c:formatCode>
                <c:ptCount val="21"/>
                <c:pt idx="0">
                  <c:v>2011</c:v>
                </c:pt>
                <c:pt idx="1">
                  <c:v>2012</c:v>
                </c:pt>
                <c:pt idx="2">
                  <c:v>2013</c:v>
                </c:pt>
                <c:pt idx="3">
                  <c:v>2014</c:v>
                </c:pt>
                <c:pt idx="4">
                  <c:v>2015</c:v>
                </c:pt>
                <c:pt idx="5">
                  <c:v>2016</c:v>
                </c:pt>
                <c:pt idx="6">
                  <c:v>2017</c:v>
                </c:pt>
                <c:pt idx="7">
                  <c:v>2018</c:v>
                </c:pt>
                <c:pt idx="8">
                  <c:v>2019</c:v>
                </c:pt>
                <c:pt idx="9">
                  <c:v>2020</c:v>
                </c:pt>
                <c:pt idx="10">
                  <c:v>2021</c:v>
                </c:pt>
                <c:pt idx="11">
                  <c:v>2022</c:v>
                </c:pt>
                <c:pt idx="12">
                  <c:v>2023</c:v>
                </c:pt>
                <c:pt idx="13">
                  <c:v>2024</c:v>
                </c:pt>
                <c:pt idx="14">
                  <c:v>2025</c:v>
                </c:pt>
                <c:pt idx="15">
                  <c:v>2026</c:v>
                </c:pt>
                <c:pt idx="16">
                  <c:v>2027</c:v>
                </c:pt>
                <c:pt idx="17">
                  <c:v>2028</c:v>
                </c:pt>
                <c:pt idx="18">
                  <c:v>2029</c:v>
                </c:pt>
                <c:pt idx="19">
                  <c:v>2030</c:v>
                </c:pt>
                <c:pt idx="20">
                  <c:v>2031</c:v>
                </c:pt>
              </c:numCache>
            </c:numRef>
          </c:cat>
          <c:val>
            <c:numRef>
              <c:f>'[iSDG Simulation Results.xlsx]BBaB_charts'!$W$33:$AQ$33</c:f>
              <c:numCache>
                <c:formatCode>0.00E+00</c:formatCode>
                <c:ptCount val="21"/>
                <c:pt idx="0">
                  <c:v>489.56700000000001</c:v>
                </c:pt>
                <c:pt idx="1">
                  <c:v>525.875</c:v>
                </c:pt>
                <c:pt idx="2">
                  <c:v>543.93799999999999</c:v>
                </c:pt>
                <c:pt idx="3">
                  <c:v>567.43899999999996</c:v>
                </c:pt>
                <c:pt idx="4">
                  <c:v>585.67100000000005</c:v>
                </c:pt>
                <c:pt idx="5">
                  <c:v>601.81700000000001</c:v>
                </c:pt>
                <c:pt idx="6">
                  <c:v>623.17899999999997</c:v>
                </c:pt>
                <c:pt idx="7">
                  <c:v>646.947</c:v>
                </c:pt>
                <c:pt idx="8">
                  <c:v>717.81899999999996</c:v>
                </c:pt>
                <c:pt idx="9">
                  <c:v>971.53800000000001</c:v>
                </c:pt>
              </c:numCache>
            </c:numRef>
          </c:val>
          <c:smooth val="0"/>
          <c:extLst>
            <c:ext xmlns:c16="http://schemas.microsoft.com/office/drawing/2014/chart" uri="{C3380CC4-5D6E-409C-BE32-E72D297353CC}">
              <c16:uniqueId val="{00000001-A3F3-47F5-8A0B-6AE453B08583}"/>
            </c:ext>
          </c:extLst>
        </c:ser>
        <c:ser>
          <c:idx val="2"/>
          <c:order val="2"/>
          <c:tx>
            <c:strRef>
              <c:f>'[iSDG Simulation Results.xlsx]BBaB_charts'!$A$34</c:f>
              <c:strCache>
                <c:ptCount val="1"/>
                <c:pt idx="0">
                  <c:v>SWT</c:v>
                </c:pt>
              </c:strCache>
            </c:strRef>
          </c:tx>
          <c:spPr>
            <a:ln w="28575" cap="rnd">
              <a:solidFill>
                <a:srgbClr val="00689D"/>
              </a:solidFill>
              <a:prstDash val="sysDot"/>
              <a:round/>
            </a:ln>
            <a:effectLst/>
          </c:spPr>
          <c:marker>
            <c:symbol val="none"/>
          </c:marker>
          <c:cat>
            <c:numRef>
              <c:f>'[iSDG Simulation Results.xlsx]BBaB_charts'!$W$31:$AQ$31</c:f>
              <c:numCache>
                <c:formatCode>General</c:formatCode>
                <c:ptCount val="21"/>
                <c:pt idx="0">
                  <c:v>2011</c:v>
                </c:pt>
                <c:pt idx="1">
                  <c:v>2012</c:v>
                </c:pt>
                <c:pt idx="2">
                  <c:v>2013</c:v>
                </c:pt>
                <c:pt idx="3">
                  <c:v>2014</c:v>
                </c:pt>
                <c:pt idx="4">
                  <c:v>2015</c:v>
                </c:pt>
                <c:pt idx="5">
                  <c:v>2016</c:v>
                </c:pt>
                <c:pt idx="6">
                  <c:v>2017</c:v>
                </c:pt>
                <c:pt idx="7">
                  <c:v>2018</c:v>
                </c:pt>
                <c:pt idx="8">
                  <c:v>2019</c:v>
                </c:pt>
                <c:pt idx="9">
                  <c:v>2020</c:v>
                </c:pt>
                <c:pt idx="10">
                  <c:v>2021</c:v>
                </c:pt>
                <c:pt idx="11">
                  <c:v>2022</c:v>
                </c:pt>
                <c:pt idx="12">
                  <c:v>2023</c:v>
                </c:pt>
                <c:pt idx="13">
                  <c:v>2024</c:v>
                </c:pt>
                <c:pt idx="14">
                  <c:v>2025</c:v>
                </c:pt>
                <c:pt idx="15">
                  <c:v>2026</c:v>
                </c:pt>
                <c:pt idx="16">
                  <c:v>2027</c:v>
                </c:pt>
                <c:pt idx="17">
                  <c:v>2028</c:v>
                </c:pt>
                <c:pt idx="18">
                  <c:v>2029</c:v>
                </c:pt>
                <c:pt idx="19">
                  <c:v>2030</c:v>
                </c:pt>
                <c:pt idx="20">
                  <c:v>2031</c:v>
                </c:pt>
              </c:numCache>
            </c:numRef>
          </c:cat>
          <c:val>
            <c:numRef>
              <c:f>'[iSDG Simulation Results.xlsx]BBaB_charts'!$W$34:$AQ$34</c:f>
              <c:numCache>
                <c:formatCode>General</c:formatCode>
                <c:ptCount val="21"/>
                <c:pt idx="9" formatCode="0.00E+00">
                  <c:v>971.53800000000001</c:v>
                </c:pt>
                <c:pt idx="10" formatCode="0.00E+00">
                  <c:v>928.79700000000003</c:v>
                </c:pt>
                <c:pt idx="11" formatCode="0.00E+00">
                  <c:v>990.31399999999996</c:v>
                </c:pt>
                <c:pt idx="12" formatCode="0.00E+00">
                  <c:v>1066.55</c:v>
                </c:pt>
                <c:pt idx="13" formatCode="0.00E+00">
                  <c:v>1148.6500000000001</c:v>
                </c:pt>
                <c:pt idx="14" formatCode="0.00E+00">
                  <c:v>1236.8699999999999</c:v>
                </c:pt>
                <c:pt idx="15" formatCode="0.00E+00">
                  <c:v>1330.7</c:v>
                </c:pt>
                <c:pt idx="16" formatCode="0.00E+00">
                  <c:v>1432.2</c:v>
                </c:pt>
                <c:pt idx="17" formatCode="0.00E+00">
                  <c:v>1541.21</c:v>
                </c:pt>
                <c:pt idx="18" formatCode="0.00E+00">
                  <c:v>1658.03</c:v>
                </c:pt>
                <c:pt idx="19" formatCode="0.00E+00">
                  <c:v>1782.87</c:v>
                </c:pt>
                <c:pt idx="20" formatCode="0.00E+00">
                  <c:v>1762.33</c:v>
                </c:pt>
              </c:numCache>
            </c:numRef>
          </c:val>
          <c:smooth val="0"/>
          <c:extLst>
            <c:ext xmlns:c16="http://schemas.microsoft.com/office/drawing/2014/chart" uri="{C3380CC4-5D6E-409C-BE32-E72D297353CC}">
              <c16:uniqueId val="{00000002-A3F3-47F5-8A0B-6AE453B08583}"/>
            </c:ext>
          </c:extLst>
        </c:ser>
        <c:dLbls>
          <c:showLegendKey val="0"/>
          <c:showVal val="0"/>
          <c:showCatName val="0"/>
          <c:showSerName val="0"/>
          <c:showPercent val="0"/>
          <c:showBubbleSize val="0"/>
        </c:dLbls>
        <c:smooth val="0"/>
        <c:axId val="684565432"/>
        <c:axId val="684566072"/>
      </c:lineChart>
      <c:catAx>
        <c:axId val="684565432"/>
        <c:scaling>
          <c:orientation val="minMax"/>
        </c:scaling>
        <c:delete val="0"/>
        <c:axPos val="b"/>
        <c:numFmt formatCode="General" sourceLinked="1"/>
        <c:majorTickMark val="in"/>
        <c:minorTickMark val="none"/>
        <c:tickLblPos val="nextTo"/>
        <c:spPr>
          <a:noFill/>
          <a:ln w="9525" cap="flat" cmpd="sng" algn="ctr">
            <a:solidFill>
              <a:schemeClr val="tx1">
                <a:lumMod val="65000"/>
                <a:lumOff val="35000"/>
              </a:schemeClr>
            </a:solidFill>
            <a:round/>
          </a:ln>
          <a:effectLst/>
        </c:spPr>
        <c:txPr>
          <a:bodyPr rot="-4200000" spcFirstLastPara="1" vertOverflow="ellipsis"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n-US"/>
          </a:p>
        </c:txPr>
        <c:crossAx val="684566072"/>
        <c:crosses val="autoZero"/>
        <c:auto val="1"/>
        <c:lblAlgn val="ctr"/>
        <c:lblOffset val="100"/>
        <c:noMultiLvlLbl val="0"/>
      </c:catAx>
      <c:valAx>
        <c:axId val="68456607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Arial Narrow" panose="020B0606020202030204" pitchFamily="34" charset="0"/>
                    <a:ea typeface="+mn-ea"/>
                    <a:cs typeface="+mn-cs"/>
                  </a:defRPr>
                </a:pPr>
                <a:r>
                  <a:rPr lang="en-AU"/>
                  <a:t>Government Expenditure ($ bn)</a:t>
                </a:r>
              </a:p>
            </c:rich>
          </c:tx>
          <c:layout>
            <c:manualLayout>
              <c:xMode val="edge"/>
              <c:yMode val="edge"/>
              <c:x val="2.6157050653365841E-3"/>
              <c:y val="3.7320639117059656E-2"/>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Arial Narrow" panose="020B0606020202030204" pitchFamily="34" charset="0"/>
                  <a:ea typeface="+mn-ea"/>
                  <a:cs typeface="+mn-cs"/>
                </a:defRPr>
              </a:pPr>
              <a:endParaRPr lang="en-US"/>
            </a:p>
          </c:txPr>
        </c:title>
        <c:numFmt formatCode="#,##0" sourceLinked="0"/>
        <c:majorTickMark val="none"/>
        <c:minorTickMark val="none"/>
        <c:tickLblPos val="nextTo"/>
        <c:spPr>
          <a:noFill/>
          <a:ln>
            <a:solidFill>
              <a:schemeClr val="tx1">
                <a:lumMod val="65000"/>
                <a:lumOff val="35000"/>
              </a:schemeClr>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n-US"/>
          </a:p>
        </c:txPr>
        <c:crossAx val="684565432"/>
        <c:crosses val="autoZero"/>
        <c:crossBetween val="midCat"/>
      </c:valAx>
      <c:spPr>
        <a:noFill/>
        <a:ln>
          <a:solidFill>
            <a:schemeClr val="tx1">
              <a:lumMod val="65000"/>
              <a:lumOff val="35000"/>
            </a:schemeClr>
          </a:solidFill>
        </a:ln>
        <a:effectLst/>
      </c:spPr>
    </c:plotArea>
    <c:legend>
      <c:legendPos val="b"/>
      <c:layout>
        <c:manualLayout>
          <c:xMode val="edge"/>
          <c:yMode val="edge"/>
          <c:x val="9.0569501461889898E-2"/>
          <c:y val="0.89368104263800796"/>
          <c:w val="0.81886099707622018"/>
          <c:h val="0.10009714840288124"/>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latin typeface="Arial Narrow" panose="020B0606020202030204" pitchFamily="34" charset="0"/>
        </a:defRPr>
      </a:pPr>
      <a:endParaRPr lang="en-US"/>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1419871667069335E-2"/>
          <c:y val="3.4058340099670001E-2"/>
          <c:w val="0.88127493438320215"/>
          <c:h val="0.67526392534266555"/>
        </c:manualLayout>
      </c:layout>
      <c:lineChart>
        <c:grouping val="standard"/>
        <c:varyColors val="0"/>
        <c:ser>
          <c:idx val="0"/>
          <c:order val="0"/>
          <c:tx>
            <c:strRef>
              <c:f>'[iSDG Simulation Results.xlsx]TP5_charts'!$A$15</c:f>
              <c:strCache>
                <c:ptCount val="1"/>
                <c:pt idx="0">
                  <c:v>Share of BEVs in vehicle fleet</c:v>
                </c:pt>
              </c:strCache>
            </c:strRef>
          </c:tx>
          <c:spPr>
            <a:ln w="19050" cap="rnd">
              <a:solidFill>
                <a:srgbClr val="00A29E"/>
              </a:solidFill>
              <a:round/>
            </a:ln>
            <a:effectLst/>
          </c:spPr>
          <c:marker>
            <c:symbol val="none"/>
          </c:marker>
          <c:cat>
            <c:numRef>
              <c:f>'[iSDG Simulation Results.xlsx]TP5_charts'!$B$14:$BJ$14</c:f>
              <c:numCache>
                <c:formatCode>General</c:formatCode>
                <c:ptCount val="6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pt idx="32">
                  <c:v>2022</c:v>
                </c:pt>
                <c:pt idx="33">
                  <c:v>2023</c:v>
                </c:pt>
                <c:pt idx="34">
                  <c:v>2024</c:v>
                </c:pt>
                <c:pt idx="35">
                  <c:v>2025</c:v>
                </c:pt>
                <c:pt idx="36">
                  <c:v>2026</c:v>
                </c:pt>
                <c:pt idx="37">
                  <c:v>2027</c:v>
                </c:pt>
                <c:pt idx="38">
                  <c:v>2028</c:v>
                </c:pt>
                <c:pt idx="39">
                  <c:v>2029</c:v>
                </c:pt>
                <c:pt idx="40">
                  <c:v>2030</c:v>
                </c:pt>
                <c:pt idx="41">
                  <c:v>2031</c:v>
                </c:pt>
                <c:pt idx="42">
                  <c:v>2032</c:v>
                </c:pt>
                <c:pt idx="43">
                  <c:v>2033</c:v>
                </c:pt>
                <c:pt idx="44">
                  <c:v>2034</c:v>
                </c:pt>
                <c:pt idx="45">
                  <c:v>2035</c:v>
                </c:pt>
                <c:pt idx="46">
                  <c:v>2036</c:v>
                </c:pt>
                <c:pt idx="47">
                  <c:v>2037</c:v>
                </c:pt>
                <c:pt idx="48">
                  <c:v>2038</c:v>
                </c:pt>
                <c:pt idx="49">
                  <c:v>2039</c:v>
                </c:pt>
                <c:pt idx="50">
                  <c:v>2040</c:v>
                </c:pt>
                <c:pt idx="51">
                  <c:v>2041</c:v>
                </c:pt>
                <c:pt idx="52">
                  <c:v>2042</c:v>
                </c:pt>
                <c:pt idx="53">
                  <c:v>2043</c:v>
                </c:pt>
                <c:pt idx="54">
                  <c:v>2044</c:v>
                </c:pt>
                <c:pt idx="55">
                  <c:v>2045</c:v>
                </c:pt>
                <c:pt idx="56">
                  <c:v>2046</c:v>
                </c:pt>
                <c:pt idx="57">
                  <c:v>2047</c:v>
                </c:pt>
                <c:pt idx="58">
                  <c:v>2048</c:v>
                </c:pt>
                <c:pt idx="59">
                  <c:v>2049</c:v>
                </c:pt>
                <c:pt idx="60">
                  <c:v>2050</c:v>
                </c:pt>
              </c:numCache>
            </c:numRef>
          </c:cat>
          <c:val>
            <c:numRef>
              <c:f>'[iSDG Simulation Results.xlsx]TP5_charts'!$B$15:$BJ$15</c:f>
              <c:numCache>
                <c:formatCode>General</c:formatCode>
                <c:ptCount val="6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formatCode="0.00E+00">
                  <c:v>3.3727899999999999E-6</c:v>
                </c:pt>
                <c:pt idx="22" formatCode="0.00E+00">
                  <c:v>8.0781800000000003E-6</c:v>
                </c:pt>
                <c:pt idx="23" formatCode="0.00E+00">
                  <c:v>1.3786E-5</c:v>
                </c:pt>
                <c:pt idx="24" formatCode="0.00E+00">
                  <c:v>1.8082999999999999E-5</c:v>
                </c:pt>
                <c:pt idx="25" formatCode="0.00E+00">
                  <c:v>2.1896199999999999E-5</c:v>
                </c:pt>
                <c:pt idx="26" formatCode="0.00E+00">
                  <c:v>2.6296899999999999E-5</c:v>
                </c:pt>
                <c:pt idx="27" formatCode="0.00E+00">
                  <c:v>2.91466E-5</c:v>
                </c:pt>
                <c:pt idx="28" formatCode="0.00E+00">
                  <c:v>4.3614800000000001E-5</c:v>
                </c:pt>
                <c:pt idx="29" formatCode="0.00E+00">
                  <c:v>6.7385200000000007E-5</c:v>
                </c:pt>
                <c:pt idx="30" formatCode="0.00E+00">
                  <c:v>9.3439199999999998E-5</c:v>
                </c:pt>
                <c:pt idx="31">
                  <c:v>7.7084099999999997E-4</c:v>
                </c:pt>
                <c:pt idx="32">
                  <c:v>2.91362E-3</c:v>
                </c:pt>
                <c:pt idx="33">
                  <c:v>7.8362299999999996E-3</c:v>
                </c:pt>
                <c:pt idx="34">
                  <c:v>1.5103699999999999E-2</c:v>
                </c:pt>
                <c:pt idx="35">
                  <c:v>2.4427600000000001E-2</c:v>
                </c:pt>
                <c:pt idx="36">
                  <c:v>3.55935E-2</c:v>
                </c:pt>
                <c:pt idx="37">
                  <c:v>4.8554899999999998E-2</c:v>
                </c:pt>
                <c:pt idx="38">
                  <c:v>6.3143099999999994E-2</c:v>
                </c:pt>
                <c:pt idx="39">
                  <c:v>7.92022E-2</c:v>
                </c:pt>
                <c:pt idx="40">
                  <c:v>9.6592200000000003E-2</c:v>
                </c:pt>
                <c:pt idx="41">
                  <c:v>0.12857499999999999</c:v>
                </c:pt>
                <c:pt idx="42">
                  <c:v>0.16758300000000001</c:v>
                </c:pt>
                <c:pt idx="43">
                  <c:v>0.20906</c:v>
                </c:pt>
                <c:pt idx="44">
                  <c:v>0.252216</c:v>
                </c:pt>
                <c:pt idx="45">
                  <c:v>0.29660799999999998</c:v>
                </c:pt>
                <c:pt idx="46">
                  <c:v>0.34188299999999999</c:v>
                </c:pt>
                <c:pt idx="47">
                  <c:v>0.38772099999999998</c:v>
                </c:pt>
                <c:pt idx="48">
                  <c:v>0.43389100000000003</c:v>
                </c:pt>
                <c:pt idx="49">
                  <c:v>0.48010999999999998</c:v>
                </c:pt>
                <c:pt idx="50">
                  <c:v>0.52611600000000003</c:v>
                </c:pt>
                <c:pt idx="51">
                  <c:v>0.57203000000000004</c:v>
                </c:pt>
                <c:pt idx="52">
                  <c:v>0.61803900000000001</c:v>
                </c:pt>
                <c:pt idx="53">
                  <c:v>0.66118100000000002</c:v>
                </c:pt>
                <c:pt idx="54">
                  <c:v>0.69975600000000004</c:v>
                </c:pt>
                <c:pt idx="55">
                  <c:v>0.73387999999999998</c:v>
                </c:pt>
                <c:pt idx="56">
                  <c:v>0.89481999999999995</c:v>
                </c:pt>
                <c:pt idx="57">
                  <c:v>0.96706800000000004</c:v>
                </c:pt>
                <c:pt idx="58">
                  <c:v>0.98967499999999997</c:v>
                </c:pt>
                <c:pt idx="59">
                  <c:v>0.99677400000000005</c:v>
                </c:pt>
                <c:pt idx="60">
                  <c:v>0.99899400000000005</c:v>
                </c:pt>
              </c:numCache>
            </c:numRef>
          </c:val>
          <c:smooth val="0"/>
          <c:extLst>
            <c:ext xmlns:c16="http://schemas.microsoft.com/office/drawing/2014/chart" uri="{C3380CC4-5D6E-409C-BE32-E72D297353CC}">
              <c16:uniqueId val="{00000000-3045-4243-B093-E883F7451AD2}"/>
            </c:ext>
          </c:extLst>
        </c:ser>
        <c:ser>
          <c:idx val="1"/>
          <c:order val="1"/>
          <c:tx>
            <c:strRef>
              <c:f>'[iSDG Simulation Results.xlsx]TP5_charts'!$A$16</c:f>
              <c:strCache>
                <c:ptCount val="1"/>
                <c:pt idx="0">
                  <c:v>Share of renewables in electricity</c:v>
                </c:pt>
              </c:strCache>
            </c:strRef>
          </c:tx>
          <c:spPr>
            <a:ln w="19050" cap="rnd">
              <a:solidFill>
                <a:srgbClr val="FF3399"/>
              </a:solidFill>
              <a:round/>
            </a:ln>
            <a:effectLst/>
          </c:spPr>
          <c:marker>
            <c:symbol val="none"/>
          </c:marker>
          <c:cat>
            <c:numRef>
              <c:f>'[iSDG Simulation Results.xlsx]TP5_charts'!$B$14:$BJ$14</c:f>
              <c:numCache>
                <c:formatCode>General</c:formatCode>
                <c:ptCount val="6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pt idx="32">
                  <c:v>2022</c:v>
                </c:pt>
                <c:pt idx="33">
                  <c:v>2023</c:v>
                </c:pt>
                <c:pt idx="34">
                  <c:v>2024</c:v>
                </c:pt>
                <c:pt idx="35">
                  <c:v>2025</c:v>
                </c:pt>
                <c:pt idx="36">
                  <c:v>2026</c:v>
                </c:pt>
                <c:pt idx="37">
                  <c:v>2027</c:v>
                </c:pt>
                <c:pt idx="38">
                  <c:v>2028</c:v>
                </c:pt>
                <c:pt idx="39">
                  <c:v>2029</c:v>
                </c:pt>
                <c:pt idx="40">
                  <c:v>2030</c:v>
                </c:pt>
                <c:pt idx="41">
                  <c:v>2031</c:v>
                </c:pt>
                <c:pt idx="42">
                  <c:v>2032</c:v>
                </c:pt>
                <c:pt idx="43">
                  <c:v>2033</c:v>
                </c:pt>
                <c:pt idx="44">
                  <c:v>2034</c:v>
                </c:pt>
                <c:pt idx="45">
                  <c:v>2035</c:v>
                </c:pt>
                <c:pt idx="46">
                  <c:v>2036</c:v>
                </c:pt>
                <c:pt idx="47">
                  <c:v>2037</c:v>
                </c:pt>
                <c:pt idx="48">
                  <c:v>2038</c:v>
                </c:pt>
                <c:pt idx="49">
                  <c:v>2039</c:v>
                </c:pt>
                <c:pt idx="50">
                  <c:v>2040</c:v>
                </c:pt>
                <c:pt idx="51">
                  <c:v>2041</c:v>
                </c:pt>
                <c:pt idx="52">
                  <c:v>2042</c:v>
                </c:pt>
                <c:pt idx="53">
                  <c:v>2043</c:v>
                </c:pt>
                <c:pt idx="54">
                  <c:v>2044</c:v>
                </c:pt>
                <c:pt idx="55">
                  <c:v>2045</c:v>
                </c:pt>
                <c:pt idx="56">
                  <c:v>2046</c:v>
                </c:pt>
                <c:pt idx="57">
                  <c:v>2047</c:v>
                </c:pt>
                <c:pt idx="58">
                  <c:v>2048</c:v>
                </c:pt>
                <c:pt idx="59">
                  <c:v>2049</c:v>
                </c:pt>
                <c:pt idx="60">
                  <c:v>2050</c:v>
                </c:pt>
              </c:numCache>
            </c:numRef>
          </c:cat>
          <c:val>
            <c:numRef>
              <c:f>'[iSDG Simulation Results.xlsx]TP5_charts'!$B$16:$BJ$16</c:f>
              <c:numCache>
                <c:formatCode>General</c:formatCode>
                <c:ptCount val="61"/>
                <c:pt idx="0">
                  <c:v>9.6649700000000005E-2</c:v>
                </c:pt>
                <c:pt idx="1">
                  <c:v>0.102753</c:v>
                </c:pt>
                <c:pt idx="2">
                  <c:v>9.91982E-2</c:v>
                </c:pt>
                <c:pt idx="3">
                  <c:v>0.105518</c:v>
                </c:pt>
                <c:pt idx="4">
                  <c:v>0.101745</c:v>
                </c:pt>
                <c:pt idx="5">
                  <c:v>9.5436900000000005E-2</c:v>
                </c:pt>
                <c:pt idx="6">
                  <c:v>8.9939699999999997E-2</c:v>
                </c:pt>
                <c:pt idx="7">
                  <c:v>9.3436099999999994E-2</c:v>
                </c:pt>
                <c:pt idx="8">
                  <c:v>8.1837900000000005E-2</c:v>
                </c:pt>
                <c:pt idx="9">
                  <c:v>8.3066500000000001E-2</c:v>
                </c:pt>
                <c:pt idx="10">
                  <c:v>8.0706899999999998E-2</c:v>
                </c:pt>
                <c:pt idx="11">
                  <c:v>7.6840400000000003E-2</c:v>
                </c:pt>
                <c:pt idx="12">
                  <c:v>7.3954099999999995E-2</c:v>
                </c:pt>
                <c:pt idx="13">
                  <c:v>7.7808500000000003E-2</c:v>
                </c:pt>
                <c:pt idx="14">
                  <c:v>7.5464000000000003E-2</c:v>
                </c:pt>
                <c:pt idx="15">
                  <c:v>9.2368099999999995E-2</c:v>
                </c:pt>
                <c:pt idx="16">
                  <c:v>9.3911599999999998E-2</c:v>
                </c:pt>
                <c:pt idx="17">
                  <c:v>8.7454599999999993E-2</c:v>
                </c:pt>
                <c:pt idx="18">
                  <c:v>8.2015199999999996E-2</c:v>
                </c:pt>
                <c:pt idx="19">
                  <c:v>7.5613200000000005E-2</c:v>
                </c:pt>
                <c:pt idx="20">
                  <c:v>8.7225700000000003E-2</c:v>
                </c:pt>
                <c:pt idx="21">
                  <c:v>0.10258299999999999</c:v>
                </c:pt>
                <c:pt idx="22">
                  <c:v>0.11573600000000001</c:v>
                </c:pt>
                <c:pt idx="23">
                  <c:v>0.127863</c:v>
                </c:pt>
                <c:pt idx="24">
                  <c:v>0.14266000000000001</c:v>
                </c:pt>
                <c:pt idx="25">
                  <c:v>0.129801</c:v>
                </c:pt>
                <c:pt idx="26">
                  <c:v>0.14300299999999999</c:v>
                </c:pt>
                <c:pt idx="27">
                  <c:v>0.15006</c:v>
                </c:pt>
                <c:pt idx="28">
                  <c:v>0.165545</c:v>
                </c:pt>
                <c:pt idx="29">
                  <c:v>0.188223</c:v>
                </c:pt>
                <c:pt idx="30">
                  <c:v>0.25240499999999999</c:v>
                </c:pt>
                <c:pt idx="31">
                  <c:v>0.30516100000000002</c:v>
                </c:pt>
                <c:pt idx="32">
                  <c:v>0.373081</c:v>
                </c:pt>
                <c:pt idx="33">
                  <c:v>0.45326100000000002</c:v>
                </c:pt>
                <c:pt idx="34">
                  <c:v>0.60866100000000001</c:v>
                </c:pt>
                <c:pt idx="35">
                  <c:v>0.65060099999999998</c:v>
                </c:pt>
                <c:pt idx="36">
                  <c:v>0.68531900000000001</c:v>
                </c:pt>
                <c:pt idx="37">
                  <c:v>0.71490799999999999</c:v>
                </c:pt>
                <c:pt idx="38">
                  <c:v>0.74015799999999998</c:v>
                </c:pt>
                <c:pt idx="39">
                  <c:v>0.76169399999999998</c:v>
                </c:pt>
                <c:pt idx="40">
                  <c:v>0.78015100000000004</c:v>
                </c:pt>
                <c:pt idx="41">
                  <c:v>0.81561600000000001</c:v>
                </c:pt>
                <c:pt idx="42">
                  <c:v>0.84876200000000002</c:v>
                </c:pt>
                <c:pt idx="43">
                  <c:v>0.87519199999999997</c:v>
                </c:pt>
                <c:pt idx="44">
                  <c:v>0.89727599999999996</c:v>
                </c:pt>
                <c:pt idx="45">
                  <c:v>0.91562699999999997</c:v>
                </c:pt>
                <c:pt idx="46">
                  <c:v>0.93079900000000004</c:v>
                </c:pt>
                <c:pt idx="47">
                  <c:v>0.94328400000000001</c:v>
                </c:pt>
                <c:pt idx="48">
                  <c:v>0.95351799999999998</c:v>
                </c:pt>
                <c:pt idx="49">
                  <c:v>0.96187999999999996</c:v>
                </c:pt>
                <c:pt idx="50">
                  <c:v>0.96869700000000003</c:v>
                </c:pt>
                <c:pt idx="51">
                  <c:v>0.97401800000000005</c:v>
                </c:pt>
                <c:pt idx="52">
                  <c:v>0.97838099999999995</c:v>
                </c:pt>
                <c:pt idx="53">
                  <c:v>0.98195399999999999</c:v>
                </c:pt>
                <c:pt idx="54">
                  <c:v>0.98487899999999995</c:v>
                </c:pt>
                <c:pt idx="55">
                  <c:v>0.98727299999999996</c:v>
                </c:pt>
                <c:pt idx="56">
                  <c:v>0.98923300000000003</c:v>
                </c:pt>
                <c:pt idx="57">
                  <c:v>0.990838</c:v>
                </c:pt>
                <c:pt idx="58">
                  <c:v>0.99215399999999998</c:v>
                </c:pt>
                <c:pt idx="59">
                  <c:v>0.99323700000000004</c:v>
                </c:pt>
                <c:pt idx="60">
                  <c:v>0.99412900000000004</c:v>
                </c:pt>
              </c:numCache>
            </c:numRef>
          </c:val>
          <c:smooth val="0"/>
          <c:extLst>
            <c:ext xmlns:c16="http://schemas.microsoft.com/office/drawing/2014/chart" uri="{C3380CC4-5D6E-409C-BE32-E72D297353CC}">
              <c16:uniqueId val="{00000001-3045-4243-B093-E883F7451AD2}"/>
            </c:ext>
          </c:extLst>
        </c:ser>
        <c:ser>
          <c:idx val="2"/>
          <c:order val="2"/>
          <c:tx>
            <c:strRef>
              <c:f>'[iSDG Simulation Results.xlsx]TP5_charts'!$A$17</c:f>
              <c:strCache>
                <c:ptCount val="1"/>
                <c:pt idx="0">
                  <c:v>Share of havested area sustainably managed</c:v>
                </c:pt>
              </c:strCache>
            </c:strRef>
          </c:tx>
          <c:spPr>
            <a:ln w="28575" cap="rnd">
              <a:solidFill>
                <a:schemeClr val="accent3"/>
              </a:solidFill>
              <a:round/>
            </a:ln>
            <a:effectLst/>
          </c:spPr>
          <c:marker>
            <c:symbol val="none"/>
          </c:marker>
          <c:cat>
            <c:numRef>
              <c:f>'[iSDG Simulation Results.xlsx]TP5_charts'!$B$14:$BJ$14</c:f>
              <c:numCache>
                <c:formatCode>General</c:formatCode>
                <c:ptCount val="6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pt idx="32">
                  <c:v>2022</c:v>
                </c:pt>
                <c:pt idx="33">
                  <c:v>2023</c:v>
                </c:pt>
                <c:pt idx="34">
                  <c:v>2024</c:v>
                </c:pt>
                <c:pt idx="35">
                  <c:v>2025</c:v>
                </c:pt>
                <c:pt idx="36">
                  <c:v>2026</c:v>
                </c:pt>
                <c:pt idx="37">
                  <c:v>2027</c:v>
                </c:pt>
                <c:pt idx="38">
                  <c:v>2028</c:v>
                </c:pt>
                <c:pt idx="39">
                  <c:v>2029</c:v>
                </c:pt>
                <c:pt idx="40">
                  <c:v>2030</c:v>
                </c:pt>
                <c:pt idx="41">
                  <c:v>2031</c:v>
                </c:pt>
                <c:pt idx="42">
                  <c:v>2032</c:v>
                </c:pt>
                <c:pt idx="43">
                  <c:v>2033</c:v>
                </c:pt>
                <c:pt idx="44">
                  <c:v>2034</c:v>
                </c:pt>
                <c:pt idx="45">
                  <c:v>2035</c:v>
                </c:pt>
                <c:pt idx="46">
                  <c:v>2036</c:v>
                </c:pt>
                <c:pt idx="47">
                  <c:v>2037</c:v>
                </c:pt>
                <c:pt idx="48">
                  <c:v>2038</c:v>
                </c:pt>
                <c:pt idx="49">
                  <c:v>2039</c:v>
                </c:pt>
                <c:pt idx="50">
                  <c:v>2040</c:v>
                </c:pt>
                <c:pt idx="51">
                  <c:v>2041</c:v>
                </c:pt>
                <c:pt idx="52">
                  <c:v>2042</c:v>
                </c:pt>
                <c:pt idx="53">
                  <c:v>2043</c:v>
                </c:pt>
                <c:pt idx="54">
                  <c:v>2044</c:v>
                </c:pt>
                <c:pt idx="55">
                  <c:v>2045</c:v>
                </c:pt>
                <c:pt idx="56">
                  <c:v>2046</c:v>
                </c:pt>
                <c:pt idx="57">
                  <c:v>2047</c:v>
                </c:pt>
                <c:pt idx="58">
                  <c:v>2048</c:v>
                </c:pt>
                <c:pt idx="59">
                  <c:v>2049</c:v>
                </c:pt>
                <c:pt idx="60">
                  <c:v>2050</c:v>
                </c:pt>
              </c:numCache>
            </c:numRef>
          </c:cat>
          <c:val>
            <c:numRef>
              <c:f>'[iSDG Simulation Results.xlsx]TP5_charts'!$B$17:$BJ$17</c:f>
              <c:numCache>
                <c:formatCode>General</c:formatCode>
                <c:ptCount val="61"/>
                <c:pt idx="0">
                  <c:v>1.9922700000000002E-2</c:v>
                </c:pt>
                <c:pt idx="1">
                  <c:v>1.9106600000000001E-2</c:v>
                </c:pt>
                <c:pt idx="2">
                  <c:v>1.61227E-2</c:v>
                </c:pt>
                <c:pt idx="3">
                  <c:v>1.45358E-2</c:v>
                </c:pt>
                <c:pt idx="4">
                  <c:v>1.4361499999999999E-2</c:v>
                </c:pt>
                <c:pt idx="5">
                  <c:v>1.0817E-2</c:v>
                </c:pt>
                <c:pt idx="6">
                  <c:v>3.2434400000000002E-2</c:v>
                </c:pt>
                <c:pt idx="7">
                  <c:v>5.5211700000000002E-2</c:v>
                </c:pt>
                <c:pt idx="8">
                  <c:v>7.3088100000000003E-2</c:v>
                </c:pt>
                <c:pt idx="9">
                  <c:v>9.1550900000000004E-2</c:v>
                </c:pt>
                <c:pt idx="10">
                  <c:v>0.11119</c:v>
                </c:pt>
                <c:pt idx="11">
                  <c:v>0.13169600000000001</c:v>
                </c:pt>
                <c:pt idx="12">
                  <c:v>0.218806</c:v>
                </c:pt>
                <c:pt idx="13">
                  <c:v>0.25486500000000001</c:v>
                </c:pt>
                <c:pt idx="14">
                  <c:v>0.25156600000000001</c:v>
                </c:pt>
                <c:pt idx="15">
                  <c:v>0.23585</c:v>
                </c:pt>
                <c:pt idx="16">
                  <c:v>0.25604100000000002</c:v>
                </c:pt>
                <c:pt idx="17">
                  <c:v>0.26942100000000002</c:v>
                </c:pt>
                <c:pt idx="18">
                  <c:v>0.27031300000000003</c:v>
                </c:pt>
                <c:pt idx="19">
                  <c:v>0.26097700000000001</c:v>
                </c:pt>
                <c:pt idx="20">
                  <c:v>0.25312400000000002</c:v>
                </c:pt>
                <c:pt idx="21">
                  <c:v>0.233043</c:v>
                </c:pt>
                <c:pt idx="22">
                  <c:v>0.25278099999999998</c:v>
                </c:pt>
                <c:pt idx="23">
                  <c:v>0.208763</c:v>
                </c:pt>
                <c:pt idx="24">
                  <c:v>0.208756</c:v>
                </c:pt>
                <c:pt idx="25">
                  <c:v>0.20874500000000001</c:v>
                </c:pt>
                <c:pt idx="26">
                  <c:v>0.20873800000000001</c:v>
                </c:pt>
                <c:pt idx="27">
                  <c:v>0.208732</c:v>
                </c:pt>
                <c:pt idx="28">
                  <c:v>0.208727</c:v>
                </c:pt>
                <c:pt idx="29">
                  <c:v>0.20872299999999999</c:v>
                </c:pt>
                <c:pt idx="30">
                  <c:v>0.20871999999999999</c:v>
                </c:pt>
                <c:pt idx="31">
                  <c:v>0.21079100000000001</c:v>
                </c:pt>
                <c:pt idx="32">
                  <c:v>0.229544</c:v>
                </c:pt>
                <c:pt idx="33">
                  <c:v>0.28661900000000001</c:v>
                </c:pt>
                <c:pt idx="34">
                  <c:v>0.39597100000000002</c:v>
                </c:pt>
                <c:pt idx="35">
                  <c:v>0.50782499999999997</c:v>
                </c:pt>
                <c:pt idx="36">
                  <c:v>0.59874899999999998</c:v>
                </c:pt>
                <c:pt idx="37">
                  <c:v>0.67264299999999999</c:v>
                </c:pt>
                <c:pt idx="38">
                  <c:v>0.73270900000000005</c:v>
                </c:pt>
                <c:pt idx="39">
                  <c:v>0.78155799999999997</c:v>
                </c:pt>
                <c:pt idx="40">
                  <c:v>0.82130999999999998</c:v>
                </c:pt>
                <c:pt idx="41">
                  <c:v>0.85367000000000004</c:v>
                </c:pt>
                <c:pt idx="42">
                  <c:v>0.88006300000000004</c:v>
                </c:pt>
                <c:pt idx="43">
                  <c:v>0.90162299999999995</c:v>
                </c:pt>
                <c:pt idx="44">
                  <c:v>0.91924799999999995</c:v>
                </c:pt>
                <c:pt idx="45">
                  <c:v>0.93367100000000003</c:v>
                </c:pt>
                <c:pt idx="46">
                  <c:v>0.94548900000000002</c:v>
                </c:pt>
                <c:pt idx="47">
                  <c:v>0.95518199999999998</c:v>
                </c:pt>
                <c:pt idx="48">
                  <c:v>0.96314299999999997</c:v>
                </c:pt>
                <c:pt idx="49">
                  <c:v>0.96968500000000002</c:v>
                </c:pt>
                <c:pt idx="50">
                  <c:v>0.97506800000000005</c:v>
                </c:pt>
                <c:pt idx="51">
                  <c:v>0.97949900000000001</c:v>
                </c:pt>
                <c:pt idx="52">
                  <c:v>0.983151</c:v>
                </c:pt>
                <c:pt idx="53">
                  <c:v>0.98616099999999995</c:v>
                </c:pt>
                <c:pt idx="54">
                  <c:v>0.98864600000000002</c:v>
                </c:pt>
                <c:pt idx="55">
                  <c:v>0.99069799999999997</c:v>
                </c:pt>
                <c:pt idx="56">
                  <c:v>0.99239500000000003</c:v>
                </c:pt>
                <c:pt idx="57">
                  <c:v>0.99379899999999999</c:v>
                </c:pt>
                <c:pt idx="58">
                  <c:v>0.99496300000000004</c:v>
                </c:pt>
                <c:pt idx="59">
                  <c:v>0.99592899999999995</c:v>
                </c:pt>
                <c:pt idx="60">
                  <c:v>0.99673199999999995</c:v>
                </c:pt>
              </c:numCache>
            </c:numRef>
          </c:val>
          <c:smooth val="0"/>
          <c:extLst>
            <c:ext xmlns:c16="http://schemas.microsoft.com/office/drawing/2014/chart" uri="{C3380CC4-5D6E-409C-BE32-E72D297353CC}">
              <c16:uniqueId val="{00000002-3045-4243-B093-E883F7451AD2}"/>
            </c:ext>
          </c:extLst>
        </c:ser>
        <c:ser>
          <c:idx val="3"/>
          <c:order val="3"/>
          <c:tx>
            <c:strRef>
              <c:f>'[iSDG Simulation Results.xlsx]TP5_charts'!$A$18</c:f>
              <c:strCache>
                <c:ptCount val="1"/>
                <c:pt idx="0">
                  <c:v>Share of electricity in TFEC</c:v>
                </c:pt>
              </c:strCache>
            </c:strRef>
          </c:tx>
          <c:spPr>
            <a:ln w="28575" cap="rnd">
              <a:solidFill>
                <a:schemeClr val="accent4"/>
              </a:solidFill>
              <a:round/>
            </a:ln>
            <a:effectLst/>
          </c:spPr>
          <c:marker>
            <c:symbol val="none"/>
          </c:marker>
          <c:cat>
            <c:numRef>
              <c:f>'[iSDG Simulation Results.xlsx]TP5_charts'!$B$14:$BJ$14</c:f>
              <c:numCache>
                <c:formatCode>General</c:formatCode>
                <c:ptCount val="6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pt idx="32">
                  <c:v>2022</c:v>
                </c:pt>
                <c:pt idx="33">
                  <c:v>2023</c:v>
                </c:pt>
                <c:pt idx="34">
                  <c:v>2024</c:v>
                </c:pt>
                <c:pt idx="35">
                  <c:v>2025</c:v>
                </c:pt>
                <c:pt idx="36">
                  <c:v>2026</c:v>
                </c:pt>
                <c:pt idx="37">
                  <c:v>2027</c:v>
                </c:pt>
                <c:pt idx="38">
                  <c:v>2028</c:v>
                </c:pt>
                <c:pt idx="39">
                  <c:v>2029</c:v>
                </c:pt>
                <c:pt idx="40">
                  <c:v>2030</c:v>
                </c:pt>
                <c:pt idx="41">
                  <c:v>2031</c:v>
                </c:pt>
                <c:pt idx="42">
                  <c:v>2032</c:v>
                </c:pt>
                <c:pt idx="43">
                  <c:v>2033</c:v>
                </c:pt>
                <c:pt idx="44">
                  <c:v>2034</c:v>
                </c:pt>
                <c:pt idx="45">
                  <c:v>2035</c:v>
                </c:pt>
                <c:pt idx="46">
                  <c:v>2036</c:v>
                </c:pt>
                <c:pt idx="47">
                  <c:v>2037</c:v>
                </c:pt>
                <c:pt idx="48">
                  <c:v>2038</c:v>
                </c:pt>
                <c:pt idx="49">
                  <c:v>2039</c:v>
                </c:pt>
                <c:pt idx="50">
                  <c:v>2040</c:v>
                </c:pt>
                <c:pt idx="51">
                  <c:v>2041</c:v>
                </c:pt>
                <c:pt idx="52">
                  <c:v>2042</c:v>
                </c:pt>
                <c:pt idx="53">
                  <c:v>2043</c:v>
                </c:pt>
                <c:pt idx="54">
                  <c:v>2044</c:v>
                </c:pt>
                <c:pt idx="55">
                  <c:v>2045</c:v>
                </c:pt>
                <c:pt idx="56">
                  <c:v>2046</c:v>
                </c:pt>
                <c:pt idx="57">
                  <c:v>2047</c:v>
                </c:pt>
                <c:pt idx="58">
                  <c:v>2048</c:v>
                </c:pt>
                <c:pt idx="59">
                  <c:v>2049</c:v>
                </c:pt>
                <c:pt idx="60">
                  <c:v>2050</c:v>
                </c:pt>
              </c:numCache>
            </c:numRef>
          </c:cat>
          <c:val>
            <c:numRef>
              <c:f>'[iSDG Simulation Results.xlsx]TP5_charts'!$B$18:$BJ$18</c:f>
              <c:numCache>
                <c:formatCode>General</c:formatCode>
                <c:ptCount val="61"/>
                <c:pt idx="0">
                  <c:v>0.19740085223136203</c:v>
                </c:pt>
                <c:pt idx="1">
                  <c:v>0.19689689089761717</c:v>
                </c:pt>
                <c:pt idx="2">
                  <c:v>0.19837092441851151</c:v>
                </c:pt>
                <c:pt idx="3">
                  <c:v>0.19857823048514001</c:v>
                </c:pt>
                <c:pt idx="4">
                  <c:v>0.19907580779728384</c:v>
                </c:pt>
                <c:pt idx="5">
                  <c:v>0.20193233375102621</c:v>
                </c:pt>
                <c:pt idx="6">
                  <c:v>0.20555151568323426</c:v>
                </c:pt>
                <c:pt idx="7">
                  <c:v>0.20600878221881536</c:v>
                </c:pt>
                <c:pt idx="8">
                  <c:v>0.20296752253664282</c:v>
                </c:pt>
                <c:pt idx="9">
                  <c:v>0.20651829495935672</c:v>
                </c:pt>
                <c:pt idx="10">
                  <c:v>0.21291530110767401</c:v>
                </c:pt>
                <c:pt idx="11">
                  <c:v>0.21294886193250973</c:v>
                </c:pt>
                <c:pt idx="12">
                  <c:v>0.21400774324605776</c:v>
                </c:pt>
                <c:pt idx="13">
                  <c:v>0.21738237191471529</c:v>
                </c:pt>
                <c:pt idx="14">
                  <c:v>0.22095096010522863</c:v>
                </c:pt>
                <c:pt idx="15">
                  <c:v>0.22335453191321963</c:v>
                </c:pt>
                <c:pt idx="16">
                  <c:v>0.22457245966981768</c:v>
                </c:pt>
                <c:pt idx="17">
                  <c:v>0.22656521451101116</c:v>
                </c:pt>
                <c:pt idx="18">
                  <c:v>0.2306416544603225</c:v>
                </c:pt>
                <c:pt idx="19">
                  <c:v>0.22520694021161664</c:v>
                </c:pt>
                <c:pt idx="20">
                  <c:v>0.22813498515193417</c:v>
                </c:pt>
                <c:pt idx="21">
                  <c:v>0.23056945172872881</c:v>
                </c:pt>
                <c:pt idx="22">
                  <c:v>0.23274627272359058</c:v>
                </c:pt>
                <c:pt idx="23">
                  <c:v>0.23225142226117526</c:v>
                </c:pt>
                <c:pt idx="24">
                  <c:v>0.23275365149537428</c:v>
                </c:pt>
                <c:pt idx="25">
                  <c:v>0.23285570740027223</c:v>
                </c:pt>
                <c:pt idx="26">
                  <c:v>0.23239787397375869</c:v>
                </c:pt>
                <c:pt idx="27">
                  <c:v>0.23283926059459098</c:v>
                </c:pt>
                <c:pt idx="28">
                  <c:v>0.23317709009495308</c:v>
                </c:pt>
                <c:pt idx="29">
                  <c:v>0.23328671360043782</c:v>
                </c:pt>
                <c:pt idx="30">
                  <c:v>0.23843742514658253</c:v>
                </c:pt>
                <c:pt idx="31">
                  <c:v>0.23516303902451621</c:v>
                </c:pt>
                <c:pt idx="32">
                  <c:v>0.23900025069052308</c:v>
                </c:pt>
                <c:pt idx="33">
                  <c:v>0.24232495643878885</c:v>
                </c:pt>
                <c:pt idx="34">
                  <c:v>0.24561762063032275</c:v>
                </c:pt>
                <c:pt idx="35">
                  <c:v>0.24897221797373709</c:v>
                </c:pt>
                <c:pt idx="36">
                  <c:v>0.25329804593315419</c:v>
                </c:pt>
                <c:pt idx="37">
                  <c:v>0.25781361478955112</c:v>
                </c:pt>
                <c:pt idx="38">
                  <c:v>0.2624903090141214</c:v>
                </c:pt>
                <c:pt idx="39">
                  <c:v>0.26732794747236988</c:v>
                </c:pt>
                <c:pt idx="40">
                  <c:v>0.27231648072357156</c:v>
                </c:pt>
                <c:pt idx="41">
                  <c:v>0.28118780826131196</c:v>
                </c:pt>
                <c:pt idx="42">
                  <c:v>0.29186228482003129</c:v>
                </c:pt>
                <c:pt idx="43">
                  <c:v>0.30305252288240769</c:v>
                </c:pt>
                <c:pt idx="44">
                  <c:v>0.31478459292597644</c:v>
                </c:pt>
                <c:pt idx="45">
                  <c:v>0.32705350505997638</c:v>
                </c:pt>
                <c:pt idx="46">
                  <c:v>0.3398431551234084</c:v>
                </c:pt>
                <c:pt idx="47">
                  <c:v>0.35313262815296992</c:v>
                </c:pt>
                <c:pt idx="48">
                  <c:v>0.36690603228421725</c:v>
                </c:pt>
                <c:pt idx="49">
                  <c:v>0.38114489704693277</c:v>
                </c:pt>
                <c:pt idx="50">
                  <c:v>0.39583772516861532</c:v>
                </c:pt>
                <c:pt idx="51">
                  <c:v>0.41105693060592197</c:v>
                </c:pt>
                <c:pt idx="52">
                  <c:v>0.42688592202534731</c:v>
                </c:pt>
                <c:pt idx="53">
                  <c:v>0.44260308125039949</c:v>
                </c:pt>
                <c:pt idx="54">
                  <c:v>0.4578340720018238</c:v>
                </c:pt>
                <c:pt idx="55">
                  <c:v>0.47251538881475985</c:v>
                </c:pt>
                <c:pt idx="56">
                  <c:v>0.52834308183963274</c:v>
                </c:pt>
                <c:pt idx="57">
                  <c:v>0.55971964936538277</c:v>
                </c:pt>
                <c:pt idx="58">
                  <c:v>0.57418223556867609</c:v>
                </c:pt>
                <c:pt idx="59">
                  <c:v>0.58321586170915196</c:v>
                </c:pt>
                <c:pt idx="60">
                  <c:v>0.5904211582204264</c:v>
                </c:pt>
              </c:numCache>
            </c:numRef>
          </c:val>
          <c:smooth val="0"/>
          <c:extLst>
            <c:ext xmlns:c16="http://schemas.microsoft.com/office/drawing/2014/chart" uri="{C3380CC4-5D6E-409C-BE32-E72D297353CC}">
              <c16:uniqueId val="{00000003-3045-4243-B093-E883F7451AD2}"/>
            </c:ext>
          </c:extLst>
        </c:ser>
        <c:ser>
          <c:idx val="4"/>
          <c:order val="4"/>
          <c:tx>
            <c:strRef>
              <c:f>'[iSDG Simulation Results.xlsx]TP5_charts'!$A$19</c:f>
              <c:strCache>
                <c:ptCount val="1"/>
                <c:pt idx="0">
                  <c:v>Share of ICEs in vehicle fleet</c:v>
                </c:pt>
              </c:strCache>
            </c:strRef>
          </c:tx>
          <c:spPr>
            <a:ln w="28575" cap="rnd">
              <a:solidFill>
                <a:schemeClr val="accent5"/>
              </a:solidFill>
              <a:prstDash val="sysDot"/>
              <a:round/>
            </a:ln>
            <a:effectLst/>
          </c:spPr>
          <c:marker>
            <c:symbol val="none"/>
          </c:marker>
          <c:cat>
            <c:numRef>
              <c:f>'[iSDG Simulation Results.xlsx]TP5_charts'!$B$14:$BJ$14</c:f>
              <c:numCache>
                <c:formatCode>General</c:formatCode>
                <c:ptCount val="6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pt idx="32">
                  <c:v>2022</c:v>
                </c:pt>
                <c:pt idx="33">
                  <c:v>2023</c:v>
                </c:pt>
                <c:pt idx="34">
                  <c:v>2024</c:v>
                </c:pt>
                <c:pt idx="35">
                  <c:v>2025</c:v>
                </c:pt>
                <c:pt idx="36">
                  <c:v>2026</c:v>
                </c:pt>
                <c:pt idx="37">
                  <c:v>2027</c:v>
                </c:pt>
                <c:pt idx="38">
                  <c:v>2028</c:v>
                </c:pt>
                <c:pt idx="39">
                  <c:v>2029</c:v>
                </c:pt>
                <c:pt idx="40">
                  <c:v>2030</c:v>
                </c:pt>
                <c:pt idx="41">
                  <c:v>2031</c:v>
                </c:pt>
                <c:pt idx="42">
                  <c:v>2032</c:v>
                </c:pt>
                <c:pt idx="43">
                  <c:v>2033</c:v>
                </c:pt>
                <c:pt idx="44">
                  <c:v>2034</c:v>
                </c:pt>
                <c:pt idx="45">
                  <c:v>2035</c:v>
                </c:pt>
                <c:pt idx="46">
                  <c:v>2036</c:v>
                </c:pt>
                <c:pt idx="47">
                  <c:v>2037</c:v>
                </c:pt>
                <c:pt idx="48">
                  <c:v>2038</c:v>
                </c:pt>
                <c:pt idx="49">
                  <c:v>2039</c:v>
                </c:pt>
                <c:pt idx="50">
                  <c:v>2040</c:v>
                </c:pt>
                <c:pt idx="51">
                  <c:v>2041</c:v>
                </c:pt>
                <c:pt idx="52">
                  <c:v>2042</c:v>
                </c:pt>
                <c:pt idx="53">
                  <c:v>2043</c:v>
                </c:pt>
                <c:pt idx="54">
                  <c:v>2044</c:v>
                </c:pt>
                <c:pt idx="55">
                  <c:v>2045</c:v>
                </c:pt>
                <c:pt idx="56">
                  <c:v>2046</c:v>
                </c:pt>
                <c:pt idx="57">
                  <c:v>2047</c:v>
                </c:pt>
                <c:pt idx="58">
                  <c:v>2048</c:v>
                </c:pt>
                <c:pt idx="59">
                  <c:v>2049</c:v>
                </c:pt>
                <c:pt idx="60">
                  <c:v>2050</c:v>
                </c:pt>
              </c:numCache>
            </c:numRef>
          </c:cat>
          <c:val>
            <c:numRef>
              <c:f>'[iSDG Simulation Results.xlsx]TP5_charts'!$B$19:$BJ$19</c:f>
              <c:numCache>
                <c:formatCode>General</c:formatCode>
                <c:ptCount val="61"/>
                <c:pt idx="0">
                  <c:v>1</c:v>
                </c:pt>
                <c:pt idx="1">
                  <c:v>1</c:v>
                </c:pt>
                <c:pt idx="2">
                  <c:v>1</c:v>
                </c:pt>
                <c:pt idx="3">
                  <c:v>1</c:v>
                </c:pt>
                <c:pt idx="4">
                  <c:v>1</c:v>
                </c:pt>
                <c:pt idx="5">
                  <c:v>1</c:v>
                </c:pt>
                <c:pt idx="6">
                  <c:v>1</c:v>
                </c:pt>
                <c:pt idx="7">
                  <c:v>1</c:v>
                </c:pt>
                <c:pt idx="8">
                  <c:v>1</c:v>
                </c:pt>
                <c:pt idx="9">
                  <c:v>1</c:v>
                </c:pt>
                <c:pt idx="10">
                  <c:v>1</c:v>
                </c:pt>
                <c:pt idx="11">
                  <c:v>1</c:v>
                </c:pt>
                <c:pt idx="12">
                  <c:v>1</c:v>
                </c:pt>
                <c:pt idx="13">
                  <c:v>1</c:v>
                </c:pt>
                <c:pt idx="14">
                  <c:v>1</c:v>
                </c:pt>
                <c:pt idx="15">
                  <c:v>1</c:v>
                </c:pt>
                <c:pt idx="16">
                  <c:v>1</c:v>
                </c:pt>
                <c:pt idx="17">
                  <c:v>1</c:v>
                </c:pt>
                <c:pt idx="18">
                  <c:v>1</c:v>
                </c:pt>
                <c:pt idx="19">
                  <c:v>1</c:v>
                </c:pt>
                <c:pt idx="20">
                  <c:v>1</c:v>
                </c:pt>
                <c:pt idx="21">
                  <c:v>0.99999662721000004</c:v>
                </c:pt>
                <c:pt idx="22">
                  <c:v>0.99999192181999996</c:v>
                </c:pt>
                <c:pt idx="23">
                  <c:v>0.99998621399999998</c:v>
                </c:pt>
                <c:pt idx="24">
                  <c:v>0.99998191700000005</c:v>
                </c:pt>
                <c:pt idx="25">
                  <c:v>0.99997810379999996</c:v>
                </c:pt>
                <c:pt idx="26">
                  <c:v>0.9999737031</c:v>
                </c:pt>
                <c:pt idx="27">
                  <c:v>0.99997085340000003</c:v>
                </c:pt>
                <c:pt idx="28">
                  <c:v>0.99995638519999996</c:v>
                </c:pt>
                <c:pt idx="29">
                  <c:v>0.99993261479999995</c:v>
                </c:pt>
                <c:pt idx="30">
                  <c:v>0.99990656079999995</c:v>
                </c:pt>
                <c:pt idx="31">
                  <c:v>0.99922915899999998</c:v>
                </c:pt>
                <c:pt idx="32">
                  <c:v>0.99708638000000005</c:v>
                </c:pt>
                <c:pt idx="33">
                  <c:v>0.99216377</c:v>
                </c:pt>
                <c:pt idx="34">
                  <c:v>0.98489629999999995</c:v>
                </c:pt>
                <c:pt idx="35">
                  <c:v>0.97557240000000001</c:v>
                </c:pt>
                <c:pt idx="36">
                  <c:v>0.96440649999999994</c:v>
                </c:pt>
                <c:pt idx="37">
                  <c:v>0.95144510000000004</c:v>
                </c:pt>
                <c:pt idx="38">
                  <c:v>0.93685689999999999</c:v>
                </c:pt>
                <c:pt idx="39">
                  <c:v>0.9207978</c:v>
                </c:pt>
                <c:pt idx="40">
                  <c:v>0.90340779999999998</c:v>
                </c:pt>
                <c:pt idx="41">
                  <c:v>0.87142500000000001</c:v>
                </c:pt>
                <c:pt idx="42">
                  <c:v>0.83241699999999996</c:v>
                </c:pt>
                <c:pt idx="43">
                  <c:v>0.79093999999999998</c:v>
                </c:pt>
                <c:pt idx="44">
                  <c:v>0.747784</c:v>
                </c:pt>
                <c:pt idx="45">
                  <c:v>0.70339200000000002</c:v>
                </c:pt>
                <c:pt idx="46">
                  <c:v>0.65811700000000006</c:v>
                </c:pt>
                <c:pt idx="47">
                  <c:v>0.61227900000000002</c:v>
                </c:pt>
                <c:pt idx="48">
                  <c:v>0.56610899999999997</c:v>
                </c:pt>
                <c:pt idx="49">
                  <c:v>0.51988999999999996</c:v>
                </c:pt>
                <c:pt idx="50">
                  <c:v>0.47388399999999997</c:v>
                </c:pt>
                <c:pt idx="51">
                  <c:v>0.42796999999999996</c:v>
                </c:pt>
                <c:pt idx="52">
                  <c:v>0.38196099999999999</c:v>
                </c:pt>
                <c:pt idx="53">
                  <c:v>0.33881899999999998</c:v>
                </c:pt>
                <c:pt idx="54">
                  <c:v>0.30024399999999996</c:v>
                </c:pt>
                <c:pt idx="55">
                  <c:v>0.26612000000000002</c:v>
                </c:pt>
                <c:pt idx="56">
                  <c:v>0.10518000000000005</c:v>
                </c:pt>
                <c:pt idx="57">
                  <c:v>3.2931999999999961E-2</c:v>
                </c:pt>
                <c:pt idx="58">
                  <c:v>1.0325000000000029E-2</c:v>
                </c:pt>
                <c:pt idx="59">
                  <c:v>3.2259999999999511E-3</c:v>
                </c:pt>
                <c:pt idx="60">
                  <c:v>1.0059999999999514E-3</c:v>
                </c:pt>
              </c:numCache>
            </c:numRef>
          </c:val>
          <c:smooth val="0"/>
          <c:extLst>
            <c:ext xmlns:c16="http://schemas.microsoft.com/office/drawing/2014/chart" uri="{C3380CC4-5D6E-409C-BE32-E72D297353CC}">
              <c16:uniqueId val="{00000004-3045-4243-B093-E883F7451AD2}"/>
            </c:ext>
          </c:extLst>
        </c:ser>
        <c:ser>
          <c:idx val="5"/>
          <c:order val="5"/>
          <c:tx>
            <c:strRef>
              <c:f>'[iSDG Simulation Results.xlsx]TP5_charts'!$A$20</c:f>
              <c:strCache>
                <c:ptCount val="1"/>
                <c:pt idx="0">
                  <c:v>Share of coal in electricity </c:v>
                </c:pt>
              </c:strCache>
            </c:strRef>
          </c:tx>
          <c:spPr>
            <a:ln w="28575" cap="rnd">
              <a:solidFill>
                <a:schemeClr val="accent6"/>
              </a:solidFill>
              <a:prstDash val="sysDot"/>
              <a:round/>
            </a:ln>
            <a:effectLst/>
          </c:spPr>
          <c:marker>
            <c:symbol val="none"/>
          </c:marker>
          <c:cat>
            <c:numRef>
              <c:f>'[iSDG Simulation Results.xlsx]TP5_charts'!$B$14:$BJ$14</c:f>
              <c:numCache>
                <c:formatCode>General</c:formatCode>
                <c:ptCount val="6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pt idx="32">
                  <c:v>2022</c:v>
                </c:pt>
                <c:pt idx="33">
                  <c:v>2023</c:v>
                </c:pt>
                <c:pt idx="34">
                  <c:v>2024</c:v>
                </c:pt>
                <c:pt idx="35">
                  <c:v>2025</c:v>
                </c:pt>
                <c:pt idx="36">
                  <c:v>2026</c:v>
                </c:pt>
                <c:pt idx="37">
                  <c:v>2027</c:v>
                </c:pt>
                <c:pt idx="38">
                  <c:v>2028</c:v>
                </c:pt>
                <c:pt idx="39">
                  <c:v>2029</c:v>
                </c:pt>
                <c:pt idx="40">
                  <c:v>2030</c:v>
                </c:pt>
                <c:pt idx="41">
                  <c:v>2031</c:v>
                </c:pt>
                <c:pt idx="42">
                  <c:v>2032</c:v>
                </c:pt>
                <c:pt idx="43">
                  <c:v>2033</c:v>
                </c:pt>
                <c:pt idx="44">
                  <c:v>2034</c:v>
                </c:pt>
                <c:pt idx="45">
                  <c:v>2035</c:v>
                </c:pt>
                <c:pt idx="46">
                  <c:v>2036</c:v>
                </c:pt>
                <c:pt idx="47">
                  <c:v>2037</c:v>
                </c:pt>
                <c:pt idx="48">
                  <c:v>2038</c:v>
                </c:pt>
                <c:pt idx="49">
                  <c:v>2039</c:v>
                </c:pt>
                <c:pt idx="50">
                  <c:v>2040</c:v>
                </c:pt>
                <c:pt idx="51">
                  <c:v>2041</c:v>
                </c:pt>
                <c:pt idx="52">
                  <c:v>2042</c:v>
                </c:pt>
                <c:pt idx="53">
                  <c:v>2043</c:v>
                </c:pt>
                <c:pt idx="54">
                  <c:v>2044</c:v>
                </c:pt>
                <c:pt idx="55">
                  <c:v>2045</c:v>
                </c:pt>
                <c:pt idx="56">
                  <c:v>2046</c:v>
                </c:pt>
                <c:pt idx="57">
                  <c:v>2047</c:v>
                </c:pt>
                <c:pt idx="58">
                  <c:v>2048</c:v>
                </c:pt>
                <c:pt idx="59">
                  <c:v>2049</c:v>
                </c:pt>
                <c:pt idx="60">
                  <c:v>2050</c:v>
                </c:pt>
              </c:numCache>
            </c:numRef>
          </c:cat>
          <c:val>
            <c:numRef>
              <c:f>'[iSDG Simulation Results.xlsx]TP5_charts'!$B$20:$BJ$20</c:f>
              <c:numCache>
                <c:formatCode>General</c:formatCode>
                <c:ptCount val="61"/>
                <c:pt idx="0">
                  <c:v>0.78701299999999996</c:v>
                </c:pt>
                <c:pt idx="1">
                  <c:v>0.79584900000000003</c:v>
                </c:pt>
                <c:pt idx="2">
                  <c:v>0.80798000000000003</c:v>
                </c:pt>
                <c:pt idx="3">
                  <c:v>0.803921</c:v>
                </c:pt>
                <c:pt idx="4">
                  <c:v>0.80969999999999998</c:v>
                </c:pt>
                <c:pt idx="5">
                  <c:v>0.80781999999999998</c:v>
                </c:pt>
                <c:pt idx="6">
                  <c:v>0.81859099999999996</c:v>
                </c:pt>
                <c:pt idx="7">
                  <c:v>0.82555800000000001</c:v>
                </c:pt>
                <c:pt idx="8">
                  <c:v>0.84033100000000005</c:v>
                </c:pt>
                <c:pt idx="9">
                  <c:v>0.83371399999999996</c:v>
                </c:pt>
                <c:pt idx="10">
                  <c:v>0.83375100000000002</c:v>
                </c:pt>
                <c:pt idx="11">
                  <c:v>0.83673500000000001</c:v>
                </c:pt>
                <c:pt idx="12">
                  <c:v>0.799709</c:v>
                </c:pt>
                <c:pt idx="13">
                  <c:v>0.78534400000000004</c:v>
                </c:pt>
                <c:pt idx="14">
                  <c:v>0.78432999999999997</c:v>
                </c:pt>
                <c:pt idx="15">
                  <c:v>0.78220000000000001</c:v>
                </c:pt>
                <c:pt idx="16">
                  <c:v>0.79026300000000005</c:v>
                </c:pt>
                <c:pt idx="17">
                  <c:v>0.78092600000000001</c:v>
                </c:pt>
                <c:pt idx="18">
                  <c:v>0.76799600000000001</c:v>
                </c:pt>
                <c:pt idx="19">
                  <c:v>0.76793599999999995</c:v>
                </c:pt>
                <c:pt idx="20">
                  <c:v>0.73555700000000002</c:v>
                </c:pt>
                <c:pt idx="21">
                  <c:v>0.703206</c:v>
                </c:pt>
                <c:pt idx="22">
                  <c:v>0.68338299999999996</c:v>
                </c:pt>
                <c:pt idx="23">
                  <c:v>0.65975200000000001</c:v>
                </c:pt>
                <c:pt idx="24">
                  <c:v>0.62697999999999998</c:v>
                </c:pt>
                <c:pt idx="25">
                  <c:v>0.628413</c:v>
                </c:pt>
                <c:pt idx="26">
                  <c:v>0.63557399999999997</c:v>
                </c:pt>
                <c:pt idx="27">
                  <c:v>0.63857699999999995</c:v>
                </c:pt>
                <c:pt idx="28">
                  <c:v>0.60354699999999994</c:v>
                </c:pt>
                <c:pt idx="29">
                  <c:v>0.59203799999999995</c:v>
                </c:pt>
                <c:pt idx="30">
                  <c:v>0.51248400000000005</c:v>
                </c:pt>
                <c:pt idx="31">
                  <c:v>0.42336099999999999</c:v>
                </c:pt>
                <c:pt idx="32">
                  <c:v>0.33691399999999999</c:v>
                </c:pt>
                <c:pt idx="33">
                  <c:v>0.263436</c:v>
                </c:pt>
                <c:pt idx="34">
                  <c:v>0.173788</c:v>
                </c:pt>
                <c:pt idx="35">
                  <c:v>0.14288500000000001</c:v>
                </c:pt>
                <c:pt idx="36">
                  <c:v>0.117918</c:v>
                </c:pt>
                <c:pt idx="37">
                  <c:v>9.7413E-2</c:v>
                </c:pt>
                <c:pt idx="38">
                  <c:v>8.0578800000000006E-2</c:v>
                </c:pt>
                <c:pt idx="39">
                  <c:v>6.6769800000000004E-2</c:v>
                </c:pt>
                <c:pt idx="40">
                  <c:v>5.5419799999999998E-2</c:v>
                </c:pt>
                <c:pt idx="41">
                  <c:v>4.5128000000000001E-2</c:v>
                </c:pt>
                <c:pt idx="42">
                  <c:v>3.6873999999999997E-2</c:v>
                </c:pt>
                <c:pt idx="43">
                  <c:v>3.02914E-2</c:v>
                </c:pt>
                <c:pt idx="44">
                  <c:v>2.4796200000000001E-2</c:v>
                </c:pt>
                <c:pt idx="45">
                  <c:v>2.0235E-2</c:v>
                </c:pt>
                <c:pt idx="46">
                  <c:v>1.64691E-2</c:v>
                </c:pt>
                <c:pt idx="47">
                  <c:v>1.3375099999999999E-2</c:v>
                </c:pt>
                <c:pt idx="48">
                  <c:v>1.0843500000000001E-2</c:v>
                </c:pt>
                <c:pt idx="49">
                  <c:v>8.7794399999999995E-3</c:v>
                </c:pt>
                <c:pt idx="50">
                  <c:v>7.1011700000000004E-3</c:v>
                </c:pt>
                <c:pt idx="51">
                  <c:v>5.78986E-3</c:v>
                </c:pt>
                <c:pt idx="52">
                  <c:v>4.7178799999999998E-3</c:v>
                </c:pt>
                <c:pt idx="53">
                  <c:v>3.8427999999999999E-3</c:v>
                </c:pt>
                <c:pt idx="54">
                  <c:v>3.12926E-3</c:v>
                </c:pt>
                <c:pt idx="55">
                  <c:v>2.54791E-3</c:v>
                </c:pt>
                <c:pt idx="56">
                  <c:v>2.0745500000000001E-3</c:v>
                </c:pt>
                <c:pt idx="57">
                  <c:v>1.68928E-3</c:v>
                </c:pt>
                <c:pt idx="58">
                  <c:v>1.3756899999999999E-3</c:v>
                </c:pt>
                <c:pt idx="59">
                  <c:v>1.1200400000000001E-3</c:v>
                </c:pt>
                <c:pt idx="60">
                  <c:v>9.1168499999999997E-4</c:v>
                </c:pt>
              </c:numCache>
            </c:numRef>
          </c:val>
          <c:smooth val="0"/>
          <c:extLst>
            <c:ext xmlns:c16="http://schemas.microsoft.com/office/drawing/2014/chart" uri="{C3380CC4-5D6E-409C-BE32-E72D297353CC}">
              <c16:uniqueId val="{00000005-3045-4243-B093-E883F7451AD2}"/>
            </c:ext>
          </c:extLst>
        </c:ser>
        <c:ser>
          <c:idx val="6"/>
          <c:order val="6"/>
          <c:tx>
            <c:strRef>
              <c:f>'[iSDG Simulation Results.xlsx]TP5_charts'!$A$21</c:f>
              <c:strCache>
                <c:ptCount val="1"/>
                <c:pt idx="0">
                  <c:v>Share of harvested area unsustainably managed</c:v>
                </c:pt>
              </c:strCache>
            </c:strRef>
          </c:tx>
          <c:spPr>
            <a:ln w="28575" cap="rnd">
              <a:solidFill>
                <a:schemeClr val="accent1">
                  <a:lumMod val="60000"/>
                </a:schemeClr>
              </a:solidFill>
              <a:prstDash val="sysDot"/>
              <a:round/>
            </a:ln>
            <a:effectLst/>
          </c:spPr>
          <c:marker>
            <c:symbol val="none"/>
          </c:marker>
          <c:cat>
            <c:numRef>
              <c:f>'[iSDG Simulation Results.xlsx]TP5_charts'!$B$14:$BJ$14</c:f>
              <c:numCache>
                <c:formatCode>General</c:formatCode>
                <c:ptCount val="6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pt idx="32">
                  <c:v>2022</c:v>
                </c:pt>
                <c:pt idx="33">
                  <c:v>2023</c:v>
                </c:pt>
                <c:pt idx="34">
                  <c:v>2024</c:v>
                </c:pt>
                <c:pt idx="35">
                  <c:v>2025</c:v>
                </c:pt>
                <c:pt idx="36">
                  <c:v>2026</c:v>
                </c:pt>
                <c:pt idx="37">
                  <c:v>2027</c:v>
                </c:pt>
                <c:pt idx="38">
                  <c:v>2028</c:v>
                </c:pt>
                <c:pt idx="39">
                  <c:v>2029</c:v>
                </c:pt>
                <c:pt idx="40">
                  <c:v>2030</c:v>
                </c:pt>
                <c:pt idx="41">
                  <c:v>2031</c:v>
                </c:pt>
                <c:pt idx="42">
                  <c:v>2032</c:v>
                </c:pt>
                <c:pt idx="43">
                  <c:v>2033</c:v>
                </c:pt>
                <c:pt idx="44">
                  <c:v>2034</c:v>
                </c:pt>
                <c:pt idx="45">
                  <c:v>2035</c:v>
                </c:pt>
                <c:pt idx="46">
                  <c:v>2036</c:v>
                </c:pt>
                <c:pt idx="47">
                  <c:v>2037</c:v>
                </c:pt>
                <c:pt idx="48">
                  <c:v>2038</c:v>
                </c:pt>
                <c:pt idx="49">
                  <c:v>2039</c:v>
                </c:pt>
                <c:pt idx="50">
                  <c:v>2040</c:v>
                </c:pt>
                <c:pt idx="51">
                  <c:v>2041</c:v>
                </c:pt>
                <c:pt idx="52">
                  <c:v>2042</c:v>
                </c:pt>
                <c:pt idx="53">
                  <c:v>2043</c:v>
                </c:pt>
                <c:pt idx="54">
                  <c:v>2044</c:v>
                </c:pt>
                <c:pt idx="55">
                  <c:v>2045</c:v>
                </c:pt>
                <c:pt idx="56">
                  <c:v>2046</c:v>
                </c:pt>
                <c:pt idx="57">
                  <c:v>2047</c:v>
                </c:pt>
                <c:pt idx="58">
                  <c:v>2048</c:v>
                </c:pt>
                <c:pt idx="59">
                  <c:v>2049</c:v>
                </c:pt>
                <c:pt idx="60">
                  <c:v>2050</c:v>
                </c:pt>
              </c:numCache>
            </c:numRef>
          </c:cat>
          <c:val>
            <c:numRef>
              <c:f>'[iSDG Simulation Results.xlsx]TP5_charts'!$B$21:$BJ$21</c:f>
              <c:numCache>
                <c:formatCode>General</c:formatCode>
                <c:ptCount val="61"/>
                <c:pt idx="0">
                  <c:v>0.98007730000000004</c:v>
                </c:pt>
                <c:pt idx="1">
                  <c:v>0.98089340000000003</c:v>
                </c:pt>
                <c:pt idx="2">
                  <c:v>0.98387729999999995</c:v>
                </c:pt>
                <c:pt idx="3">
                  <c:v>0.98546420000000001</c:v>
                </c:pt>
                <c:pt idx="4">
                  <c:v>0.98563849999999997</c:v>
                </c:pt>
                <c:pt idx="5">
                  <c:v>0.98918300000000003</c:v>
                </c:pt>
                <c:pt idx="6">
                  <c:v>0.96756560000000003</c:v>
                </c:pt>
                <c:pt idx="7">
                  <c:v>0.94478830000000003</c:v>
                </c:pt>
                <c:pt idx="8">
                  <c:v>0.92691190000000001</c:v>
                </c:pt>
                <c:pt idx="9">
                  <c:v>0.90844910000000001</c:v>
                </c:pt>
                <c:pt idx="10">
                  <c:v>0.88880999999999999</c:v>
                </c:pt>
                <c:pt idx="11">
                  <c:v>0.86830399999999996</c:v>
                </c:pt>
                <c:pt idx="12">
                  <c:v>0.78119399999999994</c:v>
                </c:pt>
                <c:pt idx="13">
                  <c:v>0.74513499999999999</c:v>
                </c:pt>
                <c:pt idx="14">
                  <c:v>0.74843400000000004</c:v>
                </c:pt>
                <c:pt idx="15">
                  <c:v>0.76415</c:v>
                </c:pt>
                <c:pt idx="16">
                  <c:v>0.74395900000000004</c:v>
                </c:pt>
                <c:pt idx="17">
                  <c:v>0.73057899999999998</c:v>
                </c:pt>
                <c:pt idx="18">
                  <c:v>0.72968699999999997</c:v>
                </c:pt>
                <c:pt idx="19">
                  <c:v>0.73902299999999999</c:v>
                </c:pt>
                <c:pt idx="20">
                  <c:v>0.74687599999999998</c:v>
                </c:pt>
                <c:pt idx="21">
                  <c:v>0.766957</c:v>
                </c:pt>
                <c:pt idx="22">
                  <c:v>0.74721900000000008</c:v>
                </c:pt>
                <c:pt idx="23">
                  <c:v>0.79123699999999997</c:v>
                </c:pt>
                <c:pt idx="24">
                  <c:v>0.79124400000000006</c:v>
                </c:pt>
                <c:pt idx="25">
                  <c:v>0.79125500000000004</c:v>
                </c:pt>
                <c:pt idx="26">
                  <c:v>0.79126200000000002</c:v>
                </c:pt>
                <c:pt idx="27">
                  <c:v>0.79126799999999997</c:v>
                </c:pt>
                <c:pt idx="28">
                  <c:v>0.791273</c:v>
                </c:pt>
                <c:pt idx="29">
                  <c:v>0.79127700000000001</c:v>
                </c:pt>
                <c:pt idx="30">
                  <c:v>0.79127999999999998</c:v>
                </c:pt>
                <c:pt idx="31">
                  <c:v>0.78920900000000005</c:v>
                </c:pt>
                <c:pt idx="32">
                  <c:v>0.77045600000000003</c:v>
                </c:pt>
                <c:pt idx="33">
                  <c:v>0.71338100000000004</c:v>
                </c:pt>
                <c:pt idx="34">
                  <c:v>0.60402899999999993</c:v>
                </c:pt>
                <c:pt idx="35">
                  <c:v>0.49217500000000003</c:v>
                </c:pt>
                <c:pt idx="36">
                  <c:v>0.40125100000000002</c:v>
                </c:pt>
                <c:pt idx="37">
                  <c:v>0.32735700000000001</c:v>
                </c:pt>
                <c:pt idx="38">
                  <c:v>0.26729099999999995</c:v>
                </c:pt>
                <c:pt idx="39">
                  <c:v>0.21844200000000003</c:v>
                </c:pt>
                <c:pt idx="40">
                  <c:v>0.17869000000000002</c:v>
                </c:pt>
                <c:pt idx="41">
                  <c:v>0.14632999999999996</c:v>
                </c:pt>
                <c:pt idx="42">
                  <c:v>0.11993699999999996</c:v>
                </c:pt>
                <c:pt idx="43">
                  <c:v>9.8377000000000048E-2</c:v>
                </c:pt>
                <c:pt idx="44">
                  <c:v>8.0752000000000046E-2</c:v>
                </c:pt>
                <c:pt idx="45">
                  <c:v>6.6328999999999971E-2</c:v>
                </c:pt>
                <c:pt idx="46">
                  <c:v>5.4510999999999976E-2</c:v>
                </c:pt>
                <c:pt idx="47">
                  <c:v>4.4818000000000024E-2</c:v>
                </c:pt>
                <c:pt idx="48">
                  <c:v>3.6857000000000029E-2</c:v>
                </c:pt>
                <c:pt idx="49">
                  <c:v>3.0314999999999981E-2</c:v>
                </c:pt>
                <c:pt idx="50">
                  <c:v>2.4931999999999954E-2</c:v>
                </c:pt>
                <c:pt idx="51">
                  <c:v>2.0500999999999991E-2</c:v>
                </c:pt>
                <c:pt idx="52">
                  <c:v>1.6849000000000003E-2</c:v>
                </c:pt>
                <c:pt idx="53">
                  <c:v>1.3839000000000046E-2</c:v>
                </c:pt>
                <c:pt idx="54">
                  <c:v>1.1353999999999975E-2</c:v>
                </c:pt>
                <c:pt idx="55">
                  <c:v>9.3020000000000325E-3</c:v>
                </c:pt>
                <c:pt idx="56">
                  <c:v>7.6049999999999729E-3</c:v>
                </c:pt>
                <c:pt idx="57">
                  <c:v>6.2010000000000121E-3</c:v>
                </c:pt>
                <c:pt idx="58">
                  <c:v>5.0369999999999582E-3</c:v>
                </c:pt>
                <c:pt idx="59">
                  <c:v>4.0710000000000468E-3</c:v>
                </c:pt>
                <c:pt idx="60">
                  <c:v>3.2680000000000486E-3</c:v>
                </c:pt>
              </c:numCache>
            </c:numRef>
          </c:val>
          <c:smooth val="0"/>
          <c:extLst>
            <c:ext xmlns:c16="http://schemas.microsoft.com/office/drawing/2014/chart" uri="{C3380CC4-5D6E-409C-BE32-E72D297353CC}">
              <c16:uniqueId val="{00000006-3045-4243-B093-E883F7451AD2}"/>
            </c:ext>
          </c:extLst>
        </c:ser>
        <c:ser>
          <c:idx val="7"/>
          <c:order val="7"/>
          <c:tx>
            <c:strRef>
              <c:f>'[iSDG Simulation Results.xlsx]TP5_charts'!$A$22</c:f>
              <c:strCache>
                <c:ptCount val="1"/>
                <c:pt idx="0">
                  <c:v>Share oil in TFEC</c:v>
                </c:pt>
              </c:strCache>
            </c:strRef>
          </c:tx>
          <c:spPr>
            <a:ln w="28575" cap="rnd">
              <a:solidFill>
                <a:schemeClr val="accent2">
                  <a:lumMod val="60000"/>
                </a:schemeClr>
              </a:solidFill>
              <a:prstDash val="sysDot"/>
              <a:round/>
            </a:ln>
            <a:effectLst/>
          </c:spPr>
          <c:marker>
            <c:symbol val="none"/>
          </c:marker>
          <c:cat>
            <c:numRef>
              <c:f>'[iSDG Simulation Results.xlsx]TP5_charts'!$B$14:$BJ$14</c:f>
              <c:numCache>
                <c:formatCode>General</c:formatCode>
                <c:ptCount val="6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pt idx="28">
                  <c:v>2018</c:v>
                </c:pt>
                <c:pt idx="29">
                  <c:v>2019</c:v>
                </c:pt>
                <c:pt idx="30">
                  <c:v>2020</c:v>
                </c:pt>
                <c:pt idx="31">
                  <c:v>2021</c:v>
                </c:pt>
                <c:pt idx="32">
                  <c:v>2022</c:v>
                </c:pt>
                <c:pt idx="33">
                  <c:v>2023</c:v>
                </c:pt>
                <c:pt idx="34">
                  <c:v>2024</c:v>
                </c:pt>
                <c:pt idx="35">
                  <c:v>2025</c:v>
                </c:pt>
                <c:pt idx="36">
                  <c:v>2026</c:v>
                </c:pt>
                <c:pt idx="37">
                  <c:v>2027</c:v>
                </c:pt>
                <c:pt idx="38">
                  <c:v>2028</c:v>
                </c:pt>
                <c:pt idx="39">
                  <c:v>2029</c:v>
                </c:pt>
                <c:pt idx="40">
                  <c:v>2030</c:v>
                </c:pt>
                <c:pt idx="41">
                  <c:v>2031</c:v>
                </c:pt>
                <c:pt idx="42">
                  <c:v>2032</c:v>
                </c:pt>
                <c:pt idx="43">
                  <c:v>2033</c:v>
                </c:pt>
                <c:pt idx="44">
                  <c:v>2034</c:v>
                </c:pt>
                <c:pt idx="45">
                  <c:v>2035</c:v>
                </c:pt>
                <c:pt idx="46">
                  <c:v>2036</c:v>
                </c:pt>
                <c:pt idx="47">
                  <c:v>2037</c:v>
                </c:pt>
                <c:pt idx="48">
                  <c:v>2038</c:v>
                </c:pt>
                <c:pt idx="49">
                  <c:v>2039</c:v>
                </c:pt>
                <c:pt idx="50">
                  <c:v>2040</c:v>
                </c:pt>
                <c:pt idx="51">
                  <c:v>2041</c:v>
                </c:pt>
                <c:pt idx="52">
                  <c:v>2042</c:v>
                </c:pt>
                <c:pt idx="53">
                  <c:v>2043</c:v>
                </c:pt>
                <c:pt idx="54">
                  <c:v>2044</c:v>
                </c:pt>
                <c:pt idx="55">
                  <c:v>2045</c:v>
                </c:pt>
                <c:pt idx="56">
                  <c:v>2046</c:v>
                </c:pt>
                <c:pt idx="57">
                  <c:v>2047</c:v>
                </c:pt>
                <c:pt idx="58">
                  <c:v>2048</c:v>
                </c:pt>
                <c:pt idx="59">
                  <c:v>2049</c:v>
                </c:pt>
                <c:pt idx="60">
                  <c:v>2050</c:v>
                </c:pt>
              </c:numCache>
            </c:numRef>
          </c:cat>
          <c:val>
            <c:numRef>
              <c:f>'[iSDG Simulation Results.xlsx]TP5_charts'!$B$22:$BJ$22</c:f>
              <c:numCache>
                <c:formatCode>General</c:formatCode>
                <c:ptCount val="61"/>
                <c:pt idx="0">
                  <c:v>0.50975996126540035</c:v>
                </c:pt>
                <c:pt idx="1">
                  <c:v>0.51239198874673453</c:v>
                </c:pt>
                <c:pt idx="2">
                  <c:v>0.51467894644093626</c:v>
                </c:pt>
                <c:pt idx="3">
                  <c:v>0.51671704936573648</c:v>
                </c:pt>
                <c:pt idx="4">
                  <c:v>0.52117925949665833</c:v>
                </c:pt>
                <c:pt idx="5">
                  <c:v>0.51363781705051204</c:v>
                </c:pt>
                <c:pt idx="6">
                  <c:v>0.50951488350826635</c:v>
                </c:pt>
                <c:pt idx="7">
                  <c:v>0.51559190767106</c:v>
                </c:pt>
                <c:pt idx="8">
                  <c:v>0.52468977483938584</c:v>
                </c:pt>
                <c:pt idx="9">
                  <c:v>0.52040947579443386</c:v>
                </c:pt>
                <c:pt idx="10">
                  <c:v>0.51284877321961253</c:v>
                </c:pt>
                <c:pt idx="11">
                  <c:v>0.51458966654710736</c:v>
                </c:pt>
                <c:pt idx="12">
                  <c:v>0.51101857637254322</c:v>
                </c:pt>
                <c:pt idx="13">
                  <c:v>0.50512587674064091</c:v>
                </c:pt>
                <c:pt idx="14">
                  <c:v>0.49883263627760299</c:v>
                </c:pt>
                <c:pt idx="15">
                  <c:v>0.50519207406923383</c:v>
                </c:pt>
                <c:pt idx="16">
                  <c:v>0.50797985510759203</c:v>
                </c:pt>
                <c:pt idx="17">
                  <c:v>0.5108746057304786</c:v>
                </c:pt>
                <c:pt idx="18">
                  <c:v>0.50672756094336391</c:v>
                </c:pt>
                <c:pt idx="19">
                  <c:v>0.51100012088744107</c:v>
                </c:pt>
                <c:pt idx="20">
                  <c:v>0.50652775880072254</c:v>
                </c:pt>
                <c:pt idx="21">
                  <c:v>0.50620536975027242</c:v>
                </c:pt>
                <c:pt idx="22">
                  <c:v>0.50029027772152246</c:v>
                </c:pt>
                <c:pt idx="23">
                  <c:v>0.50391867764370601</c:v>
                </c:pt>
                <c:pt idx="24">
                  <c:v>0.50440537553474274</c:v>
                </c:pt>
                <c:pt idx="25">
                  <c:v>0.50777725781585914</c:v>
                </c:pt>
                <c:pt idx="26">
                  <c:v>0.51121789424953268</c:v>
                </c:pt>
                <c:pt idx="27">
                  <c:v>0.51158745617003831</c:v>
                </c:pt>
                <c:pt idx="28">
                  <c:v>0.5135300722681917</c:v>
                </c:pt>
                <c:pt idx="29">
                  <c:v>0.51529646897582015</c:v>
                </c:pt>
                <c:pt idx="30">
                  <c:v>0.50778938403520524</c:v>
                </c:pt>
                <c:pt idx="31">
                  <c:v>0.52135554709872833</c:v>
                </c:pt>
                <c:pt idx="32">
                  <c:v>0.51745334402046894</c:v>
                </c:pt>
                <c:pt idx="33">
                  <c:v>0.51556307821984759</c:v>
                </c:pt>
                <c:pt idx="34">
                  <c:v>0.51430802763527916</c:v>
                </c:pt>
                <c:pt idx="35">
                  <c:v>0.51331028035018755</c:v>
                </c:pt>
                <c:pt idx="36">
                  <c:v>0.51105302040120471</c:v>
                </c:pt>
                <c:pt idx="37">
                  <c:v>0.50900018947767323</c:v>
                </c:pt>
                <c:pt idx="38">
                  <c:v>0.50714330386801609</c:v>
                </c:pt>
                <c:pt idx="39">
                  <c:v>0.50545574532866699</c:v>
                </c:pt>
                <c:pt idx="40">
                  <c:v>0.50391762105154225</c:v>
                </c:pt>
                <c:pt idx="41">
                  <c:v>0.49812110285366246</c:v>
                </c:pt>
                <c:pt idx="42">
                  <c:v>0.49231721075808854</c:v>
                </c:pt>
                <c:pt idx="43">
                  <c:v>0.48559547587651258</c:v>
                </c:pt>
                <c:pt idx="44">
                  <c:v>0.47798158018536213</c:v>
                </c:pt>
                <c:pt idx="45">
                  <c:v>0.46955997881757366</c:v>
                </c:pt>
                <c:pt idx="46">
                  <c:v>0.460403186604468</c:v>
                </c:pt>
                <c:pt idx="47">
                  <c:v>0.45056742751916401</c:v>
                </c:pt>
                <c:pt idx="48">
                  <c:v>0.44010836040908269</c:v>
                </c:pt>
                <c:pt idx="49">
                  <c:v>0.42905964702866883</c:v>
                </c:pt>
                <c:pt idx="50">
                  <c:v>0.41745865230011586</c:v>
                </c:pt>
                <c:pt idx="51">
                  <c:v>0.40518732930626045</c:v>
                </c:pt>
                <c:pt idx="52">
                  <c:v>0.39217514049058516</c:v>
                </c:pt>
                <c:pt idx="53">
                  <c:v>0.3794412836412453</c:v>
                </c:pt>
                <c:pt idx="54">
                  <c:v>0.36739580395081384</c:v>
                </c:pt>
                <c:pt idx="55">
                  <c:v>0.35606093024039875</c:v>
                </c:pt>
                <c:pt idx="56">
                  <c:v>0.29606630350577329</c:v>
                </c:pt>
                <c:pt idx="57">
                  <c:v>0.26489713324928799</c:v>
                </c:pt>
                <c:pt idx="58">
                  <c:v>0.2539421688175823</c:v>
                </c:pt>
                <c:pt idx="59">
                  <c:v>0.24956487190762133</c:v>
                </c:pt>
                <c:pt idx="60">
                  <c:v>0.2472626834885068</c:v>
                </c:pt>
              </c:numCache>
            </c:numRef>
          </c:val>
          <c:smooth val="0"/>
          <c:extLst>
            <c:ext xmlns:c16="http://schemas.microsoft.com/office/drawing/2014/chart" uri="{C3380CC4-5D6E-409C-BE32-E72D297353CC}">
              <c16:uniqueId val="{00000007-3045-4243-B093-E883F7451AD2}"/>
            </c:ext>
          </c:extLst>
        </c:ser>
        <c:dLbls>
          <c:showLegendKey val="0"/>
          <c:showVal val="0"/>
          <c:showCatName val="0"/>
          <c:showSerName val="0"/>
          <c:showPercent val="0"/>
          <c:showBubbleSize val="0"/>
        </c:dLbls>
        <c:smooth val="0"/>
        <c:axId val="864774112"/>
        <c:axId val="864791168"/>
      </c:lineChart>
      <c:catAx>
        <c:axId val="864774112"/>
        <c:scaling>
          <c:orientation val="minMax"/>
        </c:scaling>
        <c:delete val="0"/>
        <c:axPos val="b"/>
        <c:numFmt formatCode="General" sourceLinked="1"/>
        <c:majorTickMark val="none"/>
        <c:minorTickMark val="none"/>
        <c:tickLblPos val="nextTo"/>
        <c:spPr>
          <a:noFill/>
          <a:ln w="9525" cap="flat" cmpd="sng" algn="ctr">
            <a:solidFill>
              <a:schemeClr val="tx1">
                <a:lumMod val="65000"/>
                <a:lumOff val="3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91168"/>
        <c:crosses val="autoZero"/>
        <c:auto val="1"/>
        <c:lblAlgn val="ctr"/>
        <c:lblOffset val="100"/>
        <c:noMultiLvlLbl val="0"/>
      </c:catAx>
      <c:valAx>
        <c:axId val="864791168"/>
        <c:scaling>
          <c:orientation val="minMax"/>
          <c:max val="1"/>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74112"/>
        <c:crosses val="autoZero"/>
        <c:crossBetween val="between"/>
      </c:valAx>
      <c:spPr>
        <a:noFill/>
        <a:ln>
          <a:solidFill>
            <a:schemeClr val="tx1">
              <a:lumMod val="65000"/>
              <a:lumOff val="35000"/>
            </a:schemeClr>
          </a:solidFill>
        </a:ln>
        <a:effectLst/>
      </c:spPr>
    </c:plotArea>
    <c:legend>
      <c:legendPos val="b"/>
      <c:layout>
        <c:manualLayout>
          <c:xMode val="edge"/>
          <c:yMode val="edge"/>
          <c:x val="6.7523945870402577E-3"/>
          <c:y val="0.81009158764330358"/>
          <c:w val="0.99091744213791455"/>
          <c:h val="0.1690318582719397"/>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sz="1000">
          <a:solidFill>
            <a:sysClr val="windowText" lastClr="000000"/>
          </a:solidFill>
          <a:latin typeface="+mj-lt"/>
        </a:defRPr>
      </a:pPr>
      <a:endParaRPr lang="en-US"/>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9502614210552302"/>
          <c:y val="3.3577533577533576E-2"/>
          <c:w val="0.77672758261874575"/>
          <c:h val="0.74163319264597949"/>
        </c:manualLayout>
      </c:layout>
      <c:lineChart>
        <c:grouping val="standard"/>
        <c:varyColors val="0"/>
        <c:ser>
          <c:idx val="2"/>
          <c:order val="0"/>
          <c:tx>
            <c:strRef>
              <c:f>'[iSDG Simulation Results.xlsx]TP2_Charts'!$A$5</c:f>
              <c:strCache>
                <c:ptCount val="1"/>
                <c:pt idx="0">
                  <c:v>BBS</c:v>
                </c:pt>
              </c:strCache>
            </c:strRef>
          </c:tx>
          <c:spPr>
            <a:ln w="19050">
              <a:solidFill>
                <a:srgbClr val="FFC000">
                  <a:lumMod val="50000"/>
                </a:srgbClr>
              </a:solidFill>
            </a:ln>
          </c:spPr>
          <c:marker>
            <c:symbol val="none"/>
          </c:marker>
          <c:cat>
            <c:numRef>
              <c:f>'[iSDG Simulation Results.xlsx]TP2_Charts'!$AB$4:$BJ$4</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Results.xlsx]TP2_Charts'!$AB$5:$BJ$5</c:f>
              <c:numCache>
                <c:formatCode>General</c:formatCode>
                <c:ptCount val="35"/>
                <c:pt idx="0">
                  <c:v>0.105367</c:v>
                </c:pt>
                <c:pt idx="1">
                  <c:v>0.14150499999999999</c:v>
                </c:pt>
                <c:pt idx="2">
                  <c:v>0.123862</c:v>
                </c:pt>
                <c:pt idx="3">
                  <c:v>0.122479</c:v>
                </c:pt>
                <c:pt idx="4">
                  <c:v>4.04505E-2</c:v>
                </c:pt>
                <c:pt idx="5">
                  <c:v>0.11258</c:v>
                </c:pt>
                <c:pt idx="6">
                  <c:v>0.11407100000000001</c:v>
                </c:pt>
                <c:pt idx="7">
                  <c:v>0.111773</c:v>
                </c:pt>
                <c:pt idx="8">
                  <c:v>0.110724</c:v>
                </c:pt>
                <c:pt idx="9">
                  <c:v>0.108705</c:v>
                </c:pt>
                <c:pt idx="10">
                  <c:v>0.10688599999999999</c:v>
                </c:pt>
                <c:pt idx="11">
                  <c:v>0.10519100000000001</c:v>
                </c:pt>
                <c:pt idx="12">
                  <c:v>0.103866</c:v>
                </c:pt>
                <c:pt idx="13">
                  <c:v>0.102743</c:v>
                </c:pt>
                <c:pt idx="14">
                  <c:v>0.10174999999999999</c:v>
                </c:pt>
                <c:pt idx="15">
                  <c:v>0.100421</c:v>
                </c:pt>
                <c:pt idx="16">
                  <c:v>9.9691600000000005E-2</c:v>
                </c:pt>
                <c:pt idx="17">
                  <c:v>9.8987000000000006E-2</c:v>
                </c:pt>
                <c:pt idx="18">
                  <c:v>9.8383899999999996E-2</c:v>
                </c:pt>
                <c:pt idx="19">
                  <c:v>9.7881200000000002E-2</c:v>
                </c:pt>
                <c:pt idx="20">
                  <c:v>9.7483700000000006E-2</c:v>
                </c:pt>
                <c:pt idx="21">
                  <c:v>9.7185199999999999E-2</c:v>
                </c:pt>
                <c:pt idx="22">
                  <c:v>9.6991300000000003E-2</c:v>
                </c:pt>
                <c:pt idx="23">
                  <c:v>9.6887299999999996E-2</c:v>
                </c:pt>
                <c:pt idx="24">
                  <c:v>9.6872E-2</c:v>
                </c:pt>
                <c:pt idx="25">
                  <c:v>9.6848699999999996E-2</c:v>
                </c:pt>
                <c:pt idx="26">
                  <c:v>9.6806000000000003E-2</c:v>
                </c:pt>
                <c:pt idx="27">
                  <c:v>9.6884200000000004E-2</c:v>
                </c:pt>
                <c:pt idx="28">
                  <c:v>9.7087000000000007E-2</c:v>
                </c:pt>
                <c:pt idx="29">
                  <c:v>9.7425100000000001E-2</c:v>
                </c:pt>
                <c:pt idx="30">
                  <c:v>9.7881999999999997E-2</c:v>
                </c:pt>
                <c:pt idx="31">
                  <c:v>9.8428799999999997E-2</c:v>
                </c:pt>
                <c:pt idx="32">
                  <c:v>9.9037899999999998E-2</c:v>
                </c:pt>
                <c:pt idx="33">
                  <c:v>9.9695199999999998E-2</c:v>
                </c:pt>
                <c:pt idx="34">
                  <c:v>0.100387</c:v>
                </c:pt>
              </c:numCache>
            </c:numRef>
          </c:val>
          <c:smooth val="0"/>
          <c:extLst>
            <c:ext xmlns:c16="http://schemas.microsoft.com/office/drawing/2014/chart" uri="{C3380CC4-5D6E-409C-BE32-E72D297353CC}">
              <c16:uniqueId val="{00000000-A6EA-404A-BC58-5A0977E6D938}"/>
            </c:ext>
          </c:extLst>
        </c:ser>
        <c:ser>
          <c:idx val="3"/>
          <c:order val="1"/>
          <c:tx>
            <c:strRef>
              <c:f>'[iSDG Simulation Results.xlsx]TP2_Charts'!$A$6</c:f>
              <c:strCache>
                <c:ptCount val="1"/>
                <c:pt idx="0">
                  <c:v>SWT</c:v>
                </c:pt>
              </c:strCache>
            </c:strRef>
          </c:tx>
          <c:spPr>
            <a:ln w="19050">
              <a:solidFill>
                <a:srgbClr val="19486A"/>
              </a:solidFill>
            </a:ln>
          </c:spPr>
          <c:marker>
            <c:symbol val="none"/>
          </c:marker>
          <c:cat>
            <c:numRef>
              <c:f>'[iSDG Simulation Results.xlsx]TP2_Charts'!$AB$4:$BJ$4</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Results.xlsx]TP2_Charts'!$AB$6:$BJ$6</c:f>
              <c:numCache>
                <c:formatCode>General</c:formatCode>
                <c:ptCount val="35"/>
                <c:pt idx="0">
                  <c:v>0.105297</c:v>
                </c:pt>
                <c:pt idx="1">
                  <c:v>0.14132</c:v>
                </c:pt>
                <c:pt idx="2">
                  <c:v>0.123599</c:v>
                </c:pt>
                <c:pt idx="3">
                  <c:v>0.122131</c:v>
                </c:pt>
                <c:pt idx="4">
                  <c:v>4.0097800000000003E-2</c:v>
                </c:pt>
                <c:pt idx="5">
                  <c:v>9.6573699999999998E-2</c:v>
                </c:pt>
                <c:pt idx="6">
                  <c:v>9.1807399999999997E-2</c:v>
                </c:pt>
                <c:pt idx="7">
                  <c:v>8.8809299999999994E-2</c:v>
                </c:pt>
                <c:pt idx="8">
                  <c:v>8.6691299999999999E-2</c:v>
                </c:pt>
                <c:pt idx="9">
                  <c:v>8.4846900000000003E-2</c:v>
                </c:pt>
                <c:pt idx="10">
                  <c:v>8.3391400000000004E-2</c:v>
                </c:pt>
                <c:pt idx="11">
                  <c:v>8.2196400000000003E-2</c:v>
                </c:pt>
                <c:pt idx="12">
                  <c:v>8.11582E-2</c:v>
                </c:pt>
                <c:pt idx="13">
                  <c:v>8.0288700000000005E-2</c:v>
                </c:pt>
                <c:pt idx="14">
                  <c:v>7.9596100000000003E-2</c:v>
                </c:pt>
                <c:pt idx="15">
                  <c:v>8.1964599999999999E-2</c:v>
                </c:pt>
                <c:pt idx="16">
                  <c:v>8.1327700000000003E-2</c:v>
                </c:pt>
                <c:pt idx="17">
                  <c:v>7.9931600000000005E-2</c:v>
                </c:pt>
                <c:pt idx="18">
                  <c:v>7.8511300000000006E-2</c:v>
                </c:pt>
                <c:pt idx="19">
                  <c:v>7.7068600000000001E-2</c:v>
                </c:pt>
                <c:pt idx="20">
                  <c:v>7.5620499999999993E-2</c:v>
                </c:pt>
                <c:pt idx="21">
                  <c:v>7.4171299999999996E-2</c:v>
                </c:pt>
                <c:pt idx="22">
                  <c:v>7.2492799999999996E-2</c:v>
                </c:pt>
                <c:pt idx="23">
                  <c:v>7.0776199999999997E-2</c:v>
                </c:pt>
                <c:pt idx="24">
                  <c:v>6.9050200000000006E-2</c:v>
                </c:pt>
                <c:pt idx="25">
                  <c:v>6.7239599999999997E-2</c:v>
                </c:pt>
                <c:pt idx="26">
                  <c:v>6.5329600000000002E-2</c:v>
                </c:pt>
                <c:pt idx="27">
                  <c:v>6.3442200000000004E-2</c:v>
                </c:pt>
                <c:pt idx="28">
                  <c:v>6.1595400000000002E-2</c:v>
                </c:pt>
                <c:pt idx="29">
                  <c:v>5.97764E-2</c:v>
                </c:pt>
                <c:pt idx="30">
                  <c:v>5.79461E-2</c:v>
                </c:pt>
                <c:pt idx="31">
                  <c:v>5.6063599999999998E-2</c:v>
                </c:pt>
                <c:pt idx="32">
                  <c:v>5.4222800000000002E-2</c:v>
                </c:pt>
                <c:pt idx="33">
                  <c:v>5.2923400000000002E-2</c:v>
                </c:pt>
                <c:pt idx="34">
                  <c:v>5.16111E-2</c:v>
                </c:pt>
              </c:numCache>
            </c:numRef>
          </c:val>
          <c:smooth val="0"/>
          <c:extLst>
            <c:ext xmlns:c16="http://schemas.microsoft.com/office/drawing/2014/chart" uri="{C3380CC4-5D6E-409C-BE32-E72D297353CC}">
              <c16:uniqueId val="{00000001-A6EA-404A-BC58-5A0977E6D938}"/>
            </c:ext>
          </c:extLst>
        </c:ser>
        <c:ser>
          <c:idx val="0"/>
          <c:order val="2"/>
          <c:tx>
            <c:strRef>
              <c:f>'[iSDG Simulation Results.xlsx]TP2_Charts'!$A$5</c:f>
              <c:strCache>
                <c:ptCount val="1"/>
                <c:pt idx="0">
                  <c:v>BBS</c:v>
                </c:pt>
              </c:strCache>
            </c:strRef>
          </c:tx>
          <c:spPr>
            <a:ln w="19050" cap="rnd">
              <a:solidFill>
                <a:srgbClr val="FFC000">
                  <a:lumMod val="50000"/>
                </a:srgbClr>
              </a:solidFill>
              <a:round/>
            </a:ln>
            <a:effectLst/>
          </c:spPr>
          <c:marker>
            <c:symbol val="none"/>
          </c:marker>
          <c:cat>
            <c:numRef>
              <c:f>'[iSDG Simulation Results.xlsx]TP2_Charts'!$AB$4:$BJ$4</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Results.xlsx]TP2_Charts'!$AB$5:$BJ$5</c:f>
              <c:numCache>
                <c:formatCode>General</c:formatCode>
                <c:ptCount val="35"/>
                <c:pt idx="0">
                  <c:v>0.105367</c:v>
                </c:pt>
                <c:pt idx="1">
                  <c:v>0.14150499999999999</c:v>
                </c:pt>
                <c:pt idx="2">
                  <c:v>0.123862</c:v>
                </c:pt>
                <c:pt idx="3">
                  <c:v>0.122479</c:v>
                </c:pt>
                <c:pt idx="4">
                  <c:v>4.04505E-2</c:v>
                </c:pt>
                <c:pt idx="5">
                  <c:v>0.11258</c:v>
                </c:pt>
                <c:pt idx="6">
                  <c:v>0.11407100000000001</c:v>
                </c:pt>
                <c:pt idx="7">
                  <c:v>0.111773</c:v>
                </c:pt>
                <c:pt idx="8">
                  <c:v>0.110724</c:v>
                </c:pt>
                <c:pt idx="9">
                  <c:v>0.108705</c:v>
                </c:pt>
                <c:pt idx="10">
                  <c:v>0.10688599999999999</c:v>
                </c:pt>
                <c:pt idx="11">
                  <c:v>0.10519100000000001</c:v>
                </c:pt>
                <c:pt idx="12">
                  <c:v>0.103866</c:v>
                </c:pt>
                <c:pt idx="13">
                  <c:v>0.102743</c:v>
                </c:pt>
                <c:pt idx="14">
                  <c:v>0.10174999999999999</c:v>
                </c:pt>
                <c:pt idx="15">
                  <c:v>0.100421</c:v>
                </c:pt>
                <c:pt idx="16">
                  <c:v>9.9691600000000005E-2</c:v>
                </c:pt>
                <c:pt idx="17">
                  <c:v>9.8987000000000006E-2</c:v>
                </c:pt>
                <c:pt idx="18">
                  <c:v>9.8383899999999996E-2</c:v>
                </c:pt>
                <c:pt idx="19">
                  <c:v>9.7881200000000002E-2</c:v>
                </c:pt>
                <c:pt idx="20">
                  <c:v>9.7483700000000006E-2</c:v>
                </c:pt>
                <c:pt idx="21">
                  <c:v>9.7185199999999999E-2</c:v>
                </c:pt>
                <c:pt idx="22">
                  <c:v>9.6991300000000003E-2</c:v>
                </c:pt>
                <c:pt idx="23">
                  <c:v>9.6887299999999996E-2</c:v>
                </c:pt>
                <c:pt idx="24">
                  <c:v>9.6872E-2</c:v>
                </c:pt>
                <c:pt idx="25">
                  <c:v>9.6848699999999996E-2</c:v>
                </c:pt>
                <c:pt idx="26">
                  <c:v>9.6806000000000003E-2</c:v>
                </c:pt>
                <c:pt idx="27">
                  <c:v>9.6884200000000004E-2</c:v>
                </c:pt>
                <c:pt idx="28">
                  <c:v>9.7087000000000007E-2</c:v>
                </c:pt>
                <c:pt idx="29">
                  <c:v>9.7425100000000001E-2</c:v>
                </c:pt>
                <c:pt idx="30">
                  <c:v>9.7881999999999997E-2</c:v>
                </c:pt>
                <c:pt idx="31">
                  <c:v>9.8428799999999997E-2</c:v>
                </c:pt>
                <c:pt idx="32">
                  <c:v>9.9037899999999998E-2</c:v>
                </c:pt>
                <c:pt idx="33">
                  <c:v>9.9695199999999998E-2</c:v>
                </c:pt>
                <c:pt idx="34">
                  <c:v>0.100387</c:v>
                </c:pt>
              </c:numCache>
            </c:numRef>
          </c:val>
          <c:smooth val="0"/>
          <c:extLst>
            <c:ext xmlns:c16="http://schemas.microsoft.com/office/drawing/2014/chart" uri="{C3380CC4-5D6E-409C-BE32-E72D297353CC}">
              <c16:uniqueId val="{00000002-A6EA-404A-BC58-5A0977E6D938}"/>
            </c:ext>
          </c:extLst>
        </c:ser>
        <c:ser>
          <c:idx val="1"/>
          <c:order val="3"/>
          <c:tx>
            <c:strRef>
              <c:f>'[iSDG Simulation Results.xlsx]TP2_Charts'!$A$6</c:f>
              <c:strCache>
                <c:ptCount val="1"/>
                <c:pt idx="0">
                  <c:v>SWT</c:v>
                </c:pt>
              </c:strCache>
            </c:strRef>
          </c:tx>
          <c:spPr>
            <a:ln w="19050" cap="rnd">
              <a:solidFill>
                <a:srgbClr val="19486A"/>
              </a:solidFill>
              <a:round/>
            </a:ln>
            <a:effectLst/>
          </c:spPr>
          <c:marker>
            <c:symbol val="none"/>
          </c:marker>
          <c:cat>
            <c:numRef>
              <c:f>'[iSDG Simulation Results.xlsx]TP2_Charts'!$AB$4:$BJ$4</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Results.xlsx]TP2_Charts'!$AB$6:$BJ$6</c:f>
              <c:numCache>
                <c:formatCode>General</c:formatCode>
                <c:ptCount val="35"/>
                <c:pt idx="0">
                  <c:v>0.105297</c:v>
                </c:pt>
                <c:pt idx="1">
                  <c:v>0.14132</c:v>
                </c:pt>
                <c:pt idx="2">
                  <c:v>0.123599</c:v>
                </c:pt>
                <c:pt idx="3">
                  <c:v>0.122131</c:v>
                </c:pt>
                <c:pt idx="4">
                  <c:v>4.0097800000000003E-2</c:v>
                </c:pt>
                <c:pt idx="5">
                  <c:v>9.6573699999999998E-2</c:v>
                </c:pt>
                <c:pt idx="6">
                  <c:v>9.1807399999999997E-2</c:v>
                </c:pt>
                <c:pt idx="7">
                  <c:v>8.8809299999999994E-2</c:v>
                </c:pt>
                <c:pt idx="8">
                  <c:v>8.6691299999999999E-2</c:v>
                </c:pt>
                <c:pt idx="9">
                  <c:v>8.4846900000000003E-2</c:v>
                </c:pt>
                <c:pt idx="10">
                  <c:v>8.3391400000000004E-2</c:v>
                </c:pt>
                <c:pt idx="11">
                  <c:v>8.2196400000000003E-2</c:v>
                </c:pt>
                <c:pt idx="12">
                  <c:v>8.11582E-2</c:v>
                </c:pt>
                <c:pt idx="13">
                  <c:v>8.0288700000000005E-2</c:v>
                </c:pt>
                <c:pt idx="14">
                  <c:v>7.9596100000000003E-2</c:v>
                </c:pt>
                <c:pt idx="15">
                  <c:v>8.1964599999999999E-2</c:v>
                </c:pt>
                <c:pt idx="16">
                  <c:v>8.1327700000000003E-2</c:v>
                </c:pt>
                <c:pt idx="17">
                  <c:v>7.9931600000000005E-2</c:v>
                </c:pt>
                <c:pt idx="18">
                  <c:v>7.8511300000000006E-2</c:v>
                </c:pt>
                <c:pt idx="19">
                  <c:v>7.7068600000000001E-2</c:v>
                </c:pt>
                <c:pt idx="20">
                  <c:v>7.5620499999999993E-2</c:v>
                </c:pt>
                <c:pt idx="21">
                  <c:v>7.4171299999999996E-2</c:v>
                </c:pt>
                <c:pt idx="22">
                  <c:v>7.2492799999999996E-2</c:v>
                </c:pt>
                <c:pt idx="23">
                  <c:v>7.0776199999999997E-2</c:v>
                </c:pt>
                <c:pt idx="24">
                  <c:v>6.9050200000000006E-2</c:v>
                </c:pt>
                <c:pt idx="25">
                  <c:v>6.7239599999999997E-2</c:v>
                </c:pt>
                <c:pt idx="26">
                  <c:v>6.5329600000000002E-2</c:v>
                </c:pt>
                <c:pt idx="27">
                  <c:v>6.3442200000000004E-2</c:v>
                </c:pt>
                <c:pt idx="28">
                  <c:v>6.1595400000000002E-2</c:v>
                </c:pt>
                <c:pt idx="29">
                  <c:v>5.97764E-2</c:v>
                </c:pt>
                <c:pt idx="30">
                  <c:v>5.79461E-2</c:v>
                </c:pt>
                <c:pt idx="31">
                  <c:v>5.6063599999999998E-2</c:v>
                </c:pt>
                <c:pt idx="32">
                  <c:v>5.4222800000000002E-2</c:v>
                </c:pt>
                <c:pt idx="33">
                  <c:v>5.2923400000000002E-2</c:v>
                </c:pt>
                <c:pt idx="34">
                  <c:v>5.16111E-2</c:v>
                </c:pt>
              </c:numCache>
            </c:numRef>
          </c:val>
          <c:smooth val="0"/>
          <c:extLst>
            <c:ext xmlns:c16="http://schemas.microsoft.com/office/drawing/2014/chart" uri="{C3380CC4-5D6E-409C-BE32-E72D297353CC}">
              <c16:uniqueId val="{00000003-A6EA-404A-BC58-5A0977E6D938}"/>
            </c:ext>
          </c:extLst>
        </c:ser>
        <c:dLbls>
          <c:showLegendKey val="0"/>
          <c:showVal val="0"/>
          <c:showCatName val="0"/>
          <c:showSerName val="0"/>
          <c:showPercent val="0"/>
          <c:showBubbleSize val="0"/>
        </c:dLbls>
        <c:smooth val="0"/>
        <c:axId val="864774112"/>
        <c:axId val="864791168"/>
      </c:lineChart>
      <c:catAx>
        <c:axId val="864774112"/>
        <c:scaling>
          <c:orientation val="minMax"/>
        </c:scaling>
        <c:delete val="0"/>
        <c:axPos val="b"/>
        <c:numFmt formatCode="General" sourceLinked="1"/>
        <c:majorTickMark val="in"/>
        <c:minorTickMark val="none"/>
        <c:tickLblPos val="nextTo"/>
        <c:spPr>
          <a:noFill/>
          <a:ln w="9525" cap="flat" cmpd="sng" algn="ctr">
            <a:solidFill>
              <a:sysClr val="windowText" lastClr="000000">
                <a:lumMod val="65000"/>
                <a:lumOff val="35000"/>
              </a:sys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91168"/>
        <c:crosses val="autoZero"/>
        <c:auto val="1"/>
        <c:lblAlgn val="ctr"/>
        <c:lblOffset val="100"/>
        <c:noMultiLvlLbl val="0"/>
      </c:catAx>
      <c:valAx>
        <c:axId val="864791168"/>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r>
                  <a:rPr lang="en-AU"/>
                  <a:t>Poverty Rate (%)</a:t>
                </a:r>
              </a:p>
            </c:rich>
          </c:tx>
          <c:overlay val="0"/>
          <c:spPr>
            <a:noFill/>
            <a:ln>
              <a:noFill/>
            </a:ln>
            <a:effectLst/>
          </c:sp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74112"/>
        <c:crosses val="autoZero"/>
        <c:crossBetween val="midCat"/>
      </c:valAx>
      <c:spPr>
        <a:noFill/>
        <a:ln>
          <a:solidFill>
            <a:schemeClr val="tx1">
              <a:lumMod val="65000"/>
              <a:lumOff val="35000"/>
            </a:schemeClr>
          </a:solidFill>
        </a:ln>
        <a:effectLst/>
      </c:spPr>
    </c:plotArea>
    <c:legend>
      <c:legendPos val="b"/>
      <c:layout>
        <c:manualLayout>
          <c:xMode val="edge"/>
          <c:yMode val="edge"/>
          <c:x val="0.30291754155730533"/>
          <c:y val="0.94288271860754247"/>
          <c:w val="0.42159007901790052"/>
          <c:h val="5.4800009914815213E-2"/>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legend>
    <c:plotVisOnly val="1"/>
    <c:dispBlanksAs val="gap"/>
    <c:showDLblsOverMax val="0"/>
  </c:chart>
  <c:spPr>
    <a:ln>
      <a:noFill/>
    </a:ln>
  </c:spPr>
  <c:txPr>
    <a:bodyPr/>
    <a:lstStyle/>
    <a:p>
      <a:pPr>
        <a:defRPr sz="1000">
          <a:solidFill>
            <a:sysClr val="windowText" lastClr="000000"/>
          </a:solidFill>
          <a:latin typeface="+mj-lt"/>
        </a:defRPr>
      </a:pPr>
      <a:endParaRPr lang="en-US"/>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1243240711720182"/>
          <c:y val="3.5848938783156523E-2"/>
          <c:w val="0.75924072613039073"/>
          <c:h val="0.74752729652783079"/>
        </c:manualLayout>
      </c:layout>
      <c:lineChart>
        <c:grouping val="standard"/>
        <c:varyColors val="0"/>
        <c:ser>
          <c:idx val="2"/>
          <c:order val="0"/>
          <c:tx>
            <c:strRef>
              <c:f>'[iSDG Simulation Results.xlsx]TP2_Charts'!$A$11</c:f>
              <c:strCache>
                <c:ptCount val="1"/>
                <c:pt idx="0">
                  <c:v>BBS</c:v>
                </c:pt>
              </c:strCache>
            </c:strRef>
          </c:tx>
          <c:spPr>
            <a:ln w="19050">
              <a:solidFill>
                <a:srgbClr val="FFC000">
                  <a:lumMod val="50000"/>
                </a:srgbClr>
              </a:solidFill>
            </a:ln>
          </c:spPr>
          <c:marker>
            <c:symbol val="none"/>
          </c:marker>
          <c:cat>
            <c:numRef>
              <c:f>'[iSDG Simulation Results.xlsx]TP2_Charts'!$AB$10:$BJ$10</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Results.xlsx]TP2_Charts'!$AB$11:$BJ$11</c:f>
              <c:numCache>
                <c:formatCode>General</c:formatCode>
                <c:ptCount val="35"/>
                <c:pt idx="0">
                  <c:v>0.33115099999999997</c:v>
                </c:pt>
                <c:pt idx="1">
                  <c:v>0.33634900000000001</c:v>
                </c:pt>
                <c:pt idx="2">
                  <c:v>0.33702199999999999</c:v>
                </c:pt>
                <c:pt idx="3">
                  <c:v>0.33634500000000001</c:v>
                </c:pt>
                <c:pt idx="4">
                  <c:v>0.30512400000000001</c:v>
                </c:pt>
                <c:pt idx="5">
                  <c:v>0.32677600000000001</c:v>
                </c:pt>
                <c:pt idx="6">
                  <c:v>0.32913999999999999</c:v>
                </c:pt>
                <c:pt idx="7">
                  <c:v>0.32795200000000002</c:v>
                </c:pt>
                <c:pt idx="8">
                  <c:v>0.32711400000000002</c:v>
                </c:pt>
                <c:pt idx="9">
                  <c:v>0.32588200000000001</c:v>
                </c:pt>
                <c:pt idx="10">
                  <c:v>0.32479999999999998</c:v>
                </c:pt>
                <c:pt idx="11">
                  <c:v>0.32367899999999999</c:v>
                </c:pt>
                <c:pt idx="12">
                  <c:v>0.32260100000000003</c:v>
                </c:pt>
                <c:pt idx="13">
                  <c:v>0.32152999999999998</c:v>
                </c:pt>
                <c:pt idx="14">
                  <c:v>0.32047399999999998</c:v>
                </c:pt>
                <c:pt idx="15">
                  <c:v>0.31976399999999999</c:v>
                </c:pt>
                <c:pt idx="16">
                  <c:v>0.31870799999999999</c:v>
                </c:pt>
                <c:pt idx="17">
                  <c:v>0.31781199999999998</c:v>
                </c:pt>
                <c:pt idx="18">
                  <c:v>0.316967</c:v>
                </c:pt>
                <c:pt idx="19">
                  <c:v>0.31617299999999998</c:v>
                </c:pt>
                <c:pt idx="20">
                  <c:v>0.315417</c:v>
                </c:pt>
                <c:pt idx="21">
                  <c:v>0.31470700000000001</c:v>
                </c:pt>
                <c:pt idx="22">
                  <c:v>0.31404900000000002</c:v>
                </c:pt>
                <c:pt idx="23">
                  <c:v>0.313444</c:v>
                </c:pt>
                <c:pt idx="24">
                  <c:v>0.312892</c:v>
                </c:pt>
                <c:pt idx="25">
                  <c:v>0.312386</c:v>
                </c:pt>
                <c:pt idx="26">
                  <c:v>0.31193100000000001</c:v>
                </c:pt>
                <c:pt idx="27">
                  <c:v>0.31156899999999998</c:v>
                </c:pt>
                <c:pt idx="28">
                  <c:v>0.311338</c:v>
                </c:pt>
                <c:pt idx="29">
                  <c:v>0.31123099999999998</c:v>
                </c:pt>
                <c:pt idx="30">
                  <c:v>0.31120399999999998</c:v>
                </c:pt>
                <c:pt idx="31">
                  <c:v>0.311222</c:v>
                </c:pt>
                <c:pt idx="32">
                  <c:v>0.311251</c:v>
                </c:pt>
                <c:pt idx="33">
                  <c:v>0.31126999999999999</c:v>
                </c:pt>
                <c:pt idx="34">
                  <c:v>0.31125999999999998</c:v>
                </c:pt>
              </c:numCache>
            </c:numRef>
          </c:val>
          <c:smooth val="0"/>
          <c:extLst>
            <c:ext xmlns:c16="http://schemas.microsoft.com/office/drawing/2014/chart" uri="{C3380CC4-5D6E-409C-BE32-E72D297353CC}">
              <c16:uniqueId val="{00000000-4DBF-4BD9-9F71-7581959AC98A}"/>
            </c:ext>
          </c:extLst>
        </c:ser>
        <c:ser>
          <c:idx val="3"/>
          <c:order val="1"/>
          <c:tx>
            <c:strRef>
              <c:f>'[iSDG Simulation Results.xlsx]TP2_Charts'!$A$12</c:f>
              <c:strCache>
                <c:ptCount val="1"/>
                <c:pt idx="0">
                  <c:v>SWT</c:v>
                </c:pt>
              </c:strCache>
            </c:strRef>
          </c:tx>
          <c:spPr>
            <a:ln w="19050">
              <a:solidFill>
                <a:srgbClr val="19486A"/>
              </a:solidFill>
            </a:ln>
          </c:spPr>
          <c:marker>
            <c:symbol val="none"/>
          </c:marker>
          <c:cat>
            <c:numRef>
              <c:f>'[iSDG Simulation Results.xlsx]TP2_Charts'!$AB$10:$BJ$10</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Results.xlsx]TP2_Charts'!$AB$12:$BJ$12</c:f>
              <c:numCache>
                <c:formatCode>General</c:formatCode>
                <c:ptCount val="35"/>
                <c:pt idx="0">
                  <c:v>0.33114900000000003</c:v>
                </c:pt>
                <c:pt idx="1">
                  <c:v>0.33634700000000001</c:v>
                </c:pt>
                <c:pt idx="2">
                  <c:v>0.33702100000000002</c:v>
                </c:pt>
                <c:pt idx="3">
                  <c:v>0.33634199999999997</c:v>
                </c:pt>
                <c:pt idx="4">
                  <c:v>0.30507299999999998</c:v>
                </c:pt>
                <c:pt idx="5">
                  <c:v>0.25579200000000002</c:v>
                </c:pt>
                <c:pt idx="6">
                  <c:v>0.25432399999999999</c:v>
                </c:pt>
                <c:pt idx="7">
                  <c:v>0.25251699999999999</c:v>
                </c:pt>
                <c:pt idx="8">
                  <c:v>0.251025</c:v>
                </c:pt>
                <c:pt idx="9">
                  <c:v>0.24965599999999999</c:v>
                </c:pt>
                <c:pt idx="10">
                  <c:v>0.24842500000000001</c:v>
                </c:pt>
                <c:pt idx="11">
                  <c:v>0.24721399999999999</c:v>
                </c:pt>
                <c:pt idx="12">
                  <c:v>0.246062</c:v>
                </c:pt>
                <c:pt idx="13">
                  <c:v>0.24495800000000001</c:v>
                </c:pt>
                <c:pt idx="14">
                  <c:v>0.243892</c:v>
                </c:pt>
                <c:pt idx="15">
                  <c:v>0.244671</c:v>
                </c:pt>
                <c:pt idx="16">
                  <c:v>0.243255</c:v>
                </c:pt>
                <c:pt idx="17">
                  <c:v>0.24218500000000001</c:v>
                </c:pt>
                <c:pt idx="18">
                  <c:v>0.241175</c:v>
                </c:pt>
                <c:pt idx="19">
                  <c:v>0.24021300000000001</c:v>
                </c:pt>
                <c:pt idx="20">
                  <c:v>0.23928099999999999</c:v>
                </c:pt>
                <c:pt idx="21">
                  <c:v>0.238376</c:v>
                </c:pt>
                <c:pt idx="22">
                  <c:v>0.23754600000000001</c:v>
                </c:pt>
                <c:pt idx="23">
                  <c:v>0.23674700000000001</c:v>
                </c:pt>
                <c:pt idx="24">
                  <c:v>0.23596600000000001</c:v>
                </c:pt>
                <c:pt idx="25">
                  <c:v>0.23519899999999999</c:v>
                </c:pt>
                <c:pt idx="26">
                  <c:v>0.23444999999999999</c:v>
                </c:pt>
                <c:pt idx="27">
                  <c:v>0.23373099999999999</c:v>
                </c:pt>
                <c:pt idx="28">
                  <c:v>0.23311200000000001</c:v>
                </c:pt>
                <c:pt idx="29">
                  <c:v>0.23260500000000001</c:v>
                </c:pt>
                <c:pt idx="30">
                  <c:v>0.232182</c:v>
                </c:pt>
                <c:pt idx="31">
                  <c:v>0.23181099999999999</c:v>
                </c:pt>
                <c:pt idx="32">
                  <c:v>0.231457</c:v>
                </c:pt>
                <c:pt idx="33">
                  <c:v>0.23108600000000001</c:v>
                </c:pt>
                <c:pt idx="34">
                  <c:v>0.230685</c:v>
                </c:pt>
              </c:numCache>
            </c:numRef>
          </c:val>
          <c:smooth val="0"/>
          <c:extLst>
            <c:ext xmlns:c16="http://schemas.microsoft.com/office/drawing/2014/chart" uri="{C3380CC4-5D6E-409C-BE32-E72D297353CC}">
              <c16:uniqueId val="{00000001-4DBF-4BD9-9F71-7581959AC98A}"/>
            </c:ext>
          </c:extLst>
        </c:ser>
        <c:dLbls>
          <c:showLegendKey val="0"/>
          <c:showVal val="0"/>
          <c:showCatName val="0"/>
          <c:showSerName val="0"/>
          <c:showPercent val="0"/>
          <c:showBubbleSize val="0"/>
        </c:dLbls>
        <c:smooth val="0"/>
        <c:axId val="864774112"/>
        <c:axId val="864791168"/>
      </c:lineChart>
      <c:catAx>
        <c:axId val="864774112"/>
        <c:scaling>
          <c:orientation val="minMax"/>
        </c:scaling>
        <c:delete val="0"/>
        <c:axPos val="b"/>
        <c:numFmt formatCode="General" sourceLinked="1"/>
        <c:majorTickMark val="in"/>
        <c:minorTickMark val="none"/>
        <c:tickLblPos val="nextTo"/>
        <c:spPr>
          <a:noFill/>
          <a:ln w="9525" cap="flat" cmpd="sng" algn="ctr">
            <a:solidFill>
              <a:sysClr val="windowText" lastClr="000000">
                <a:lumMod val="65000"/>
                <a:lumOff val="35000"/>
              </a:sys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91168"/>
        <c:crosses val="autoZero"/>
        <c:auto val="1"/>
        <c:lblAlgn val="ctr"/>
        <c:lblOffset val="100"/>
        <c:noMultiLvlLbl val="0"/>
      </c:catAx>
      <c:valAx>
        <c:axId val="864791168"/>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r>
                  <a:rPr lang="en-AU"/>
                  <a:t>Gini Coefficient</a:t>
                </a:r>
              </a:p>
            </c:rich>
          </c:tx>
          <c:overlay val="0"/>
          <c:spPr>
            <a:noFill/>
            <a:ln>
              <a:noFill/>
            </a:ln>
            <a:effectLst/>
          </c:spPr>
        </c:title>
        <c:numFmt formatCode="#,##0.0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74112"/>
        <c:crosses val="autoZero"/>
        <c:crossBetween val="midCat"/>
      </c:valAx>
      <c:spPr>
        <a:noFill/>
        <a:ln>
          <a:solidFill>
            <a:schemeClr val="tx1">
              <a:lumMod val="65000"/>
              <a:lumOff val="35000"/>
            </a:schemeClr>
          </a:solidFill>
        </a:ln>
        <a:effectLst/>
      </c:spPr>
    </c:plotArea>
    <c:legend>
      <c:legendPos val="b"/>
      <c:layout>
        <c:manualLayout>
          <c:xMode val="edge"/>
          <c:yMode val="edge"/>
          <c:x val="0.30291754155730533"/>
          <c:y val="0.94288271860754247"/>
          <c:w val="0.42159007901790052"/>
          <c:h val="5.4800009914815213E-2"/>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legend>
    <c:plotVisOnly val="1"/>
    <c:dispBlanksAs val="gap"/>
    <c:showDLblsOverMax val="0"/>
  </c:chart>
  <c:spPr>
    <a:ln>
      <a:noFill/>
    </a:ln>
  </c:spPr>
  <c:txPr>
    <a:bodyPr/>
    <a:lstStyle/>
    <a:p>
      <a:pPr>
        <a:defRPr sz="1000">
          <a:solidFill>
            <a:sysClr val="windowText" lastClr="000000"/>
          </a:solidFill>
          <a:latin typeface="+mj-lt"/>
        </a:defRPr>
      </a:pPr>
      <a:endParaRPr lang="en-US"/>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8109100086134536"/>
          <c:y val="3.3577586285406205E-2"/>
          <c:w val="0.79103871665029923"/>
          <c:h val="0.76580502379554594"/>
        </c:manualLayout>
      </c:layout>
      <c:lineChart>
        <c:grouping val="standard"/>
        <c:varyColors val="0"/>
        <c:ser>
          <c:idx val="2"/>
          <c:order val="0"/>
          <c:tx>
            <c:strRef>
              <c:f>'[iSDG Simulation Results.xlsx]TP2_Charts'!$A$18</c:f>
              <c:strCache>
                <c:ptCount val="1"/>
                <c:pt idx="0">
                  <c:v>BBS</c:v>
                </c:pt>
              </c:strCache>
            </c:strRef>
          </c:tx>
          <c:spPr>
            <a:ln w="19050">
              <a:solidFill>
                <a:srgbClr val="FFC000">
                  <a:lumMod val="50000"/>
                </a:srgbClr>
              </a:solidFill>
            </a:ln>
          </c:spPr>
          <c:marker>
            <c:symbol val="none"/>
          </c:marker>
          <c:cat>
            <c:numRef>
              <c:f>'[iSDG Simulation Results.xlsx]TP2_Charts'!$AB$17:$BJ$17</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Results.xlsx]TP2_Charts'!$AB$18:$BJ$18</c:f>
              <c:numCache>
                <c:formatCode>0.00E+00</c:formatCode>
                <c:ptCount val="35"/>
                <c:pt idx="0">
                  <c:v>139.541</c:v>
                </c:pt>
                <c:pt idx="1">
                  <c:v>135.32900000000001</c:v>
                </c:pt>
                <c:pt idx="2">
                  <c:v>136.66</c:v>
                </c:pt>
                <c:pt idx="3">
                  <c:v>137.71</c:v>
                </c:pt>
                <c:pt idx="4">
                  <c:v>136.13</c:v>
                </c:pt>
                <c:pt idx="5">
                  <c:v>137.874</c:v>
                </c:pt>
                <c:pt idx="6">
                  <c:v>138.80799999999999</c:v>
                </c:pt>
                <c:pt idx="7">
                  <c:v>138.55799999999999</c:v>
                </c:pt>
                <c:pt idx="8">
                  <c:v>138.35400000000001</c:v>
                </c:pt>
                <c:pt idx="9">
                  <c:v>138.19300000000001</c:v>
                </c:pt>
                <c:pt idx="10">
                  <c:v>138.05500000000001</c:v>
                </c:pt>
                <c:pt idx="11">
                  <c:v>137.93700000000001</c:v>
                </c:pt>
                <c:pt idx="12">
                  <c:v>137.71</c:v>
                </c:pt>
                <c:pt idx="13">
                  <c:v>137.47</c:v>
                </c:pt>
                <c:pt idx="14">
                  <c:v>137.21799999999999</c:v>
                </c:pt>
                <c:pt idx="15">
                  <c:v>136.94900000000001</c:v>
                </c:pt>
                <c:pt idx="16">
                  <c:v>136.78200000000001</c:v>
                </c:pt>
                <c:pt idx="17">
                  <c:v>136.70400000000001</c:v>
                </c:pt>
                <c:pt idx="18">
                  <c:v>136.703</c:v>
                </c:pt>
                <c:pt idx="19">
                  <c:v>136.78</c:v>
                </c:pt>
                <c:pt idx="20">
                  <c:v>136.929</c:v>
                </c:pt>
                <c:pt idx="21">
                  <c:v>137.143</c:v>
                </c:pt>
                <c:pt idx="22">
                  <c:v>137.40899999999999</c:v>
                </c:pt>
                <c:pt idx="23">
                  <c:v>137.72499999999999</c:v>
                </c:pt>
                <c:pt idx="24">
                  <c:v>138.08600000000001</c:v>
                </c:pt>
                <c:pt idx="25">
                  <c:v>138.52500000000001</c:v>
                </c:pt>
                <c:pt idx="26">
                  <c:v>139.11099999999999</c:v>
                </c:pt>
                <c:pt idx="27">
                  <c:v>139.739</c:v>
                </c:pt>
                <c:pt idx="28">
                  <c:v>140.346</c:v>
                </c:pt>
                <c:pt idx="29">
                  <c:v>140.86799999999999</c:v>
                </c:pt>
                <c:pt idx="30">
                  <c:v>141.31200000000001</c:v>
                </c:pt>
                <c:pt idx="31">
                  <c:v>141.732</c:v>
                </c:pt>
                <c:pt idx="32">
                  <c:v>142.17500000000001</c:v>
                </c:pt>
                <c:pt idx="33">
                  <c:v>142.65</c:v>
                </c:pt>
                <c:pt idx="34">
                  <c:v>143.14500000000001</c:v>
                </c:pt>
              </c:numCache>
            </c:numRef>
          </c:val>
          <c:smooth val="0"/>
          <c:extLst>
            <c:ext xmlns:c16="http://schemas.microsoft.com/office/drawing/2014/chart" uri="{C3380CC4-5D6E-409C-BE32-E72D297353CC}">
              <c16:uniqueId val="{00000000-AE7B-434B-9D14-D454AE0C13C4}"/>
            </c:ext>
          </c:extLst>
        </c:ser>
        <c:ser>
          <c:idx val="3"/>
          <c:order val="1"/>
          <c:tx>
            <c:strRef>
              <c:f>'[iSDG Simulation Results.xlsx]TP2_Charts'!$A$19</c:f>
              <c:strCache>
                <c:ptCount val="1"/>
                <c:pt idx="0">
                  <c:v>SWT</c:v>
                </c:pt>
              </c:strCache>
            </c:strRef>
          </c:tx>
          <c:spPr>
            <a:ln w="19050">
              <a:solidFill>
                <a:srgbClr val="19486A"/>
              </a:solidFill>
            </a:ln>
          </c:spPr>
          <c:marker>
            <c:symbol val="none"/>
          </c:marker>
          <c:cat>
            <c:numRef>
              <c:f>'[iSDG Simulation Results.xlsx]TP2_Charts'!$AB$17:$BJ$17</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Results.xlsx]TP2_Charts'!$AB$19:$BJ$19</c:f>
              <c:numCache>
                <c:formatCode>0.00E+00</c:formatCode>
                <c:ptCount val="35"/>
                <c:pt idx="0">
                  <c:v>139.56</c:v>
                </c:pt>
                <c:pt idx="1">
                  <c:v>135.37</c:v>
                </c:pt>
                <c:pt idx="2">
                  <c:v>136.72399999999999</c:v>
                </c:pt>
                <c:pt idx="3">
                  <c:v>137.797</c:v>
                </c:pt>
                <c:pt idx="4">
                  <c:v>136.227</c:v>
                </c:pt>
                <c:pt idx="5">
                  <c:v>137.92400000000001</c:v>
                </c:pt>
                <c:pt idx="6">
                  <c:v>138.917</c:v>
                </c:pt>
                <c:pt idx="7">
                  <c:v>138.68100000000001</c:v>
                </c:pt>
                <c:pt idx="8">
                  <c:v>138.88499999999999</c:v>
                </c:pt>
                <c:pt idx="9">
                  <c:v>138.596</c:v>
                </c:pt>
                <c:pt idx="10">
                  <c:v>138.13</c:v>
                </c:pt>
                <c:pt idx="11">
                  <c:v>137.49799999999999</c:v>
                </c:pt>
                <c:pt idx="12">
                  <c:v>136.702</c:v>
                </c:pt>
                <c:pt idx="13">
                  <c:v>135.73500000000001</c:v>
                </c:pt>
                <c:pt idx="14">
                  <c:v>134.59</c:v>
                </c:pt>
                <c:pt idx="15">
                  <c:v>134.547</c:v>
                </c:pt>
                <c:pt idx="16">
                  <c:v>136.03800000000001</c:v>
                </c:pt>
                <c:pt idx="17">
                  <c:v>138.15899999999999</c:v>
                </c:pt>
                <c:pt idx="18">
                  <c:v>140.797</c:v>
                </c:pt>
                <c:pt idx="19">
                  <c:v>143.91999999999999</c:v>
                </c:pt>
                <c:pt idx="20">
                  <c:v>147.542</c:v>
                </c:pt>
                <c:pt idx="21">
                  <c:v>151.69</c:v>
                </c:pt>
                <c:pt idx="22">
                  <c:v>156.392</c:v>
                </c:pt>
                <c:pt idx="23">
                  <c:v>161.67599999999999</c:v>
                </c:pt>
                <c:pt idx="24">
                  <c:v>167.57300000000001</c:v>
                </c:pt>
                <c:pt idx="25">
                  <c:v>174.1</c:v>
                </c:pt>
                <c:pt idx="26">
                  <c:v>181.40299999999999</c:v>
                </c:pt>
                <c:pt idx="27">
                  <c:v>189.346</c:v>
                </c:pt>
                <c:pt idx="28">
                  <c:v>197.91200000000001</c:v>
                </c:pt>
                <c:pt idx="29">
                  <c:v>207.13300000000001</c:v>
                </c:pt>
                <c:pt idx="30">
                  <c:v>217.09200000000001</c:v>
                </c:pt>
                <c:pt idx="31">
                  <c:v>227.87100000000001</c:v>
                </c:pt>
                <c:pt idx="32">
                  <c:v>239.37700000000001</c:v>
                </c:pt>
                <c:pt idx="33">
                  <c:v>251.179</c:v>
                </c:pt>
                <c:pt idx="34">
                  <c:v>263.77800000000002</c:v>
                </c:pt>
              </c:numCache>
            </c:numRef>
          </c:val>
          <c:smooth val="0"/>
          <c:extLst>
            <c:ext xmlns:c16="http://schemas.microsoft.com/office/drawing/2014/chart" uri="{C3380CC4-5D6E-409C-BE32-E72D297353CC}">
              <c16:uniqueId val="{00000001-AE7B-434B-9D14-D454AE0C13C4}"/>
            </c:ext>
          </c:extLst>
        </c:ser>
        <c:dLbls>
          <c:showLegendKey val="0"/>
          <c:showVal val="0"/>
          <c:showCatName val="0"/>
          <c:showSerName val="0"/>
          <c:showPercent val="0"/>
          <c:showBubbleSize val="0"/>
        </c:dLbls>
        <c:smooth val="0"/>
        <c:axId val="864774112"/>
        <c:axId val="864791168"/>
      </c:lineChart>
      <c:catAx>
        <c:axId val="864774112"/>
        <c:scaling>
          <c:orientation val="minMax"/>
        </c:scaling>
        <c:delete val="0"/>
        <c:axPos val="b"/>
        <c:numFmt formatCode="General" sourceLinked="1"/>
        <c:majorTickMark val="in"/>
        <c:minorTickMark val="none"/>
        <c:tickLblPos val="nextTo"/>
        <c:spPr>
          <a:noFill/>
          <a:ln w="9525" cap="flat" cmpd="sng" algn="ctr">
            <a:solidFill>
              <a:sysClr val="windowText" lastClr="000000">
                <a:lumMod val="65000"/>
                <a:lumOff val="35000"/>
              </a:sys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91168"/>
        <c:crosses val="autoZero"/>
        <c:auto val="1"/>
        <c:lblAlgn val="ctr"/>
        <c:lblOffset val="100"/>
        <c:noMultiLvlLbl val="0"/>
      </c:catAx>
      <c:valAx>
        <c:axId val="864791168"/>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r>
                  <a:rPr lang="en-AU"/>
                  <a:t>Manufacturing Production (AUD</a:t>
                </a:r>
                <a:r>
                  <a:rPr lang="en-AU" baseline="0"/>
                  <a:t> bn)</a:t>
                </a:r>
                <a:endParaRPr lang="en-AU"/>
              </a:p>
            </c:rich>
          </c:tx>
          <c:overlay val="0"/>
          <c:spPr>
            <a:noFill/>
            <a:ln>
              <a:noFill/>
            </a:ln>
            <a:effectLst/>
          </c:sp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74112"/>
        <c:crosses val="autoZero"/>
        <c:crossBetween val="midCat"/>
      </c:valAx>
      <c:spPr>
        <a:noFill/>
        <a:ln>
          <a:solidFill>
            <a:schemeClr val="tx1">
              <a:lumMod val="65000"/>
              <a:lumOff val="35000"/>
            </a:schemeClr>
          </a:solidFill>
        </a:ln>
        <a:effectLst/>
      </c:spPr>
    </c:plotArea>
    <c:legend>
      <c:legendPos val="b"/>
      <c:layout>
        <c:manualLayout>
          <c:xMode val="edge"/>
          <c:yMode val="edge"/>
          <c:x val="0.30291754155730533"/>
          <c:y val="0.94288271860754247"/>
          <c:w val="0.42159007901790052"/>
          <c:h val="5.4800009914815213E-2"/>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legend>
    <c:plotVisOnly val="1"/>
    <c:dispBlanksAs val="gap"/>
    <c:showDLblsOverMax val="0"/>
  </c:chart>
  <c:spPr>
    <a:ln>
      <a:noFill/>
    </a:ln>
  </c:spPr>
  <c:txPr>
    <a:bodyPr/>
    <a:lstStyle/>
    <a:p>
      <a:pPr>
        <a:defRPr sz="1000">
          <a:solidFill>
            <a:sysClr val="windowText" lastClr="000000"/>
          </a:solidFill>
          <a:latin typeface="+mj-lt"/>
        </a:defRPr>
      </a:pPr>
      <a:endParaRPr lang="en-U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2151606447782202"/>
          <c:y val="3.3577533577533576E-2"/>
          <c:w val="0.75055527455852933"/>
          <c:h val="0.7651507468148222"/>
        </c:manualLayout>
      </c:layout>
      <c:lineChart>
        <c:grouping val="standard"/>
        <c:varyColors val="0"/>
        <c:ser>
          <c:idx val="2"/>
          <c:order val="0"/>
          <c:tx>
            <c:strRef>
              <c:f>'[iSDG Simulation Results.xlsx]TP2_Charts'!$A$26</c:f>
              <c:strCache>
                <c:ptCount val="1"/>
                <c:pt idx="0">
                  <c:v>BBS</c:v>
                </c:pt>
              </c:strCache>
            </c:strRef>
          </c:tx>
          <c:spPr>
            <a:ln w="19050">
              <a:solidFill>
                <a:srgbClr val="FFC000">
                  <a:lumMod val="50000"/>
                </a:srgbClr>
              </a:solidFill>
            </a:ln>
          </c:spPr>
          <c:marker>
            <c:symbol val="none"/>
          </c:marker>
          <c:cat>
            <c:numRef>
              <c:f>'[iSDG Simulation Results.xlsx]TP2_Charts'!$AB$25:$BJ$25</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Results.xlsx]TP2_Charts'!$AB$26:$BJ$26</c:f>
              <c:numCache>
                <c:formatCode>General</c:formatCode>
                <c:ptCount val="35"/>
                <c:pt idx="0">
                  <c:v>0.81767500000000004</c:v>
                </c:pt>
                <c:pt idx="1">
                  <c:v>0.81233100000000003</c:v>
                </c:pt>
                <c:pt idx="2">
                  <c:v>0.79718500000000003</c:v>
                </c:pt>
                <c:pt idx="3">
                  <c:v>0.79469199999999995</c:v>
                </c:pt>
                <c:pt idx="4">
                  <c:v>0.80012499999999998</c:v>
                </c:pt>
                <c:pt idx="5">
                  <c:v>0.79366199999999998</c:v>
                </c:pt>
                <c:pt idx="6">
                  <c:v>0.78461700000000001</c:v>
                </c:pt>
                <c:pt idx="7">
                  <c:v>0.78031600000000001</c:v>
                </c:pt>
                <c:pt idx="8">
                  <c:v>0.77622800000000003</c:v>
                </c:pt>
                <c:pt idx="9">
                  <c:v>0.772401</c:v>
                </c:pt>
                <c:pt idx="10">
                  <c:v>0.76912999999999998</c:v>
                </c:pt>
                <c:pt idx="11">
                  <c:v>0.76591500000000001</c:v>
                </c:pt>
                <c:pt idx="12">
                  <c:v>0.76312100000000005</c:v>
                </c:pt>
                <c:pt idx="13">
                  <c:v>0.76053400000000004</c:v>
                </c:pt>
                <c:pt idx="14">
                  <c:v>0.75811499999999998</c:v>
                </c:pt>
                <c:pt idx="15">
                  <c:v>0.75590400000000002</c:v>
                </c:pt>
                <c:pt idx="16">
                  <c:v>0.75372399999999995</c:v>
                </c:pt>
                <c:pt idx="17">
                  <c:v>0.75181200000000004</c:v>
                </c:pt>
                <c:pt idx="18">
                  <c:v>0.75007299999999999</c:v>
                </c:pt>
                <c:pt idx="19">
                  <c:v>0.74850099999999997</c:v>
                </c:pt>
                <c:pt idx="20">
                  <c:v>0.74710500000000002</c:v>
                </c:pt>
                <c:pt idx="21">
                  <c:v>0.74589499999999997</c:v>
                </c:pt>
                <c:pt idx="22">
                  <c:v>0.74488399999999999</c:v>
                </c:pt>
                <c:pt idx="23">
                  <c:v>0.74404800000000004</c:v>
                </c:pt>
                <c:pt idx="24">
                  <c:v>0.74337500000000001</c:v>
                </c:pt>
                <c:pt idx="25">
                  <c:v>0.74275000000000002</c:v>
                </c:pt>
                <c:pt idx="26">
                  <c:v>0.74215600000000004</c:v>
                </c:pt>
                <c:pt idx="27">
                  <c:v>0.74172499999999997</c:v>
                </c:pt>
                <c:pt idx="28">
                  <c:v>0.74144500000000002</c:v>
                </c:pt>
                <c:pt idx="29">
                  <c:v>0.74132900000000002</c:v>
                </c:pt>
                <c:pt idx="30">
                  <c:v>0.74134999999999995</c:v>
                </c:pt>
                <c:pt idx="31">
                  <c:v>0.74148099999999995</c:v>
                </c:pt>
                <c:pt idx="32">
                  <c:v>0.74168699999999999</c:v>
                </c:pt>
                <c:pt idx="33">
                  <c:v>0.741954</c:v>
                </c:pt>
                <c:pt idx="34">
                  <c:v>0.74226400000000003</c:v>
                </c:pt>
              </c:numCache>
            </c:numRef>
          </c:val>
          <c:smooth val="0"/>
          <c:extLst>
            <c:ext xmlns:c16="http://schemas.microsoft.com/office/drawing/2014/chart" uri="{C3380CC4-5D6E-409C-BE32-E72D297353CC}">
              <c16:uniqueId val="{00000000-8573-41A3-808D-DC9C0FC8A1DD}"/>
            </c:ext>
          </c:extLst>
        </c:ser>
        <c:ser>
          <c:idx val="3"/>
          <c:order val="1"/>
          <c:tx>
            <c:strRef>
              <c:f>'[iSDG Simulation Results.xlsx]TP2_Charts'!$A$27</c:f>
              <c:strCache>
                <c:ptCount val="1"/>
                <c:pt idx="0">
                  <c:v>SWT</c:v>
                </c:pt>
              </c:strCache>
            </c:strRef>
          </c:tx>
          <c:spPr>
            <a:ln w="19050">
              <a:solidFill>
                <a:srgbClr val="19486A"/>
              </a:solidFill>
            </a:ln>
          </c:spPr>
          <c:marker>
            <c:symbol val="none"/>
          </c:marker>
          <c:cat>
            <c:numRef>
              <c:f>'[iSDG Simulation Results.xlsx]TP2_Charts'!$AB$25:$BJ$25</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Results.xlsx]TP2_Charts'!$AB$27:$BJ$27</c:f>
              <c:numCache>
                <c:formatCode>General</c:formatCode>
                <c:ptCount val="35"/>
                <c:pt idx="0">
                  <c:v>0.81759400000000004</c:v>
                </c:pt>
                <c:pt idx="1">
                  <c:v>0.81214600000000003</c:v>
                </c:pt>
                <c:pt idx="2">
                  <c:v>0.79690799999999995</c:v>
                </c:pt>
                <c:pt idx="3">
                  <c:v>0.794323</c:v>
                </c:pt>
                <c:pt idx="4">
                  <c:v>0.79963499999999998</c:v>
                </c:pt>
                <c:pt idx="5">
                  <c:v>0.79047900000000004</c:v>
                </c:pt>
                <c:pt idx="6">
                  <c:v>0.77624000000000004</c:v>
                </c:pt>
                <c:pt idx="7">
                  <c:v>0.76561400000000002</c:v>
                </c:pt>
                <c:pt idx="8">
                  <c:v>0.75500400000000001</c:v>
                </c:pt>
                <c:pt idx="9">
                  <c:v>0.74459399999999998</c:v>
                </c:pt>
                <c:pt idx="10">
                  <c:v>0.73486499999999999</c:v>
                </c:pt>
                <c:pt idx="11">
                  <c:v>0.72532399999999997</c:v>
                </c:pt>
                <c:pt idx="12">
                  <c:v>0.715978</c:v>
                </c:pt>
                <c:pt idx="13">
                  <c:v>0.70683300000000004</c:v>
                </c:pt>
                <c:pt idx="14">
                  <c:v>0.69791000000000003</c:v>
                </c:pt>
                <c:pt idx="15">
                  <c:v>0.69049700000000003</c:v>
                </c:pt>
                <c:pt idx="16">
                  <c:v>0.68530899999999995</c:v>
                </c:pt>
                <c:pt idx="17">
                  <c:v>0.681728</c:v>
                </c:pt>
                <c:pt idx="18">
                  <c:v>0.67869100000000004</c:v>
                </c:pt>
                <c:pt idx="19">
                  <c:v>0.67588400000000004</c:v>
                </c:pt>
                <c:pt idx="20">
                  <c:v>0.673207</c:v>
                </c:pt>
                <c:pt idx="21">
                  <c:v>0.67064100000000004</c:v>
                </c:pt>
                <c:pt idx="22">
                  <c:v>0.66817700000000002</c:v>
                </c:pt>
                <c:pt idx="23">
                  <c:v>0.66580300000000003</c:v>
                </c:pt>
                <c:pt idx="24">
                  <c:v>0.66348700000000005</c:v>
                </c:pt>
                <c:pt idx="25">
                  <c:v>0.66113699999999997</c:v>
                </c:pt>
                <c:pt idx="26">
                  <c:v>0.65871400000000002</c:v>
                </c:pt>
                <c:pt idx="27">
                  <c:v>0.65633900000000001</c:v>
                </c:pt>
                <c:pt idx="28">
                  <c:v>0.65401600000000004</c:v>
                </c:pt>
                <c:pt idx="29">
                  <c:v>0.65172300000000005</c:v>
                </c:pt>
                <c:pt idx="30">
                  <c:v>0.64941899999999997</c:v>
                </c:pt>
                <c:pt idx="31">
                  <c:v>0.64706300000000005</c:v>
                </c:pt>
                <c:pt idx="32">
                  <c:v>0.64476500000000003</c:v>
                </c:pt>
                <c:pt idx="33">
                  <c:v>0.64299200000000001</c:v>
                </c:pt>
                <c:pt idx="34">
                  <c:v>0.64120100000000002</c:v>
                </c:pt>
              </c:numCache>
            </c:numRef>
          </c:val>
          <c:smooth val="0"/>
          <c:extLst>
            <c:ext xmlns:c16="http://schemas.microsoft.com/office/drawing/2014/chart" uri="{C3380CC4-5D6E-409C-BE32-E72D297353CC}">
              <c16:uniqueId val="{00000001-8573-41A3-808D-DC9C0FC8A1DD}"/>
            </c:ext>
          </c:extLst>
        </c:ser>
        <c:dLbls>
          <c:showLegendKey val="0"/>
          <c:showVal val="0"/>
          <c:showCatName val="0"/>
          <c:showSerName val="0"/>
          <c:showPercent val="0"/>
          <c:showBubbleSize val="0"/>
        </c:dLbls>
        <c:smooth val="0"/>
        <c:axId val="864774112"/>
        <c:axId val="864791168"/>
      </c:lineChart>
      <c:catAx>
        <c:axId val="864774112"/>
        <c:scaling>
          <c:orientation val="minMax"/>
        </c:scaling>
        <c:delete val="0"/>
        <c:axPos val="b"/>
        <c:numFmt formatCode="General" sourceLinked="1"/>
        <c:majorTickMark val="in"/>
        <c:minorTickMark val="none"/>
        <c:tickLblPos val="nextTo"/>
        <c:spPr>
          <a:noFill/>
          <a:ln w="9525" cap="flat" cmpd="sng" algn="ctr">
            <a:solidFill>
              <a:sysClr val="windowText" lastClr="000000">
                <a:lumMod val="65000"/>
                <a:lumOff val="35000"/>
              </a:sys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91168"/>
        <c:crosses val="autoZero"/>
        <c:auto val="1"/>
        <c:lblAlgn val="ctr"/>
        <c:lblOffset val="100"/>
        <c:noMultiLvlLbl val="0"/>
      </c:catAx>
      <c:valAx>
        <c:axId val="864791168"/>
        <c:scaling>
          <c:orientation val="minMax"/>
          <c:min val="0.60000000000000009"/>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r>
                  <a:rPr lang="en-AU"/>
                  <a:t>MF Per Unit Output (kg/USD)</a:t>
                </a:r>
              </a:p>
            </c:rich>
          </c:tx>
          <c:layout>
            <c:manualLayout>
              <c:xMode val="edge"/>
              <c:yMode val="edge"/>
              <c:x val="5.5555555555555558E-3"/>
              <c:y val="0.1720093321668125"/>
            </c:manualLayout>
          </c:layout>
          <c:overlay val="0"/>
          <c:spPr>
            <a:noFill/>
            <a:ln>
              <a:noFill/>
            </a:ln>
            <a:effectLst/>
          </c:spPr>
        </c:title>
        <c:numFmt formatCode="#,##0.0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74112"/>
        <c:crosses val="autoZero"/>
        <c:crossBetween val="midCat"/>
      </c:valAx>
      <c:spPr>
        <a:noFill/>
        <a:ln>
          <a:solidFill>
            <a:schemeClr val="tx1">
              <a:lumMod val="65000"/>
              <a:lumOff val="35000"/>
            </a:schemeClr>
          </a:solidFill>
        </a:ln>
        <a:effectLst/>
      </c:spPr>
    </c:plotArea>
    <c:legend>
      <c:legendPos val="b"/>
      <c:layout>
        <c:manualLayout>
          <c:xMode val="edge"/>
          <c:yMode val="edge"/>
          <c:x val="0.30291754155730533"/>
          <c:y val="0.94288271860754247"/>
          <c:w val="0.42159007901790052"/>
          <c:h val="5.4800009914815213E-2"/>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legend>
    <c:plotVisOnly val="1"/>
    <c:dispBlanksAs val="gap"/>
    <c:showDLblsOverMax val="0"/>
  </c:chart>
  <c:spPr>
    <a:ln>
      <a:noFill/>
    </a:ln>
  </c:spPr>
  <c:txPr>
    <a:bodyPr/>
    <a:lstStyle/>
    <a:p>
      <a:pPr>
        <a:defRPr sz="1000">
          <a:solidFill>
            <a:sysClr val="windowText" lastClr="000000"/>
          </a:solidFill>
          <a:latin typeface="+mj-lt"/>
        </a:defRPr>
      </a:pPr>
      <a:endParaRPr lang="en-U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9210422726179283"/>
          <c:y val="3.3577533577533576E-2"/>
          <c:w val="0.78012224724998358"/>
          <c:h val="0.71823762591107332"/>
        </c:manualLayout>
      </c:layout>
      <c:lineChart>
        <c:grouping val="standard"/>
        <c:varyColors val="0"/>
        <c:ser>
          <c:idx val="2"/>
          <c:order val="0"/>
          <c:tx>
            <c:strRef>
              <c:f>'[iSDG Simulation Results.xlsx]TP2_Charts'!$A$32</c:f>
              <c:strCache>
                <c:ptCount val="1"/>
                <c:pt idx="0">
                  <c:v>BBS</c:v>
                </c:pt>
              </c:strCache>
            </c:strRef>
          </c:tx>
          <c:spPr>
            <a:ln w="19050">
              <a:solidFill>
                <a:srgbClr val="FFC000">
                  <a:lumMod val="50000"/>
                </a:srgbClr>
              </a:solidFill>
            </a:ln>
          </c:spPr>
          <c:marker>
            <c:symbol val="none"/>
          </c:marker>
          <c:cat>
            <c:numRef>
              <c:f>'[iSDG Simulation Results.xlsx]TP2_Charts'!$AB$31:$BJ$31</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Results.xlsx]TP2_Charts'!$AB$32:$BJ$32</c:f>
              <c:numCache>
                <c:formatCode>0.00E+00</c:formatCode>
                <c:ptCount val="35"/>
                <c:pt idx="0">
                  <c:v>942.98199999999997</c:v>
                </c:pt>
                <c:pt idx="1">
                  <c:v>950.46500000000003</c:v>
                </c:pt>
                <c:pt idx="2">
                  <c:v>939.20500000000004</c:v>
                </c:pt>
                <c:pt idx="3">
                  <c:v>932.84199999999998</c:v>
                </c:pt>
                <c:pt idx="4">
                  <c:v>905.17700000000002</c:v>
                </c:pt>
                <c:pt idx="5">
                  <c:v>906.50599999999997</c:v>
                </c:pt>
                <c:pt idx="6">
                  <c:v>909.06399999999996</c:v>
                </c:pt>
                <c:pt idx="7">
                  <c:v>904.62199999999996</c:v>
                </c:pt>
                <c:pt idx="8">
                  <c:v>900.27</c:v>
                </c:pt>
                <c:pt idx="9">
                  <c:v>895.62199999999996</c:v>
                </c:pt>
                <c:pt idx="10">
                  <c:v>890.74099999999999</c:v>
                </c:pt>
                <c:pt idx="11">
                  <c:v>885.9</c:v>
                </c:pt>
                <c:pt idx="12">
                  <c:v>880.47900000000004</c:v>
                </c:pt>
                <c:pt idx="13">
                  <c:v>874.69200000000001</c:v>
                </c:pt>
                <c:pt idx="14">
                  <c:v>868.56899999999996</c:v>
                </c:pt>
                <c:pt idx="15">
                  <c:v>863.14200000000005</c:v>
                </c:pt>
                <c:pt idx="16">
                  <c:v>857.66499999999996</c:v>
                </c:pt>
                <c:pt idx="17">
                  <c:v>851.76199999999994</c:v>
                </c:pt>
                <c:pt idx="18">
                  <c:v>845.65499999999997</c:v>
                </c:pt>
                <c:pt idx="19">
                  <c:v>839.39700000000005</c:v>
                </c:pt>
                <c:pt idx="20">
                  <c:v>833.02700000000004</c:v>
                </c:pt>
                <c:pt idx="21">
                  <c:v>826.57399999999996</c:v>
                </c:pt>
                <c:pt idx="22">
                  <c:v>820.04899999999998</c:v>
                </c:pt>
                <c:pt idx="23">
                  <c:v>813.49</c:v>
                </c:pt>
                <c:pt idx="24">
                  <c:v>806.92200000000003</c:v>
                </c:pt>
                <c:pt idx="25">
                  <c:v>800.69</c:v>
                </c:pt>
                <c:pt idx="26">
                  <c:v>794.72</c:v>
                </c:pt>
                <c:pt idx="27">
                  <c:v>788.625</c:v>
                </c:pt>
                <c:pt idx="28">
                  <c:v>782.35199999999998</c:v>
                </c:pt>
                <c:pt idx="29">
                  <c:v>775.88199999999995</c:v>
                </c:pt>
                <c:pt idx="30">
                  <c:v>769.27599999999995</c:v>
                </c:pt>
                <c:pt idx="31">
                  <c:v>762.625</c:v>
                </c:pt>
                <c:pt idx="32">
                  <c:v>756.01499999999999</c:v>
                </c:pt>
                <c:pt idx="33">
                  <c:v>749.49699999999996</c:v>
                </c:pt>
                <c:pt idx="34">
                  <c:v>743.1</c:v>
                </c:pt>
              </c:numCache>
            </c:numRef>
          </c:val>
          <c:smooth val="0"/>
          <c:extLst>
            <c:ext xmlns:c16="http://schemas.microsoft.com/office/drawing/2014/chart" uri="{C3380CC4-5D6E-409C-BE32-E72D297353CC}">
              <c16:uniqueId val="{00000000-7100-4B3A-9A7D-C8EF5958FF5D}"/>
            </c:ext>
          </c:extLst>
        </c:ser>
        <c:ser>
          <c:idx val="3"/>
          <c:order val="1"/>
          <c:tx>
            <c:strRef>
              <c:f>'[iSDG Simulation Results.xlsx]TP2_Charts'!$A$33</c:f>
              <c:strCache>
                <c:ptCount val="1"/>
                <c:pt idx="0">
                  <c:v>SWT</c:v>
                </c:pt>
              </c:strCache>
            </c:strRef>
          </c:tx>
          <c:spPr>
            <a:ln w="19050">
              <a:solidFill>
                <a:srgbClr val="19486A"/>
              </a:solidFill>
            </a:ln>
          </c:spPr>
          <c:marker>
            <c:symbol val="none"/>
          </c:marker>
          <c:cat>
            <c:numRef>
              <c:f>'[iSDG Simulation Results.xlsx]TP2_Charts'!$AB$31:$BJ$31</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Results.xlsx]TP2_Charts'!$AB$33:$BJ$33</c:f>
              <c:numCache>
                <c:formatCode>0.00E+00</c:formatCode>
                <c:ptCount val="35"/>
                <c:pt idx="0">
                  <c:v>943.13900000000001</c:v>
                </c:pt>
                <c:pt idx="1">
                  <c:v>950.83100000000002</c:v>
                </c:pt>
                <c:pt idx="2">
                  <c:v>939.76599999999996</c:v>
                </c:pt>
                <c:pt idx="3">
                  <c:v>933.58900000000006</c:v>
                </c:pt>
                <c:pt idx="4">
                  <c:v>898.32799999999997</c:v>
                </c:pt>
                <c:pt idx="5">
                  <c:v>895.14200000000005</c:v>
                </c:pt>
                <c:pt idx="6">
                  <c:v>887.53899999999999</c:v>
                </c:pt>
                <c:pt idx="7">
                  <c:v>871.15599999999995</c:v>
                </c:pt>
                <c:pt idx="8">
                  <c:v>853.06899999999996</c:v>
                </c:pt>
                <c:pt idx="9">
                  <c:v>835.53200000000004</c:v>
                </c:pt>
                <c:pt idx="10">
                  <c:v>818.18799999999999</c:v>
                </c:pt>
                <c:pt idx="11">
                  <c:v>801.10500000000002</c:v>
                </c:pt>
                <c:pt idx="12">
                  <c:v>784.09799999999996</c:v>
                </c:pt>
                <c:pt idx="13">
                  <c:v>767.11699999999996</c:v>
                </c:pt>
                <c:pt idx="14">
                  <c:v>750.13599999999997</c:v>
                </c:pt>
                <c:pt idx="15">
                  <c:v>733.26099999999997</c:v>
                </c:pt>
                <c:pt idx="16">
                  <c:v>721.90599999999995</c:v>
                </c:pt>
                <c:pt idx="17">
                  <c:v>712.81799999999998</c:v>
                </c:pt>
                <c:pt idx="18">
                  <c:v>705.19799999999998</c:v>
                </c:pt>
                <c:pt idx="19">
                  <c:v>698.54499999999996</c:v>
                </c:pt>
                <c:pt idx="20">
                  <c:v>692.55700000000002</c:v>
                </c:pt>
                <c:pt idx="21">
                  <c:v>687.04</c:v>
                </c:pt>
                <c:pt idx="22">
                  <c:v>681.88</c:v>
                </c:pt>
                <c:pt idx="23">
                  <c:v>677.01599999999996</c:v>
                </c:pt>
                <c:pt idx="24">
                  <c:v>672.41800000000001</c:v>
                </c:pt>
                <c:pt idx="25">
                  <c:v>668.245</c:v>
                </c:pt>
                <c:pt idx="26">
                  <c:v>664.46299999999997</c:v>
                </c:pt>
                <c:pt idx="27">
                  <c:v>660.86800000000005</c:v>
                </c:pt>
                <c:pt idx="28">
                  <c:v>657.43</c:v>
                </c:pt>
                <c:pt idx="29">
                  <c:v>654.15899999999999</c:v>
                </c:pt>
                <c:pt idx="30">
                  <c:v>645.28700000000003</c:v>
                </c:pt>
                <c:pt idx="31">
                  <c:v>640.33100000000002</c:v>
                </c:pt>
                <c:pt idx="32">
                  <c:v>637.72</c:v>
                </c:pt>
                <c:pt idx="33">
                  <c:v>635.125</c:v>
                </c:pt>
                <c:pt idx="34">
                  <c:v>632.85</c:v>
                </c:pt>
              </c:numCache>
            </c:numRef>
          </c:val>
          <c:smooth val="0"/>
          <c:extLst>
            <c:ext xmlns:c16="http://schemas.microsoft.com/office/drawing/2014/chart" uri="{C3380CC4-5D6E-409C-BE32-E72D297353CC}">
              <c16:uniqueId val="{00000001-7100-4B3A-9A7D-C8EF5958FF5D}"/>
            </c:ext>
          </c:extLst>
        </c:ser>
        <c:dLbls>
          <c:showLegendKey val="0"/>
          <c:showVal val="0"/>
          <c:showCatName val="0"/>
          <c:showSerName val="0"/>
          <c:showPercent val="0"/>
          <c:showBubbleSize val="0"/>
        </c:dLbls>
        <c:smooth val="0"/>
        <c:axId val="864774112"/>
        <c:axId val="864791168"/>
      </c:lineChart>
      <c:catAx>
        <c:axId val="864774112"/>
        <c:scaling>
          <c:orientation val="minMax"/>
        </c:scaling>
        <c:delete val="0"/>
        <c:axPos val="b"/>
        <c:numFmt formatCode="General" sourceLinked="1"/>
        <c:majorTickMark val="in"/>
        <c:minorTickMark val="none"/>
        <c:tickLblPos val="nextTo"/>
        <c:spPr>
          <a:noFill/>
          <a:ln w="9525" cap="flat" cmpd="sng" algn="ctr">
            <a:solidFill>
              <a:sysClr val="windowText" lastClr="000000">
                <a:lumMod val="65000"/>
                <a:lumOff val="35000"/>
              </a:sys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91168"/>
        <c:crosses val="autoZero"/>
        <c:auto val="1"/>
        <c:lblAlgn val="ctr"/>
        <c:lblOffset val="100"/>
        <c:noMultiLvlLbl val="0"/>
      </c:catAx>
      <c:valAx>
        <c:axId val="864791168"/>
        <c:scaling>
          <c:orientation val="minMax"/>
          <c:min val="500"/>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r>
                  <a:rPr lang="en-AU"/>
                  <a:t>DMC (Mt)</a:t>
                </a:r>
              </a:p>
            </c:rich>
          </c:tx>
          <c:overlay val="0"/>
          <c:spPr>
            <a:noFill/>
            <a:ln>
              <a:noFill/>
            </a:ln>
            <a:effectLst/>
          </c:sp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74112"/>
        <c:crosses val="autoZero"/>
        <c:crossBetween val="midCat"/>
      </c:valAx>
      <c:spPr>
        <a:noFill/>
        <a:ln>
          <a:solidFill>
            <a:schemeClr val="tx1">
              <a:lumMod val="65000"/>
              <a:lumOff val="35000"/>
            </a:schemeClr>
          </a:solidFill>
        </a:ln>
        <a:effectLst/>
      </c:spPr>
    </c:plotArea>
    <c:legend>
      <c:legendPos val="b"/>
      <c:layout>
        <c:manualLayout>
          <c:xMode val="edge"/>
          <c:yMode val="edge"/>
          <c:x val="0.30291754155730533"/>
          <c:y val="0.94288271860754247"/>
          <c:w val="0.42159007901790052"/>
          <c:h val="5.4800009914815213E-2"/>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legend>
    <c:plotVisOnly val="1"/>
    <c:dispBlanksAs val="gap"/>
    <c:showDLblsOverMax val="0"/>
  </c:chart>
  <c:spPr>
    <a:ln>
      <a:noFill/>
    </a:ln>
  </c:spPr>
  <c:txPr>
    <a:bodyPr/>
    <a:lstStyle/>
    <a:p>
      <a:pPr>
        <a:defRPr sz="1000">
          <a:solidFill>
            <a:sysClr val="windowText" lastClr="000000"/>
          </a:solidFill>
          <a:latin typeface="+mj-lt"/>
        </a:defRPr>
      </a:pPr>
      <a:endParaRPr lang="en-U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510918603779313"/>
          <c:y val="3.3577533577533576E-2"/>
          <c:w val="0.72001411801711346"/>
          <c:h val="0.73008947079028319"/>
        </c:manualLayout>
      </c:layout>
      <c:lineChart>
        <c:grouping val="standard"/>
        <c:varyColors val="0"/>
        <c:ser>
          <c:idx val="2"/>
          <c:order val="0"/>
          <c:tx>
            <c:strRef>
              <c:f>'[iSDG Simulation Results.xlsx]TP3_charts'!$A$9</c:f>
              <c:strCache>
                <c:ptCount val="1"/>
                <c:pt idx="0">
                  <c:v>BBS</c:v>
                </c:pt>
              </c:strCache>
            </c:strRef>
          </c:tx>
          <c:spPr>
            <a:ln w="19050">
              <a:solidFill>
                <a:srgbClr val="FFC000">
                  <a:lumMod val="50000"/>
                </a:srgbClr>
              </a:solidFill>
            </a:ln>
          </c:spPr>
          <c:marker>
            <c:symbol val="none"/>
          </c:marker>
          <c:cat>
            <c:numRef>
              <c:f>'[iSDG Simulation Results.xlsx]TP3_charts'!$AB$8:$BJ$8</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Results.xlsx]TP3_charts'!$AB$9:$BJ$9</c:f>
              <c:numCache>
                <c:formatCode>General</c:formatCode>
                <c:ptCount val="35"/>
                <c:pt idx="0">
                  <c:v>0.20873800000000001</c:v>
                </c:pt>
                <c:pt idx="1">
                  <c:v>0.208732</c:v>
                </c:pt>
                <c:pt idx="2">
                  <c:v>0.208727</c:v>
                </c:pt>
                <c:pt idx="3">
                  <c:v>0.20872299999999999</c:v>
                </c:pt>
                <c:pt idx="4">
                  <c:v>0.20871999999999999</c:v>
                </c:pt>
                <c:pt idx="5">
                  <c:v>0.20871799999999999</c:v>
                </c:pt>
                <c:pt idx="6">
                  <c:v>0.20871500000000001</c:v>
                </c:pt>
                <c:pt idx="7">
                  <c:v>0.20871400000000001</c:v>
                </c:pt>
                <c:pt idx="8">
                  <c:v>0.20871200000000001</c:v>
                </c:pt>
                <c:pt idx="9">
                  <c:v>0.20871100000000001</c:v>
                </c:pt>
                <c:pt idx="10">
                  <c:v>0.20871000000000001</c:v>
                </c:pt>
                <c:pt idx="11">
                  <c:v>0.20870900000000001</c:v>
                </c:pt>
                <c:pt idx="12">
                  <c:v>0.20870900000000001</c:v>
                </c:pt>
                <c:pt idx="13">
                  <c:v>0.208708</c:v>
                </c:pt>
                <c:pt idx="14">
                  <c:v>0.208708</c:v>
                </c:pt>
                <c:pt idx="15">
                  <c:v>0.208708</c:v>
                </c:pt>
                <c:pt idx="16">
                  <c:v>0.208707</c:v>
                </c:pt>
                <c:pt idx="17">
                  <c:v>0.208707</c:v>
                </c:pt>
                <c:pt idx="18">
                  <c:v>0.208707</c:v>
                </c:pt>
                <c:pt idx="19">
                  <c:v>0.208707</c:v>
                </c:pt>
                <c:pt idx="20">
                  <c:v>0.208707</c:v>
                </c:pt>
                <c:pt idx="21">
                  <c:v>0.208707</c:v>
                </c:pt>
                <c:pt idx="22">
                  <c:v>0.208706</c:v>
                </c:pt>
                <c:pt idx="23">
                  <c:v>0.208706</c:v>
                </c:pt>
                <c:pt idx="24">
                  <c:v>0.208706</c:v>
                </c:pt>
                <c:pt idx="25">
                  <c:v>0.208706</c:v>
                </c:pt>
                <c:pt idx="26">
                  <c:v>0.208706</c:v>
                </c:pt>
                <c:pt idx="27">
                  <c:v>0.208706</c:v>
                </c:pt>
                <c:pt idx="28">
                  <c:v>0.208706</c:v>
                </c:pt>
                <c:pt idx="29">
                  <c:v>0.208706</c:v>
                </c:pt>
                <c:pt idx="30">
                  <c:v>0.208706</c:v>
                </c:pt>
                <c:pt idx="31">
                  <c:v>0.208706</c:v>
                </c:pt>
                <c:pt idx="32">
                  <c:v>0.208706</c:v>
                </c:pt>
                <c:pt idx="33">
                  <c:v>0.208706</c:v>
                </c:pt>
                <c:pt idx="34">
                  <c:v>0.208706</c:v>
                </c:pt>
              </c:numCache>
            </c:numRef>
          </c:val>
          <c:smooth val="0"/>
          <c:extLst>
            <c:ext xmlns:c16="http://schemas.microsoft.com/office/drawing/2014/chart" uri="{C3380CC4-5D6E-409C-BE32-E72D297353CC}">
              <c16:uniqueId val="{00000000-07F6-4925-9BAC-983831C8D1AF}"/>
            </c:ext>
          </c:extLst>
        </c:ser>
        <c:ser>
          <c:idx val="3"/>
          <c:order val="1"/>
          <c:tx>
            <c:strRef>
              <c:f>'[iSDG Simulation Results.xlsx]TP3_charts'!$A$10</c:f>
              <c:strCache>
                <c:ptCount val="1"/>
                <c:pt idx="0">
                  <c:v>SWT</c:v>
                </c:pt>
              </c:strCache>
            </c:strRef>
          </c:tx>
          <c:spPr>
            <a:ln w="19050">
              <a:solidFill>
                <a:srgbClr val="19486A"/>
              </a:solidFill>
            </a:ln>
          </c:spPr>
          <c:marker>
            <c:symbol val="none"/>
          </c:marker>
          <c:cat>
            <c:numRef>
              <c:f>'[iSDG Simulation Results.xlsx]TP3_charts'!$AB$8:$BJ$8</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Results.xlsx]TP3_charts'!$AB$10:$BJ$10</c:f>
              <c:numCache>
                <c:formatCode>General</c:formatCode>
                <c:ptCount val="35"/>
                <c:pt idx="0">
                  <c:v>0.20873800000000001</c:v>
                </c:pt>
                <c:pt idx="1">
                  <c:v>0.208732</c:v>
                </c:pt>
                <c:pt idx="2">
                  <c:v>0.208727</c:v>
                </c:pt>
                <c:pt idx="3">
                  <c:v>0.20872299999999999</c:v>
                </c:pt>
                <c:pt idx="4">
                  <c:v>0.20871999999999999</c:v>
                </c:pt>
                <c:pt idx="5">
                  <c:v>0.21079100000000001</c:v>
                </c:pt>
                <c:pt idx="6">
                  <c:v>0.229544</c:v>
                </c:pt>
                <c:pt idx="7">
                  <c:v>0.28661900000000001</c:v>
                </c:pt>
                <c:pt idx="8">
                  <c:v>0.39597100000000002</c:v>
                </c:pt>
                <c:pt idx="9">
                  <c:v>0.50782499999999997</c:v>
                </c:pt>
                <c:pt idx="10">
                  <c:v>0.59874899999999998</c:v>
                </c:pt>
                <c:pt idx="11">
                  <c:v>0.67264299999999999</c:v>
                </c:pt>
                <c:pt idx="12">
                  <c:v>0.73270900000000005</c:v>
                </c:pt>
                <c:pt idx="13">
                  <c:v>0.78155799999999997</c:v>
                </c:pt>
                <c:pt idx="14">
                  <c:v>0.82130999999999998</c:v>
                </c:pt>
                <c:pt idx="15">
                  <c:v>0.85367000000000004</c:v>
                </c:pt>
                <c:pt idx="16">
                  <c:v>0.88006300000000004</c:v>
                </c:pt>
                <c:pt idx="17">
                  <c:v>0.90162299999999995</c:v>
                </c:pt>
                <c:pt idx="18">
                  <c:v>0.91924799999999995</c:v>
                </c:pt>
                <c:pt idx="19">
                  <c:v>0.93367100000000003</c:v>
                </c:pt>
                <c:pt idx="20">
                  <c:v>0.94548900000000002</c:v>
                </c:pt>
                <c:pt idx="21">
                  <c:v>0.95518199999999998</c:v>
                </c:pt>
                <c:pt idx="22">
                  <c:v>0.96314299999999997</c:v>
                </c:pt>
                <c:pt idx="23">
                  <c:v>0.96968500000000002</c:v>
                </c:pt>
                <c:pt idx="24">
                  <c:v>0.97506800000000005</c:v>
                </c:pt>
                <c:pt idx="25">
                  <c:v>0.97949900000000001</c:v>
                </c:pt>
                <c:pt idx="26">
                  <c:v>0.983151</c:v>
                </c:pt>
                <c:pt idx="27">
                  <c:v>0.98616099999999995</c:v>
                </c:pt>
                <c:pt idx="28">
                  <c:v>0.98864600000000002</c:v>
                </c:pt>
                <c:pt idx="29">
                  <c:v>0.99069799999999997</c:v>
                </c:pt>
                <c:pt idx="30">
                  <c:v>0.99239500000000003</c:v>
                </c:pt>
                <c:pt idx="31">
                  <c:v>0.99379899999999999</c:v>
                </c:pt>
                <c:pt idx="32">
                  <c:v>0.99496300000000004</c:v>
                </c:pt>
                <c:pt idx="33">
                  <c:v>0.99592899999999995</c:v>
                </c:pt>
                <c:pt idx="34">
                  <c:v>0.99673199999999995</c:v>
                </c:pt>
              </c:numCache>
            </c:numRef>
          </c:val>
          <c:smooth val="0"/>
          <c:extLst>
            <c:ext xmlns:c16="http://schemas.microsoft.com/office/drawing/2014/chart" uri="{C3380CC4-5D6E-409C-BE32-E72D297353CC}">
              <c16:uniqueId val="{00000001-07F6-4925-9BAC-983831C8D1AF}"/>
            </c:ext>
          </c:extLst>
        </c:ser>
        <c:dLbls>
          <c:showLegendKey val="0"/>
          <c:showVal val="0"/>
          <c:showCatName val="0"/>
          <c:showSerName val="0"/>
          <c:showPercent val="0"/>
          <c:showBubbleSize val="0"/>
        </c:dLbls>
        <c:smooth val="0"/>
        <c:axId val="864774112"/>
        <c:axId val="864791168"/>
      </c:lineChart>
      <c:catAx>
        <c:axId val="864774112"/>
        <c:scaling>
          <c:orientation val="minMax"/>
        </c:scaling>
        <c:delete val="0"/>
        <c:axPos val="b"/>
        <c:numFmt formatCode="General" sourceLinked="1"/>
        <c:majorTickMark val="in"/>
        <c:minorTickMark val="none"/>
        <c:tickLblPos val="nextTo"/>
        <c:spPr>
          <a:noFill/>
          <a:ln w="9525" cap="flat" cmpd="sng" algn="ctr">
            <a:solidFill>
              <a:sysClr val="windowText" lastClr="000000">
                <a:lumMod val="65000"/>
                <a:lumOff val="35000"/>
              </a:sys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91168"/>
        <c:crosses val="autoZero"/>
        <c:auto val="1"/>
        <c:lblAlgn val="ctr"/>
        <c:lblOffset val="100"/>
        <c:noMultiLvlLbl val="0"/>
      </c:catAx>
      <c:valAx>
        <c:axId val="864791168"/>
        <c:scaling>
          <c:orientation val="minMax"/>
          <c:max val="1"/>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r>
                  <a:rPr lang="en-AU"/>
                  <a:t>Share of Harvested Area</a:t>
                </a:r>
                <a:r>
                  <a:rPr lang="en-AU" baseline="0"/>
                  <a:t> Sustainably Managed (%)</a:t>
                </a:r>
                <a:endParaRPr lang="en-AU"/>
              </a:p>
            </c:rich>
          </c:tx>
          <c:overlay val="0"/>
          <c:spPr>
            <a:noFill/>
            <a:ln>
              <a:noFill/>
            </a:ln>
            <a:effectLst/>
          </c:sp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74112"/>
        <c:crosses val="autoZero"/>
        <c:crossBetween val="midCat"/>
      </c:valAx>
      <c:spPr>
        <a:noFill/>
        <a:ln>
          <a:solidFill>
            <a:schemeClr val="tx1">
              <a:lumMod val="65000"/>
              <a:lumOff val="35000"/>
            </a:schemeClr>
          </a:solidFill>
        </a:ln>
        <a:effectLst/>
      </c:spPr>
    </c:plotArea>
    <c:legend>
      <c:legendPos val="b"/>
      <c:layout>
        <c:manualLayout>
          <c:xMode val="edge"/>
          <c:yMode val="edge"/>
          <c:x val="0.30291754155730533"/>
          <c:y val="0.94288271860754247"/>
          <c:w val="0.42159007901790052"/>
          <c:h val="5.4800009914815213E-2"/>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legend>
    <c:plotVisOnly val="1"/>
    <c:dispBlanksAs val="gap"/>
    <c:showDLblsOverMax val="0"/>
  </c:chart>
  <c:spPr>
    <a:ln>
      <a:noFill/>
    </a:ln>
  </c:spPr>
  <c:txPr>
    <a:bodyPr/>
    <a:lstStyle/>
    <a:p>
      <a:pPr>
        <a:defRPr sz="1000">
          <a:solidFill>
            <a:sysClr val="windowText" lastClr="000000"/>
          </a:solidFill>
          <a:latin typeface="+mj-lt"/>
        </a:defRPr>
      </a:pPr>
      <a:endParaRPr lang="en-U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3016161130185667"/>
          <c:y val="3.3577533577533576E-2"/>
          <c:w val="0.74206486320991982"/>
          <c:h val="0.75455599987152977"/>
        </c:manualLayout>
      </c:layout>
      <c:lineChart>
        <c:grouping val="standard"/>
        <c:varyColors val="0"/>
        <c:ser>
          <c:idx val="2"/>
          <c:order val="0"/>
          <c:tx>
            <c:strRef>
              <c:f>'[iSDG Simulation Results.xlsx]TP3_charts'!$A$16</c:f>
              <c:strCache>
                <c:ptCount val="1"/>
                <c:pt idx="0">
                  <c:v>BBS</c:v>
                </c:pt>
              </c:strCache>
            </c:strRef>
          </c:tx>
          <c:spPr>
            <a:ln w="19050">
              <a:solidFill>
                <a:srgbClr val="FFC000">
                  <a:lumMod val="50000"/>
                </a:srgbClr>
              </a:solidFill>
            </a:ln>
          </c:spPr>
          <c:marker>
            <c:symbol val="none"/>
          </c:marker>
          <c:cat>
            <c:numRef>
              <c:f>'[iSDG Simulation Results.xlsx]TP3_charts'!$AB$15:$BJ$15</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Results.xlsx]TP3_charts'!$AB$16:$BJ$16</c:f>
              <c:numCache>
                <c:formatCode>General</c:formatCode>
                <c:ptCount val="35"/>
                <c:pt idx="0">
                  <c:v>52.365299999999998</c:v>
                </c:pt>
                <c:pt idx="1">
                  <c:v>51.657699999999998</c:v>
                </c:pt>
                <c:pt idx="2">
                  <c:v>50.987299999999998</c:v>
                </c:pt>
                <c:pt idx="3">
                  <c:v>50.320999999999998</c:v>
                </c:pt>
                <c:pt idx="4">
                  <c:v>49.787500000000001</c:v>
                </c:pt>
                <c:pt idx="5">
                  <c:v>49.532800000000002</c:v>
                </c:pt>
                <c:pt idx="6">
                  <c:v>49.256100000000004</c:v>
                </c:pt>
                <c:pt idx="7">
                  <c:v>48.924300000000002</c:v>
                </c:pt>
                <c:pt idx="8">
                  <c:v>48.5779</c:v>
                </c:pt>
                <c:pt idx="9">
                  <c:v>48.2151</c:v>
                </c:pt>
                <c:pt idx="10">
                  <c:v>47.768799999999999</c:v>
                </c:pt>
                <c:pt idx="11">
                  <c:v>47.288400000000003</c:v>
                </c:pt>
                <c:pt idx="12">
                  <c:v>46.8001</c:v>
                </c:pt>
                <c:pt idx="13">
                  <c:v>46.308500000000002</c:v>
                </c:pt>
                <c:pt idx="14">
                  <c:v>45.817799999999998</c:v>
                </c:pt>
                <c:pt idx="15">
                  <c:v>45.334000000000003</c:v>
                </c:pt>
                <c:pt idx="16">
                  <c:v>44.86</c:v>
                </c:pt>
                <c:pt idx="17">
                  <c:v>44.3949</c:v>
                </c:pt>
                <c:pt idx="18">
                  <c:v>43.938699999999997</c:v>
                </c:pt>
                <c:pt idx="19">
                  <c:v>43.491100000000003</c:v>
                </c:pt>
                <c:pt idx="20">
                  <c:v>43.052199999999999</c:v>
                </c:pt>
                <c:pt idx="21">
                  <c:v>42.6218</c:v>
                </c:pt>
                <c:pt idx="22">
                  <c:v>42.199800000000003</c:v>
                </c:pt>
                <c:pt idx="23">
                  <c:v>41.786000000000001</c:v>
                </c:pt>
                <c:pt idx="24">
                  <c:v>41.380400000000002</c:v>
                </c:pt>
                <c:pt idx="25">
                  <c:v>40.982999999999997</c:v>
                </c:pt>
                <c:pt idx="26">
                  <c:v>40.594099999999997</c:v>
                </c:pt>
                <c:pt idx="27">
                  <c:v>40.213799999999999</c:v>
                </c:pt>
                <c:pt idx="28">
                  <c:v>39.842199999999998</c:v>
                </c:pt>
                <c:pt idx="29">
                  <c:v>39.479300000000002</c:v>
                </c:pt>
                <c:pt idx="30">
                  <c:v>39.125399999999999</c:v>
                </c:pt>
                <c:pt idx="31">
                  <c:v>38.780700000000003</c:v>
                </c:pt>
                <c:pt idx="32">
                  <c:v>38.445500000000003</c:v>
                </c:pt>
                <c:pt idx="33">
                  <c:v>38.119500000000002</c:v>
                </c:pt>
                <c:pt idx="34">
                  <c:v>37.802399999999999</c:v>
                </c:pt>
              </c:numCache>
            </c:numRef>
          </c:val>
          <c:smooth val="0"/>
          <c:extLst>
            <c:ext xmlns:c16="http://schemas.microsoft.com/office/drawing/2014/chart" uri="{C3380CC4-5D6E-409C-BE32-E72D297353CC}">
              <c16:uniqueId val="{00000000-FFD1-4C66-9C28-923BDBA3AE05}"/>
            </c:ext>
          </c:extLst>
        </c:ser>
        <c:ser>
          <c:idx val="3"/>
          <c:order val="1"/>
          <c:tx>
            <c:strRef>
              <c:f>'[iSDG Simulation Results.xlsx]TP3_charts'!$A$17</c:f>
              <c:strCache>
                <c:ptCount val="1"/>
                <c:pt idx="0">
                  <c:v>SWT</c:v>
                </c:pt>
              </c:strCache>
            </c:strRef>
          </c:tx>
          <c:spPr>
            <a:ln w="19050">
              <a:solidFill>
                <a:srgbClr val="19486A"/>
              </a:solidFill>
            </a:ln>
          </c:spPr>
          <c:marker>
            <c:symbol val="none"/>
          </c:marker>
          <c:cat>
            <c:numRef>
              <c:f>'[iSDG Simulation Results.xlsx]TP3_charts'!$AB$15:$BJ$15</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Results.xlsx]TP3_charts'!$AB$17:$BJ$17</c:f>
              <c:numCache>
                <c:formatCode>General</c:formatCode>
                <c:ptCount val="35"/>
                <c:pt idx="0">
                  <c:v>52.365299999999998</c:v>
                </c:pt>
                <c:pt idx="1">
                  <c:v>51.657699999999998</c:v>
                </c:pt>
                <c:pt idx="2">
                  <c:v>50.987200000000001</c:v>
                </c:pt>
                <c:pt idx="3">
                  <c:v>50.320799999999998</c:v>
                </c:pt>
                <c:pt idx="4">
                  <c:v>49.786999999999999</c:v>
                </c:pt>
                <c:pt idx="5">
                  <c:v>49.505800000000001</c:v>
                </c:pt>
                <c:pt idx="6">
                  <c:v>49.018900000000002</c:v>
                </c:pt>
                <c:pt idx="7">
                  <c:v>48.156999999999996</c:v>
                </c:pt>
                <c:pt idx="8">
                  <c:v>47.070399999999999</c:v>
                </c:pt>
                <c:pt idx="9">
                  <c:v>46.182400000000001</c:v>
                </c:pt>
                <c:pt idx="10">
                  <c:v>45.4345</c:v>
                </c:pt>
                <c:pt idx="11">
                  <c:v>44.778300000000002</c:v>
                </c:pt>
                <c:pt idx="12">
                  <c:v>44.191099999999999</c:v>
                </c:pt>
                <c:pt idx="13">
                  <c:v>43.649700000000003</c:v>
                </c:pt>
                <c:pt idx="14">
                  <c:v>43.141500000000001</c:v>
                </c:pt>
                <c:pt idx="15">
                  <c:v>42.662300000000002</c:v>
                </c:pt>
                <c:pt idx="16">
                  <c:v>42.206299999999999</c:v>
                </c:pt>
                <c:pt idx="17">
                  <c:v>41.767299999999999</c:v>
                </c:pt>
                <c:pt idx="18">
                  <c:v>41.341900000000003</c:v>
                </c:pt>
                <c:pt idx="19">
                  <c:v>40.927399999999999</c:v>
                </c:pt>
                <c:pt idx="20">
                  <c:v>40.522100000000002</c:v>
                </c:pt>
                <c:pt idx="21">
                  <c:v>40.124699999999997</c:v>
                </c:pt>
                <c:pt idx="22">
                  <c:v>39.734299999999998</c:v>
                </c:pt>
                <c:pt idx="23">
                  <c:v>39.350299999999997</c:v>
                </c:pt>
                <c:pt idx="24">
                  <c:v>38.9724</c:v>
                </c:pt>
                <c:pt idx="25">
                  <c:v>38.6004</c:v>
                </c:pt>
                <c:pt idx="26">
                  <c:v>38.234400000000001</c:v>
                </c:pt>
                <c:pt idx="27">
                  <c:v>37.874600000000001</c:v>
                </c:pt>
                <c:pt idx="28">
                  <c:v>37.521000000000001</c:v>
                </c:pt>
                <c:pt idx="29">
                  <c:v>37.173699999999997</c:v>
                </c:pt>
                <c:pt idx="30">
                  <c:v>36.832999999999998</c:v>
                </c:pt>
                <c:pt idx="31">
                  <c:v>36.499000000000002</c:v>
                </c:pt>
                <c:pt idx="32">
                  <c:v>36.171999999999997</c:v>
                </c:pt>
                <c:pt idx="33">
                  <c:v>35.851999999999997</c:v>
                </c:pt>
                <c:pt idx="34">
                  <c:v>35.538600000000002</c:v>
                </c:pt>
              </c:numCache>
            </c:numRef>
          </c:val>
          <c:smooth val="0"/>
          <c:extLst>
            <c:ext xmlns:c16="http://schemas.microsoft.com/office/drawing/2014/chart" uri="{C3380CC4-5D6E-409C-BE32-E72D297353CC}">
              <c16:uniqueId val="{00000001-FFD1-4C66-9C28-923BDBA3AE05}"/>
            </c:ext>
          </c:extLst>
        </c:ser>
        <c:dLbls>
          <c:showLegendKey val="0"/>
          <c:showVal val="0"/>
          <c:showCatName val="0"/>
          <c:showSerName val="0"/>
          <c:showPercent val="0"/>
          <c:showBubbleSize val="0"/>
        </c:dLbls>
        <c:smooth val="0"/>
        <c:axId val="864774112"/>
        <c:axId val="864791168"/>
      </c:lineChart>
      <c:catAx>
        <c:axId val="864774112"/>
        <c:scaling>
          <c:orientation val="minMax"/>
        </c:scaling>
        <c:delete val="0"/>
        <c:axPos val="b"/>
        <c:numFmt formatCode="General" sourceLinked="1"/>
        <c:majorTickMark val="in"/>
        <c:minorTickMark val="none"/>
        <c:tickLblPos val="nextTo"/>
        <c:spPr>
          <a:noFill/>
          <a:ln w="9525" cap="flat" cmpd="sng" algn="ctr">
            <a:solidFill>
              <a:sysClr val="windowText" lastClr="000000">
                <a:lumMod val="65000"/>
                <a:lumOff val="35000"/>
              </a:sys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91168"/>
        <c:crosses val="autoZero"/>
        <c:auto val="1"/>
        <c:lblAlgn val="ctr"/>
        <c:lblOffset val="100"/>
        <c:noMultiLvlLbl val="0"/>
      </c:catAx>
      <c:valAx>
        <c:axId val="864791168"/>
        <c:scaling>
          <c:orientation val="minMax"/>
          <c:min val="30"/>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r>
                  <a:rPr lang="en-AU"/>
                  <a:t>Per Capita Fertilizer (N) Consumption (kg/person/year)</a:t>
                </a:r>
              </a:p>
            </c:rich>
          </c:tx>
          <c:overlay val="0"/>
          <c:spPr>
            <a:noFill/>
            <a:ln>
              <a:noFill/>
            </a:ln>
            <a:effectLst/>
          </c:sp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74112"/>
        <c:crosses val="autoZero"/>
        <c:crossBetween val="midCat"/>
      </c:valAx>
      <c:spPr>
        <a:noFill/>
        <a:ln>
          <a:solidFill>
            <a:schemeClr val="tx1">
              <a:lumMod val="65000"/>
              <a:lumOff val="35000"/>
            </a:schemeClr>
          </a:solidFill>
        </a:ln>
        <a:effectLst/>
      </c:spPr>
    </c:plotArea>
    <c:legend>
      <c:legendPos val="b"/>
      <c:layout>
        <c:manualLayout>
          <c:xMode val="edge"/>
          <c:yMode val="edge"/>
          <c:x val="0.30291754155730533"/>
          <c:y val="0.94288271860754247"/>
          <c:w val="0.42159007901790052"/>
          <c:h val="5.4800009914815213E-2"/>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legend>
    <c:plotVisOnly val="1"/>
    <c:dispBlanksAs val="gap"/>
    <c:showDLblsOverMax val="0"/>
  </c:chart>
  <c:spPr>
    <a:ln>
      <a:noFill/>
    </a:ln>
  </c:spPr>
  <c:txPr>
    <a:bodyPr/>
    <a:lstStyle/>
    <a:p>
      <a:pPr>
        <a:defRPr sz="1000">
          <a:solidFill>
            <a:sysClr val="windowText" lastClr="000000"/>
          </a:solidFill>
          <a:latin typeface="+mj-lt"/>
        </a:defRPr>
      </a:pPr>
      <a:endParaRPr lang="en-U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2274122807017543"/>
          <c:y val="3.3577533577533576E-2"/>
          <c:w val="0.74940789473684211"/>
          <c:h val="0.74284499883201571"/>
        </c:manualLayout>
      </c:layout>
      <c:lineChart>
        <c:grouping val="standard"/>
        <c:varyColors val="0"/>
        <c:ser>
          <c:idx val="2"/>
          <c:order val="0"/>
          <c:tx>
            <c:strRef>
              <c:f>'[iSDG Simulation Results.xlsx]TP3_charts'!$A$28</c:f>
              <c:strCache>
                <c:ptCount val="1"/>
                <c:pt idx="0">
                  <c:v>BBS</c:v>
                </c:pt>
              </c:strCache>
            </c:strRef>
          </c:tx>
          <c:spPr>
            <a:ln w="19050">
              <a:solidFill>
                <a:srgbClr val="FFC000">
                  <a:lumMod val="50000"/>
                </a:srgbClr>
              </a:solidFill>
            </a:ln>
          </c:spPr>
          <c:marker>
            <c:symbol val="none"/>
          </c:marker>
          <c:cat>
            <c:numRef>
              <c:f>'[iSDG Simulation Results.xlsx]TP3_charts'!$AB$27:$BJ$27</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Results.xlsx]TP3_charts'!$AB$28:$BJ$28</c:f>
              <c:numCache>
                <c:formatCode>0.00E+00</c:formatCode>
                <c:ptCount val="35"/>
                <c:pt idx="0">
                  <c:v>80.880899999999997</c:v>
                </c:pt>
                <c:pt idx="1">
                  <c:v>83.558999999999997</c:v>
                </c:pt>
                <c:pt idx="2">
                  <c:v>82.949600000000004</c:v>
                </c:pt>
                <c:pt idx="3">
                  <c:v>83.182199999999995</c:v>
                </c:pt>
                <c:pt idx="4">
                  <c:v>83.052700000000002</c:v>
                </c:pt>
                <c:pt idx="5">
                  <c:v>83.084299999999999</c:v>
                </c:pt>
                <c:pt idx="6">
                  <c:v>83.006900000000002</c:v>
                </c:pt>
                <c:pt idx="7">
                  <c:v>82.763499999999993</c:v>
                </c:pt>
                <c:pt idx="8">
                  <c:v>82.520300000000006</c:v>
                </c:pt>
                <c:pt idx="9">
                  <c:v>82.293000000000006</c:v>
                </c:pt>
                <c:pt idx="10">
                  <c:v>82.083799999999997</c:v>
                </c:pt>
                <c:pt idx="11">
                  <c:v>81.887100000000004</c:v>
                </c:pt>
                <c:pt idx="12">
                  <c:v>81.675700000000006</c:v>
                </c:pt>
                <c:pt idx="13">
                  <c:v>81.450400000000002</c:v>
                </c:pt>
                <c:pt idx="14">
                  <c:v>81.207300000000004</c:v>
                </c:pt>
                <c:pt idx="15">
                  <c:v>81.168400000000005</c:v>
                </c:pt>
                <c:pt idx="16">
                  <c:v>81.092699999999994</c:v>
                </c:pt>
                <c:pt idx="17">
                  <c:v>80.9816</c:v>
                </c:pt>
                <c:pt idx="18">
                  <c:v>80.860500000000002</c:v>
                </c:pt>
                <c:pt idx="19">
                  <c:v>80.727800000000002</c:v>
                </c:pt>
                <c:pt idx="20">
                  <c:v>80.583600000000004</c:v>
                </c:pt>
                <c:pt idx="21">
                  <c:v>80.428399999999996</c:v>
                </c:pt>
                <c:pt idx="22">
                  <c:v>80.258600000000001</c:v>
                </c:pt>
                <c:pt idx="23">
                  <c:v>80.076700000000002</c:v>
                </c:pt>
                <c:pt idx="24">
                  <c:v>79.882499999999993</c:v>
                </c:pt>
                <c:pt idx="25">
                  <c:v>79.6982</c:v>
                </c:pt>
                <c:pt idx="26">
                  <c:v>79.523200000000003</c:v>
                </c:pt>
                <c:pt idx="27">
                  <c:v>79.326700000000002</c:v>
                </c:pt>
                <c:pt idx="28">
                  <c:v>79.111199999999997</c:v>
                </c:pt>
                <c:pt idx="29">
                  <c:v>78.871399999999994</c:v>
                </c:pt>
                <c:pt idx="30">
                  <c:v>78.610699999999994</c:v>
                </c:pt>
                <c:pt idx="31">
                  <c:v>78.334000000000003</c:v>
                </c:pt>
                <c:pt idx="32">
                  <c:v>78.046899999999994</c:v>
                </c:pt>
                <c:pt idx="33">
                  <c:v>77.752799999999993</c:v>
                </c:pt>
                <c:pt idx="34">
                  <c:v>77.455399999999997</c:v>
                </c:pt>
              </c:numCache>
            </c:numRef>
          </c:val>
          <c:smooth val="0"/>
          <c:extLst>
            <c:ext xmlns:c16="http://schemas.microsoft.com/office/drawing/2014/chart" uri="{C3380CC4-5D6E-409C-BE32-E72D297353CC}">
              <c16:uniqueId val="{00000000-8E53-49A2-A2DD-E20ACA0956EB}"/>
            </c:ext>
          </c:extLst>
        </c:ser>
        <c:ser>
          <c:idx val="3"/>
          <c:order val="1"/>
          <c:tx>
            <c:strRef>
              <c:f>'[iSDG Simulation Results.xlsx]TP3_charts'!$A$29</c:f>
              <c:strCache>
                <c:ptCount val="1"/>
                <c:pt idx="0">
                  <c:v>SWT</c:v>
                </c:pt>
              </c:strCache>
            </c:strRef>
          </c:tx>
          <c:spPr>
            <a:ln w="19050">
              <a:solidFill>
                <a:srgbClr val="19486A"/>
              </a:solidFill>
            </a:ln>
          </c:spPr>
          <c:marker>
            <c:symbol val="none"/>
          </c:marker>
          <c:cat>
            <c:numRef>
              <c:f>'[iSDG Simulation Results.xlsx]TP3_charts'!$AB$27:$BJ$27</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Results.xlsx]TP3_charts'!$AB$29:$BJ$29</c:f>
              <c:numCache>
                <c:formatCode>0.00E+00</c:formatCode>
                <c:ptCount val="35"/>
                <c:pt idx="0">
                  <c:v>80.895399999999995</c:v>
                </c:pt>
                <c:pt idx="1">
                  <c:v>83.593800000000002</c:v>
                </c:pt>
                <c:pt idx="2">
                  <c:v>83.003799999999998</c:v>
                </c:pt>
                <c:pt idx="3">
                  <c:v>83.255799999999994</c:v>
                </c:pt>
                <c:pt idx="4">
                  <c:v>83.139099999999999</c:v>
                </c:pt>
                <c:pt idx="5">
                  <c:v>80.805400000000006</c:v>
                </c:pt>
                <c:pt idx="6">
                  <c:v>78.265299999999996</c:v>
                </c:pt>
                <c:pt idx="7">
                  <c:v>75.612300000000005</c:v>
                </c:pt>
                <c:pt idx="8">
                  <c:v>73.052700000000002</c:v>
                </c:pt>
                <c:pt idx="9">
                  <c:v>70.536500000000004</c:v>
                </c:pt>
                <c:pt idx="10">
                  <c:v>68.015000000000001</c:v>
                </c:pt>
                <c:pt idx="11">
                  <c:v>65.468299999999999</c:v>
                </c:pt>
                <c:pt idx="12">
                  <c:v>62.878799999999998</c:v>
                </c:pt>
                <c:pt idx="13">
                  <c:v>60.238599999999998</c:v>
                </c:pt>
                <c:pt idx="14">
                  <c:v>57.543900000000001</c:v>
                </c:pt>
                <c:pt idx="15">
                  <c:v>56.206899999999997</c:v>
                </c:pt>
                <c:pt idx="16">
                  <c:v>54.729500000000002</c:v>
                </c:pt>
                <c:pt idx="17">
                  <c:v>53.190899999999999</c:v>
                </c:pt>
                <c:pt idx="18">
                  <c:v>51.656700000000001</c:v>
                </c:pt>
                <c:pt idx="19">
                  <c:v>50.125</c:v>
                </c:pt>
                <c:pt idx="20">
                  <c:v>48.584899999999998</c:v>
                </c:pt>
                <c:pt idx="21">
                  <c:v>47.028399999999998</c:v>
                </c:pt>
                <c:pt idx="22">
                  <c:v>45.451700000000002</c:v>
                </c:pt>
                <c:pt idx="23">
                  <c:v>43.855200000000004</c:v>
                </c:pt>
                <c:pt idx="24">
                  <c:v>42.238700000000001</c:v>
                </c:pt>
                <c:pt idx="25">
                  <c:v>40.610700000000001</c:v>
                </c:pt>
                <c:pt idx="26">
                  <c:v>38.965899999999998</c:v>
                </c:pt>
                <c:pt idx="27">
                  <c:v>37.295900000000003</c:v>
                </c:pt>
                <c:pt idx="28">
                  <c:v>35.600700000000003</c:v>
                </c:pt>
                <c:pt idx="29">
                  <c:v>33.882399999999997</c:v>
                </c:pt>
                <c:pt idx="30">
                  <c:v>32.145299999999999</c:v>
                </c:pt>
                <c:pt idx="31">
                  <c:v>30.3934</c:v>
                </c:pt>
                <c:pt idx="32">
                  <c:v>28.620799999999999</c:v>
                </c:pt>
                <c:pt idx="33">
                  <c:v>26.8064</c:v>
                </c:pt>
                <c:pt idx="34">
                  <c:v>24.9758</c:v>
                </c:pt>
              </c:numCache>
            </c:numRef>
          </c:val>
          <c:smooth val="0"/>
          <c:extLst>
            <c:ext xmlns:c16="http://schemas.microsoft.com/office/drawing/2014/chart" uri="{C3380CC4-5D6E-409C-BE32-E72D297353CC}">
              <c16:uniqueId val="{00000001-8E53-49A2-A2DD-E20ACA0956EB}"/>
            </c:ext>
          </c:extLst>
        </c:ser>
        <c:dLbls>
          <c:showLegendKey val="0"/>
          <c:showVal val="0"/>
          <c:showCatName val="0"/>
          <c:showSerName val="0"/>
          <c:showPercent val="0"/>
          <c:showBubbleSize val="0"/>
        </c:dLbls>
        <c:smooth val="0"/>
        <c:axId val="864774112"/>
        <c:axId val="864791168"/>
      </c:lineChart>
      <c:catAx>
        <c:axId val="864774112"/>
        <c:scaling>
          <c:orientation val="minMax"/>
        </c:scaling>
        <c:delete val="0"/>
        <c:axPos val="b"/>
        <c:numFmt formatCode="General" sourceLinked="1"/>
        <c:majorTickMark val="in"/>
        <c:minorTickMark val="none"/>
        <c:tickLblPos val="nextTo"/>
        <c:spPr>
          <a:noFill/>
          <a:ln w="9525" cap="flat" cmpd="sng" algn="ctr">
            <a:solidFill>
              <a:sysClr val="windowText" lastClr="000000">
                <a:lumMod val="65000"/>
                <a:lumOff val="35000"/>
              </a:sys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91168"/>
        <c:crosses val="autoZero"/>
        <c:auto val="1"/>
        <c:lblAlgn val="ctr"/>
        <c:lblOffset val="100"/>
        <c:noMultiLvlLbl val="0"/>
      </c:catAx>
      <c:valAx>
        <c:axId val="864791168"/>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r>
                  <a:rPr lang="en-AU"/>
                  <a:t>Agriculture</a:t>
                </a:r>
                <a:r>
                  <a:rPr lang="en-AU" baseline="0"/>
                  <a:t> Non-Energy GHG Emissions (Mt CO2-eq)</a:t>
                </a:r>
                <a:endParaRPr lang="en-AU"/>
              </a:p>
            </c:rich>
          </c:tx>
          <c:overlay val="0"/>
          <c:spPr>
            <a:noFill/>
            <a:ln>
              <a:noFill/>
            </a:ln>
            <a:effectLst/>
          </c:sp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74112"/>
        <c:crosses val="autoZero"/>
        <c:crossBetween val="midCat"/>
      </c:valAx>
      <c:spPr>
        <a:noFill/>
        <a:ln>
          <a:solidFill>
            <a:schemeClr val="tx1">
              <a:lumMod val="65000"/>
              <a:lumOff val="35000"/>
            </a:schemeClr>
          </a:solidFill>
        </a:ln>
        <a:effectLst/>
      </c:spPr>
    </c:plotArea>
    <c:legend>
      <c:legendPos val="b"/>
      <c:layout>
        <c:manualLayout>
          <c:xMode val="edge"/>
          <c:yMode val="edge"/>
          <c:x val="0.30291754155730533"/>
          <c:y val="0.94288271860754247"/>
          <c:w val="0.42159007901790052"/>
          <c:h val="5.4800009914815213E-2"/>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legend>
    <c:plotVisOnly val="1"/>
    <c:dispBlanksAs val="gap"/>
    <c:showDLblsOverMax val="0"/>
  </c:chart>
  <c:spPr>
    <a:ln>
      <a:noFill/>
    </a:ln>
  </c:spPr>
  <c:txPr>
    <a:bodyPr/>
    <a:lstStyle/>
    <a:p>
      <a:pPr>
        <a:defRPr sz="1000">
          <a:solidFill>
            <a:sysClr val="windowText" lastClr="000000"/>
          </a:solidFill>
          <a:latin typeface="+mj-lt"/>
        </a:defRPr>
      </a:pPr>
      <a:endParaRPr lang="en-U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3501006548938663"/>
          <c:y val="3.3577533577533576E-2"/>
          <c:w val="0.73725068347039135"/>
          <c:h val="0.74351434657076299"/>
        </c:manualLayout>
      </c:layout>
      <c:lineChart>
        <c:grouping val="standard"/>
        <c:varyColors val="0"/>
        <c:ser>
          <c:idx val="2"/>
          <c:order val="0"/>
          <c:tx>
            <c:strRef>
              <c:f>'[iSDG Simulation Results.xlsx]TP3_charts'!$A$37</c:f>
              <c:strCache>
                <c:ptCount val="1"/>
                <c:pt idx="0">
                  <c:v>BBS</c:v>
                </c:pt>
              </c:strCache>
            </c:strRef>
          </c:tx>
          <c:spPr>
            <a:ln w="19050">
              <a:solidFill>
                <a:srgbClr val="FFC000">
                  <a:lumMod val="50000"/>
                </a:srgbClr>
              </a:solidFill>
            </a:ln>
          </c:spPr>
          <c:marker>
            <c:symbol val="none"/>
          </c:marker>
          <c:cat>
            <c:numRef>
              <c:f>'[iSDG Simulation Results.xlsx]TP3_charts'!$AB$36:$BJ$36</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Results.xlsx]TP3_charts'!$AB$37:$BJ$37</c:f>
              <c:numCache>
                <c:formatCode>General</c:formatCode>
                <c:ptCount val="35"/>
                <c:pt idx="0">
                  <c:v>351.17099999999999</c:v>
                </c:pt>
                <c:pt idx="1">
                  <c:v>360.60899999999998</c:v>
                </c:pt>
                <c:pt idx="2">
                  <c:v>361.80900000000003</c:v>
                </c:pt>
                <c:pt idx="3">
                  <c:v>363.69</c:v>
                </c:pt>
                <c:pt idx="4">
                  <c:v>363.65600000000001</c:v>
                </c:pt>
                <c:pt idx="5">
                  <c:v>365.39800000000002</c:v>
                </c:pt>
                <c:pt idx="6">
                  <c:v>369.20600000000002</c:v>
                </c:pt>
                <c:pt idx="7">
                  <c:v>372.69200000000001</c:v>
                </c:pt>
                <c:pt idx="8">
                  <c:v>376.11799999999999</c:v>
                </c:pt>
                <c:pt idx="9">
                  <c:v>379.49299999999999</c:v>
                </c:pt>
                <c:pt idx="10">
                  <c:v>382.83800000000002</c:v>
                </c:pt>
                <c:pt idx="11">
                  <c:v>386.17099999999999</c:v>
                </c:pt>
                <c:pt idx="12">
                  <c:v>389.06299999999999</c:v>
                </c:pt>
                <c:pt idx="13">
                  <c:v>391.73700000000002</c:v>
                </c:pt>
                <c:pt idx="14">
                  <c:v>394.245</c:v>
                </c:pt>
                <c:pt idx="15">
                  <c:v>396.54899999999998</c:v>
                </c:pt>
                <c:pt idx="16">
                  <c:v>398.52800000000002</c:v>
                </c:pt>
                <c:pt idx="17">
                  <c:v>400.21699999999998</c:v>
                </c:pt>
                <c:pt idx="18">
                  <c:v>401.69200000000001</c:v>
                </c:pt>
                <c:pt idx="19">
                  <c:v>402.94600000000003</c:v>
                </c:pt>
                <c:pt idx="20">
                  <c:v>403.97800000000001</c:v>
                </c:pt>
                <c:pt idx="21">
                  <c:v>404.786</c:v>
                </c:pt>
                <c:pt idx="22">
                  <c:v>405.363</c:v>
                </c:pt>
                <c:pt idx="23">
                  <c:v>405.72500000000002</c:v>
                </c:pt>
                <c:pt idx="24">
                  <c:v>405.88200000000001</c:v>
                </c:pt>
                <c:pt idx="25">
                  <c:v>405.93200000000002</c:v>
                </c:pt>
                <c:pt idx="26">
                  <c:v>405.88200000000001</c:v>
                </c:pt>
                <c:pt idx="27">
                  <c:v>405.62400000000002</c:v>
                </c:pt>
                <c:pt idx="28">
                  <c:v>405.16199999999998</c:v>
                </c:pt>
                <c:pt idx="29">
                  <c:v>404.49599999999998</c:v>
                </c:pt>
                <c:pt idx="30">
                  <c:v>403.65100000000001</c:v>
                </c:pt>
                <c:pt idx="31">
                  <c:v>402.654</c:v>
                </c:pt>
                <c:pt idx="32">
                  <c:v>401.53300000000002</c:v>
                </c:pt>
                <c:pt idx="33">
                  <c:v>400.30799999999999</c:v>
                </c:pt>
                <c:pt idx="34">
                  <c:v>398.99200000000002</c:v>
                </c:pt>
              </c:numCache>
            </c:numRef>
          </c:val>
          <c:smooth val="0"/>
          <c:extLst>
            <c:ext xmlns:c16="http://schemas.microsoft.com/office/drawing/2014/chart" uri="{C3380CC4-5D6E-409C-BE32-E72D297353CC}">
              <c16:uniqueId val="{00000000-46E0-4CA8-B7EA-CDFA213ABA87}"/>
            </c:ext>
          </c:extLst>
        </c:ser>
        <c:ser>
          <c:idx val="3"/>
          <c:order val="1"/>
          <c:tx>
            <c:strRef>
              <c:f>'[iSDG Simulation Results.xlsx]TP3_charts'!$A$38</c:f>
              <c:strCache>
                <c:ptCount val="1"/>
                <c:pt idx="0">
                  <c:v>SWT</c:v>
                </c:pt>
              </c:strCache>
            </c:strRef>
          </c:tx>
          <c:spPr>
            <a:ln w="19050">
              <a:solidFill>
                <a:srgbClr val="19486A"/>
              </a:solidFill>
            </a:ln>
          </c:spPr>
          <c:marker>
            <c:symbol val="none"/>
          </c:marker>
          <c:cat>
            <c:numRef>
              <c:f>'[iSDG Simulation Results.xlsx]TP3_charts'!$AB$36:$BJ$36</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Results.xlsx]TP3_charts'!$AB$38:$BJ$38</c:f>
              <c:numCache>
                <c:formatCode>General</c:formatCode>
                <c:ptCount val="35"/>
                <c:pt idx="0">
                  <c:v>351.20100000000002</c:v>
                </c:pt>
                <c:pt idx="1">
                  <c:v>360.67599999999999</c:v>
                </c:pt>
                <c:pt idx="2">
                  <c:v>361.916</c:v>
                </c:pt>
                <c:pt idx="3">
                  <c:v>363.83699999999999</c:v>
                </c:pt>
                <c:pt idx="4">
                  <c:v>363.82900000000001</c:v>
                </c:pt>
                <c:pt idx="5">
                  <c:v>365.99900000000002</c:v>
                </c:pt>
                <c:pt idx="6">
                  <c:v>370.13799999999998</c:v>
                </c:pt>
                <c:pt idx="7">
                  <c:v>374.63799999999998</c:v>
                </c:pt>
                <c:pt idx="8">
                  <c:v>380.28300000000002</c:v>
                </c:pt>
                <c:pt idx="9">
                  <c:v>386.113</c:v>
                </c:pt>
                <c:pt idx="10">
                  <c:v>391.48899999999998</c:v>
                </c:pt>
                <c:pt idx="11">
                  <c:v>396.392</c:v>
                </c:pt>
                <c:pt idx="12">
                  <c:v>400.83100000000002</c:v>
                </c:pt>
                <c:pt idx="13">
                  <c:v>404.83600000000001</c:v>
                </c:pt>
                <c:pt idx="14">
                  <c:v>408.45100000000002</c:v>
                </c:pt>
                <c:pt idx="15">
                  <c:v>411.34500000000003</c:v>
                </c:pt>
                <c:pt idx="16">
                  <c:v>413.685</c:v>
                </c:pt>
                <c:pt idx="17">
                  <c:v>416.03</c:v>
                </c:pt>
                <c:pt idx="18">
                  <c:v>418.399</c:v>
                </c:pt>
                <c:pt idx="19">
                  <c:v>420.76499999999999</c:v>
                </c:pt>
                <c:pt idx="20">
                  <c:v>423.07900000000001</c:v>
                </c:pt>
                <c:pt idx="21">
                  <c:v>425.3</c:v>
                </c:pt>
                <c:pt idx="22">
                  <c:v>427.40300000000002</c:v>
                </c:pt>
                <c:pt idx="23">
                  <c:v>429.387</c:v>
                </c:pt>
                <c:pt idx="24">
                  <c:v>431.25700000000001</c:v>
                </c:pt>
                <c:pt idx="25">
                  <c:v>433.09699999999998</c:v>
                </c:pt>
                <c:pt idx="26">
                  <c:v>434.892</c:v>
                </c:pt>
                <c:pt idx="27">
                  <c:v>436.55599999999998</c:v>
                </c:pt>
                <c:pt idx="28">
                  <c:v>438.07900000000001</c:v>
                </c:pt>
                <c:pt idx="29">
                  <c:v>439.47899999999998</c:v>
                </c:pt>
                <c:pt idx="30">
                  <c:v>440.798</c:v>
                </c:pt>
                <c:pt idx="31">
                  <c:v>442.07799999999997</c:v>
                </c:pt>
                <c:pt idx="32">
                  <c:v>443.15499999999997</c:v>
                </c:pt>
                <c:pt idx="33">
                  <c:v>443.31299999999999</c:v>
                </c:pt>
                <c:pt idx="34">
                  <c:v>443.37400000000002</c:v>
                </c:pt>
              </c:numCache>
            </c:numRef>
          </c:val>
          <c:smooth val="0"/>
          <c:extLst>
            <c:ext xmlns:c16="http://schemas.microsoft.com/office/drawing/2014/chart" uri="{C3380CC4-5D6E-409C-BE32-E72D297353CC}">
              <c16:uniqueId val="{00000001-46E0-4CA8-B7EA-CDFA213ABA87}"/>
            </c:ext>
          </c:extLst>
        </c:ser>
        <c:dLbls>
          <c:showLegendKey val="0"/>
          <c:showVal val="0"/>
          <c:showCatName val="0"/>
          <c:showSerName val="0"/>
          <c:showPercent val="0"/>
          <c:showBubbleSize val="0"/>
        </c:dLbls>
        <c:smooth val="0"/>
        <c:axId val="864774112"/>
        <c:axId val="864791168"/>
      </c:lineChart>
      <c:catAx>
        <c:axId val="864774112"/>
        <c:scaling>
          <c:orientation val="minMax"/>
        </c:scaling>
        <c:delete val="0"/>
        <c:axPos val="b"/>
        <c:numFmt formatCode="General" sourceLinked="1"/>
        <c:majorTickMark val="in"/>
        <c:minorTickMark val="none"/>
        <c:tickLblPos val="nextTo"/>
        <c:spPr>
          <a:noFill/>
          <a:ln w="9525" cap="flat" cmpd="sng" algn="ctr">
            <a:solidFill>
              <a:sysClr val="windowText" lastClr="000000">
                <a:lumMod val="65000"/>
                <a:lumOff val="35000"/>
              </a:sys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91168"/>
        <c:crosses val="autoZero"/>
        <c:auto val="1"/>
        <c:lblAlgn val="ctr"/>
        <c:lblOffset val="100"/>
        <c:noMultiLvlLbl val="0"/>
      </c:catAx>
      <c:valAx>
        <c:axId val="864791168"/>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r>
                  <a:rPr lang="en-AU"/>
                  <a:t>Total Ag Production per labour unit</a:t>
                </a:r>
                <a:r>
                  <a:rPr lang="en-AU" baseline="0"/>
                  <a:t> </a:t>
                </a:r>
                <a:r>
                  <a:rPr lang="en-AU"/>
                  <a:t> (tons/person/year)</a:t>
                </a:r>
              </a:p>
            </c:rich>
          </c:tx>
          <c:overlay val="0"/>
          <c:spPr>
            <a:noFill/>
            <a:ln>
              <a:noFill/>
            </a:ln>
            <a:effectLst/>
          </c:sp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74112"/>
        <c:crosses val="autoZero"/>
        <c:crossBetween val="midCat"/>
      </c:valAx>
      <c:spPr>
        <a:noFill/>
        <a:ln>
          <a:solidFill>
            <a:schemeClr val="tx1">
              <a:lumMod val="65000"/>
              <a:lumOff val="35000"/>
            </a:schemeClr>
          </a:solidFill>
        </a:ln>
        <a:effectLst/>
      </c:spPr>
    </c:plotArea>
    <c:legend>
      <c:legendPos val="b"/>
      <c:layout>
        <c:manualLayout>
          <c:xMode val="edge"/>
          <c:yMode val="edge"/>
          <c:x val="0.30291754155730533"/>
          <c:y val="0.94288271860754247"/>
          <c:w val="0.42159007901790052"/>
          <c:h val="5.4800009914815213E-2"/>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legend>
    <c:plotVisOnly val="1"/>
    <c:dispBlanksAs val="gap"/>
    <c:showDLblsOverMax val="0"/>
  </c:chart>
  <c:spPr>
    <a:ln>
      <a:noFill/>
    </a:ln>
  </c:spPr>
  <c:txPr>
    <a:bodyPr/>
    <a:lstStyle/>
    <a:p>
      <a:pPr>
        <a:defRPr sz="1000">
          <a:solidFill>
            <a:sysClr val="windowText" lastClr="000000"/>
          </a:solidFill>
          <a:latin typeface="+mj-lt"/>
        </a:defRPr>
      </a:pPr>
      <a:endParaRPr lang="en-US"/>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2707554253140011"/>
          <c:y val="3.3577533577533576E-2"/>
          <c:w val="0.74515093198037619"/>
          <c:h val="0.7651507468148222"/>
        </c:manualLayout>
      </c:layout>
      <c:lineChart>
        <c:grouping val="standard"/>
        <c:varyColors val="0"/>
        <c:ser>
          <c:idx val="2"/>
          <c:order val="0"/>
          <c:tx>
            <c:strRef>
              <c:f>'[iSDG Simulation Results.xlsx]TP4_charts'!$A$3</c:f>
              <c:strCache>
                <c:ptCount val="1"/>
                <c:pt idx="0">
                  <c:v>BBS</c:v>
                </c:pt>
              </c:strCache>
            </c:strRef>
          </c:tx>
          <c:spPr>
            <a:ln w="19050">
              <a:solidFill>
                <a:srgbClr val="FFC000">
                  <a:lumMod val="50000"/>
                </a:srgbClr>
              </a:solidFill>
            </a:ln>
          </c:spPr>
          <c:marker>
            <c:symbol val="none"/>
          </c:marker>
          <c:cat>
            <c:numRef>
              <c:f>'[iSDG Simulation Results.xlsx]TP4_charts'!$AB$2:$BJ$2</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Results.xlsx]TP4_charts'!$AB$3:$BJ$3</c:f>
              <c:numCache>
                <c:formatCode>General</c:formatCode>
                <c:ptCount val="35"/>
                <c:pt idx="0">
                  <c:v>0.14300299999999999</c:v>
                </c:pt>
                <c:pt idx="1">
                  <c:v>0.15006</c:v>
                </c:pt>
                <c:pt idx="2">
                  <c:v>0.165543</c:v>
                </c:pt>
                <c:pt idx="3">
                  <c:v>0.188218</c:v>
                </c:pt>
                <c:pt idx="4">
                  <c:v>0.22958300000000001</c:v>
                </c:pt>
                <c:pt idx="5">
                  <c:v>0.26089699999999999</c:v>
                </c:pt>
                <c:pt idx="6">
                  <c:v>0.28039900000000001</c:v>
                </c:pt>
                <c:pt idx="7">
                  <c:v>0.29900399999999999</c:v>
                </c:pt>
                <c:pt idx="8">
                  <c:v>0.321882</c:v>
                </c:pt>
                <c:pt idx="9">
                  <c:v>0.34352700000000003</c:v>
                </c:pt>
                <c:pt idx="10">
                  <c:v>0.36205999999999999</c:v>
                </c:pt>
                <c:pt idx="11">
                  <c:v>0.38082100000000002</c:v>
                </c:pt>
                <c:pt idx="12">
                  <c:v>0.40321499999999999</c:v>
                </c:pt>
                <c:pt idx="13">
                  <c:v>0.42704700000000001</c:v>
                </c:pt>
                <c:pt idx="14">
                  <c:v>0.44839699999999999</c:v>
                </c:pt>
                <c:pt idx="15">
                  <c:v>0.46478000000000003</c:v>
                </c:pt>
                <c:pt idx="16">
                  <c:v>0.479296</c:v>
                </c:pt>
                <c:pt idx="17">
                  <c:v>0.49263800000000002</c:v>
                </c:pt>
                <c:pt idx="18">
                  <c:v>0.50552299999999994</c:v>
                </c:pt>
                <c:pt idx="19">
                  <c:v>0.51838499999999998</c:v>
                </c:pt>
                <c:pt idx="20">
                  <c:v>0.53102800000000006</c:v>
                </c:pt>
                <c:pt idx="21">
                  <c:v>0.54305199999999998</c:v>
                </c:pt>
                <c:pt idx="22">
                  <c:v>0.55429300000000004</c:v>
                </c:pt>
                <c:pt idx="23">
                  <c:v>0.56488499999999997</c:v>
                </c:pt>
                <c:pt idx="24">
                  <c:v>0.57501999999999998</c:v>
                </c:pt>
                <c:pt idx="25">
                  <c:v>0.58269099999999996</c:v>
                </c:pt>
                <c:pt idx="26">
                  <c:v>0.59093200000000001</c:v>
                </c:pt>
                <c:pt idx="27">
                  <c:v>0.60096499999999997</c:v>
                </c:pt>
                <c:pt idx="28">
                  <c:v>0.61143099999999995</c:v>
                </c:pt>
                <c:pt idx="29">
                  <c:v>0.62064299999999994</c:v>
                </c:pt>
                <c:pt idx="30">
                  <c:v>0.62853899999999996</c:v>
                </c:pt>
                <c:pt idx="31">
                  <c:v>0.63607000000000002</c:v>
                </c:pt>
                <c:pt idx="32">
                  <c:v>0.643841</c:v>
                </c:pt>
                <c:pt idx="33">
                  <c:v>0.65168499999999996</c:v>
                </c:pt>
                <c:pt idx="34">
                  <c:v>0.659188</c:v>
                </c:pt>
              </c:numCache>
            </c:numRef>
          </c:val>
          <c:smooth val="0"/>
          <c:extLst>
            <c:ext xmlns:c16="http://schemas.microsoft.com/office/drawing/2014/chart" uri="{C3380CC4-5D6E-409C-BE32-E72D297353CC}">
              <c16:uniqueId val="{00000000-7812-4AEE-81F0-5AE0EA038AF3}"/>
            </c:ext>
          </c:extLst>
        </c:ser>
        <c:ser>
          <c:idx val="3"/>
          <c:order val="1"/>
          <c:tx>
            <c:strRef>
              <c:f>'[iSDG Simulation Results.xlsx]TP4_charts'!$A$4</c:f>
              <c:strCache>
                <c:ptCount val="1"/>
                <c:pt idx="0">
                  <c:v>SWT</c:v>
                </c:pt>
              </c:strCache>
            </c:strRef>
          </c:tx>
          <c:spPr>
            <a:ln w="19050">
              <a:solidFill>
                <a:srgbClr val="19486A"/>
              </a:solidFill>
            </a:ln>
          </c:spPr>
          <c:marker>
            <c:symbol val="none"/>
          </c:marker>
          <c:cat>
            <c:numRef>
              <c:f>'[iSDG Simulation Results.xlsx]TP4_charts'!$AB$2:$BJ$2</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Results.xlsx]TP4_charts'!$AB$4:$BJ$4</c:f>
              <c:numCache>
                <c:formatCode>General</c:formatCode>
                <c:ptCount val="35"/>
                <c:pt idx="0">
                  <c:v>0.14300299999999999</c:v>
                </c:pt>
                <c:pt idx="1">
                  <c:v>0.15006</c:v>
                </c:pt>
                <c:pt idx="2">
                  <c:v>0.165545</c:v>
                </c:pt>
                <c:pt idx="3">
                  <c:v>0.188223</c:v>
                </c:pt>
                <c:pt idx="4">
                  <c:v>0.25240499999999999</c:v>
                </c:pt>
                <c:pt idx="5">
                  <c:v>0.30516100000000002</c:v>
                </c:pt>
                <c:pt idx="6">
                  <c:v>0.373081</c:v>
                </c:pt>
                <c:pt idx="7">
                  <c:v>0.45326100000000002</c:v>
                </c:pt>
                <c:pt idx="8">
                  <c:v>0.60866100000000001</c:v>
                </c:pt>
                <c:pt idx="9">
                  <c:v>0.65060099999999998</c:v>
                </c:pt>
                <c:pt idx="10">
                  <c:v>0.68531900000000001</c:v>
                </c:pt>
                <c:pt idx="11">
                  <c:v>0.71490799999999999</c:v>
                </c:pt>
                <c:pt idx="12">
                  <c:v>0.74015799999999998</c:v>
                </c:pt>
                <c:pt idx="13">
                  <c:v>0.76169399999999998</c:v>
                </c:pt>
                <c:pt idx="14">
                  <c:v>0.78015100000000004</c:v>
                </c:pt>
                <c:pt idx="15">
                  <c:v>0.81561600000000001</c:v>
                </c:pt>
                <c:pt idx="16">
                  <c:v>0.84876200000000002</c:v>
                </c:pt>
                <c:pt idx="17">
                  <c:v>0.87519199999999997</c:v>
                </c:pt>
                <c:pt idx="18">
                  <c:v>0.89727599999999996</c:v>
                </c:pt>
                <c:pt idx="19">
                  <c:v>0.91562699999999997</c:v>
                </c:pt>
                <c:pt idx="20">
                  <c:v>0.93079900000000004</c:v>
                </c:pt>
                <c:pt idx="21">
                  <c:v>0.94328400000000001</c:v>
                </c:pt>
                <c:pt idx="22">
                  <c:v>0.95351799999999998</c:v>
                </c:pt>
                <c:pt idx="23">
                  <c:v>0.96187999999999996</c:v>
                </c:pt>
                <c:pt idx="24">
                  <c:v>0.96869700000000003</c:v>
                </c:pt>
                <c:pt idx="25">
                  <c:v>0.97401800000000005</c:v>
                </c:pt>
                <c:pt idx="26">
                  <c:v>0.97838099999999995</c:v>
                </c:pt>
                <c:pt idx="27">
                  <c:v>0.98195399999999999</c:v>
                </c:pt>
                <c:pt idx="28">
                  <c:v>0.98487899999999995</c:v>
                </c:pt>
                <c:pt idx="29">
                  <c:v>0.98727299999999996</c:v>
                </c:pt>
                <c:pt idx="30">
                  <c:v>0.98923300000000003</c:v>
                </c:pt>
                <c:pt idx="31">
                  <c:v>0.990838</c:v>
                </c:pt>
                <c:pt idx="32">
                  <c:v>0.99215399999999998</c:v>
                </c:pt>
                <c:pt idx="33">
                  <c:v>0.99323700000000004</c:v>
                </c:pt>
                <c:pt idx="34">
                  <c:v>0.99412900000000004</c:v>
                </c:pt>
              </c:numCache>
            </c:numRef>
          </c:val>
          <c:smooth val="0"/>
          <c:extLst>
            <c:ext xmlns:c16="http://schemas.microsoft.com/office/drawing/2014/chart" uri="{C3380CC4-5D6E-409C-BE32-E72D297353CC}">
              <c16:uniqueId val="{00000001-7812-4AEE-81F0-5AE0EA038AF3}"/>
            </c:ext>
          </c:extLst>
        </c:ser>
        <c:dLbls>
          <c:showLegendKey val="0"/>
          <c:showVal val="0"/>
          <c:showCatName val="0"/>
          <c:showSerName val="0"/>
          <c:showPercent val="0"/>
          <c:showBubbleSize val="0"/>
        </c:dLbls>
        <c:smooth val="0"/>
        <c:axId val="864774112"/>
        <c:axId val="864791168"/>
      </c:lineChart>
      <c:catAx>
        <c:axId val="864774112"/>
        <c:scaling>
          <c:orientation val="minMax"/>
        </c:scaling>
        <c:delete val="0"/>
        <c:axPos val="b"/>
        <c:numFmt formatCode="General" sourceLinked="1"/>
        <c:majorTickMark val="in"/>
        <c:minorTickMark val="none"/>
        <c:tickLblPos val="nextTo"/>
        <c:spPr>
          <a:noFill/>
          <a:ln w="9525" cap="flat" cmpd="sng" algn="ctr">
            <a:solidFill>
              <a:sysClr val="windowText" lastClr="000000">
                <a:lumMod val="65000"/>
                <a:lumOff val="35000"/>
              </a:sys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91168"/>
        <c:crosses val="autoZero"/>
        <c:auto val="1"/>
        <c:lblAlgn val="ctr"/>
        <c:lblOffset val="100"/>
        <c:noMultiLvlLbl val="0"/>
      </c:catAx>
      <c:valAx>
        <c:axId val="864791168"/>
        <c:scaling>
          <c:orientation val="minMax"/>
          <c:max val="1"/>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r>
                  <a:rPr lang="en-AU"/>
                  <a:t>Share of Renewables in Electricity</a:t>
                </a:r>
                <a:r>
                  <a:rPr lang="en-AU" baseline="0"/>
                  <a:t> (%)</a:t>
                </a:r>
                <a:endParaRPr lang="en-AU"/>
              </a:p>
            </c:rich>
          </c:tx>
          <c:overlay val="0"/>
          <c:spPr>
            <a:noFill/>
            <a:ln>
              <a:noFill/>
            </a:ln>
            <a:effectLst/>
          </c:sp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74112"/>
        <c:crosses val="autoZero"/>
        <c:crossBetween val="midCat"/>
      </c:valAx>
      <c:spPr>
        <a:noFill/>
        <a:ln>
          <a:solidFill>
            <a:schemeClr val="tx1">
              <a:lumMod val="65000"/>
              <a:lumOff val="35000"/>
            </a:schemeClr>
          </a:solidFill>
        </a:ln>
        <a:effectLst/>
      </c:spPr>
    </c:plotArea>
    <c:legend>
      <c:legendPos val="b"/>
      <c:layout>
        <c:manualLayout>
          <c:xMode val="edge"/>
          <c:yMode val="edge"/>
          <c:x val="0.30291754155730533"/>
          <c:y val="0.94288271860754247"/>
          <c:w val="0.42159007901790052"/>
          <c:h val="5.4800009914815213E-2"/>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legend>
    <c:plotVisOnly val="1"/>
    <c:dispBlanksAs val="gap"/>
    <c:showDLblsOverMax val="0"/>
  </c:chart>
  <c:spPr>
    <a:ln>
      <a:noFill/>
    </a:ln>
  </c:spPr>
  <c:txPr>
    <a:bodyPr/>
    <a:lstStyle/>
    <a:p>
      <a:pPr>
        <a:defRPr sz="1000">
          <a:solidFill>
            <a:sysClr val="windowText" lastClr="000000"/>
          </a:solidFill>
          <a:latin typeface="+mj-lt"/>
        </a:defRPr>
      </a:pPr>
      <a:endParaRPr lang="en-US"/>
    </a:p>
  </c:txPr>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8972015074973939"/>
          <c:y val="3.3577533577533576E-2"/>
          <c:w val="0.78250632376203699"/>
          <c:h val="0.75917470926496156"/>
        </c:manualLayout>
      </c:layout>
      <c:lineChart>
        <c:grouping val="standard"/>
        <c:varyColors val="0"/>
        <c:ser>
          <c:idx val="2"/>
          <c:order val="0"/>
          <c:tx>
            <c:strRef>
              <c:f>'[iSDG Simulation Results.xlsx]TP4_charts'!$A$9</c:f>
              <c:strCache>
                <c:ptCount val="1"/>
                <c:pt idx="0">
                  <c:v>BBS</c:v>
                </c:pt>
              </c:strCache>
            </c:strRef>
          </c:tx>
          <c:spPr>
            <a:ln w="19050">
              <a:solidFill>
                <a:srgbClr val="FFC000">
                  <a:lumMod val="50000"/>
                </a:srgbClr>
              </a:solidFill>
            </a:ln>
          </c:spPr>
          <c:marker>
            <c:symbol val="none"/>
          </c:marker>
          <c:cat>
            <c:numRef>
              <c:f>'[iSDG Simulation Results.xlsx]TP4_charts'!$AB$8:$BJ$8</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Results.xlsx]TP4_charts'!$AB$9:$BJ$9</c:f>
              <c:numCache>
                <c:formatCode>General</c:formatCode>
                <c:ptCount val="35"/>
                <c:pt idx="0">
                  <c:v>9.9169800000000002E-2</c:v>
                </c:pt>
                <c:pt idx="1">
                  <c:v>0.100609</c:v>
                </c:pt>
                <c:pt idx="2">
                  <c:v>0.103468</c:v>
                </c:pt>
                <c:pt idx="3">
                  <c:v>0.10809299999999999</c:v>
                </c:pt>
                <c:pt idx="4">
                  <c:v>0.120004</c:v>
                </c:pt>
                <c:pt idx="5">
                  <c:v>0.123213</c:v>
                </c:pt>
                <c:pt idx="6">
                  <c:v>0.12828899999999999</c:v>
                </c:pt>
                <c:pt idx="7">
                  <c:v>0.132748</c:v>
                </c:pt>
                <c:pt idx="8">
                  <c:v>0.13822899999999999</c:v>
                </c:pt>
                <c:pt idx="9">
                  <c:v>0.14346800000000001</c:v>
                </c:pt>
                <c:pt idx="10">
                  <c:v>0.14855299999999999</c:v>
                </c:pt>
                <c:pt idx="11">
                  <c:v>0.15378700000000001</c:v>
                </c:pt>
                <c:pt idx="12">
                  <c:v>0.15997500000000001</c:v>
                </c:pt>
                <c:pt idx="13">
                  <c:v>0.16663800000000001</c:v>
                </c:pt>
                <c:pt idx="14">
                  <c:v>0.17280100000000001</c:v>
                </c:pt>
                <c:pt idx="15">
                  <c:v>0.177869</c:v>
                </c:pt>
                <c:pt idx="16">
                  <c:v>0.182675</c:v>
                </c:pt>
                <c:pt idx="17">
                  <c:v>0.187362</c:v>
                </c:pt>
                <c:pt idx="18">
                  <c:v>0.192132</c:v>
                </c:pt>
                <c:pt idx="19">
                  <c:v>0.19709099999999999</c:v>
                </c:pt>
                <c:pt idx="20">
                  <c:v>0.20218800000000001</c:v>
                </c:pt>
                <c:pt idx="21">
                  <c:v>0.207313</c:v>
                </c:pt>
                <c:pt idx="22">
                  <c:v>0.21241399999999999</c:v>
                </c:pt>
                <c:pt idx="23">
                  <c:v>0.21752199999999999</c:v>
                </c:pt>
                <c:pt idx="24">
                  <c:v>0.222687</c:v>
                </c:pt>
                <c:pt idx="25">
                  <c:v>0.22741600000000001</c:v>
                </c:pt>
                <c:pt idx="26">
                  <c:v>0.23267399999999999</c:v>
                </c:pt>
                <c:pt idx="27">
                  <c:v>0.23880199999999999</c:v>
                </c:pt>
                <c:pt idx="28">
                  <c:v>0.245422</c:v>
                </c:pt>
                <c:pt idx="29">
                  <c:v>0.252027</c:v>
                </c:pt>
                <c:pt idx="30">
                  <c:v>0.25859399999999999</c:v>
                </c:pt>
                <c:pt idx="31">
                  <c:v>0.26542300000000002</c:v>
                </c:pt>
                <c:pt idx="32">
                  <c:v>0.272725</c:v>
                </c:pt>
                <c:pt idx="33">
                  <c:v>0.28046599999999999</c:v>
                </c:pt>
                <c:pt idx="34">
                  <c:v>0.28852800000000001</c:v>
                </c:pt>
              </c:numCache>
            </c:numRef>
          </c:val>
          <c:smooth val="0"/>
          <c:extLst>
            <c:ext xmlns:c16="http://schemas.microsoft.com/office/drawing/2014/chart" uri="{C3380CC4-5D6E-409C-BE32-E72D297353CC}">
              <c16:uniqueId val="{00000000-E8DE-40AB-86DD-64F1D90A59D8}"/>
            </c:ext>
          </c:extLst>
        </c:ser>
        <c:ser>
          <c:idx val="3"/>
          <c:order val="1"/>
          <c:tx>
            <c:strRef>
              <c:f>'[iSDG Simulation Results.xlsx]TP4_charts'!$A$10</c:f>
              <c:strCache>
                <c:ptCount val="1"/>
                <c:pt idx="0">
                  <c:v>SWT</c:v>
                </c:pt>
              </c:strCache>
            </c:strRef>
          </c:tx>
          <c:spPr>
            <a:ln w="19050">
              <a:solidFill>
                <a:srgbClr val="19486A"/>
              </a:solidFill>
            </a:ln>
          </c:spPr>
          <c:marker>
            <c:symbol val="none"/>
          </c:marker>
          <c:cat>
            <c:numRef>
              <c:f>'[iSDG Simulation Results.xlsx]TP4_charts'!$AB$8:$BJ$8</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'[iSDG Simulation Results.xlsx]TP4_charts'!$AB$10:$BJ$10</c:f>
              <c:numCache>
                <c:formatCode>General</c:formatCode>
                <c:ptCount val="35"/>
                <c:pt idx="0">
                  <c:v>9.9175200000000005E-2</c:v>
                </c:pt>
                <c:pt idx="1">
                  <c:v>0.100618</c:v>
                </c:pt>
                <c:pt idx="2">
                  <c:v>0.103481</c:v>
                </c:pt>
                <c:pt idx="3">
                  <c:v>0.108109</c:v>
                </c:pt>
                <c:pt idx="4">
                  <c:v>0.12545500000000001</c:v>
                </c:pt>
                <c:pt idx="5">
                  <c:v>0.13459299999999999</c:v>
                </c:pt>
                <c:pt idx="6">
                  <c:v>0.15243599999999999</c:v>
                </c:pt>
                <c:pt idx="7">
                  <c:v>0.17322000000000001</c:v>
                </c:pt>
                <c:pt idx="8">
                  <c:v>0.21290899999999999</c:v>
                </c:pt>
                <c:pt idx="9">
                  <c:v>0.225383</c:v>
                </c:pt>
                <c:pt idx="10">
                  <c:v>0.23719199999999999</c:v>
                </c:pt>
                <c:pt idx="11">
                  <c:v>0.24806</c:v>
                </c:pt>
                <c:pt idx="12">
                  <c:v>0.25811400000000001</c:v>
                </c:pt>
                <c:pt idx="13">
                  <c:v>0.26747599999999999</c:v>
                </c:pt>
                <c:pt idx="14">
                  <c:v>0.27626699999999998</c:v>
                </c:pt>
                <c:pt idx="15">
                  <c:v>0.29358299999999998</c:v>
                </c:pt>
                <c:pt idx="16">
                  <c:v>0.31207000000000001</c:v>
                </c:pt>
                <c:pt idx="17">
                  <c:v>0.32987699999999998</c:v>
                </c:pt>
                <c:pt idx="18">
                  <c:v>0.34759899999999999</c:v>
                </c:pt>
                <c:pt idx="19">
                  <c:v>0.36530200000000002</c:v>
                </c:pt>
                <c:pt idx="20">
                  <c:v>0.38304899999999997</c:v>
                </c:pt>
                <c:pt idx="21">
                  <c:v>0.40089999999999998</c:v>
                </c:pt>
                <c:pt idx="22">
                  <c:v>0.41891499999999998</c:v>
                </c:pt>
                <c:pt idx="23">
                  <c:v>0.43715700000000002</c:v>
                </c:pt>
                <c:pt idx="24">
                  <c:v>0.45568599999999998</c:v>
                </c:pt>
                <c:pt idx="25">
                  <c:v>0.47458899999999998</c:v>
                </c:pt>
                <c:pt idx="26">
                  <c:v>0.49415500000000001</c:v>
                </c:pt>
                <c:pt idx="27">
                  <c:v>0.51351899999999995</c:v>
                </c:pt>
                <c:pt idx="28">
                  <c:v>0.532277</c:v>
                </c:pt>
                <c:pt idx="29">
                  <c:v>0.55038500000000001</c:v>
                </c:pt>
                <c:pt idx="30">
                  <c:v>0.62053999999999998</c:v>
                </c:pt>
                <c:pt idx="31">
                  <c:v>0.66176800000000002</c:v>
                </c:pt>
                <c:pt idx="32">
                  <c:v>0.68117099999999997</c:v>
                </c:pt>
                <c:pt idx="33">
                  <c:v>0.69325800000000004</c:v>
                </c:pt>
                <c:pt idx="34">
                  <c:v>0.70292399999999999</c:v>
                </c:pt>
              </c:numCache>
            </c:numRef>
          </c:val>
          <c:smooth val="0"/>
          <c:extLst>
            <c:ext xmlns:c16="http://schemas.microsoft.com/office/drawing/2014/chart" uri="{C3380CC4-5D6E-409C-BE32-E72D297353CC}">
              <c16:uniqueId val="{00000001-E8DE-40AB-86DD-64F1D90A59D8}"/>
            </c:ext>
          </c:extLst>
        </c:ser>
        <c:dLbls>
          <c:showLegendKey val="0"/>
          <c:showVal val="0"/>
          <c:showCatName val="0"/>
          <c:showSerName val="0"/>
          <c:showPercent val="0"/>
          <c:showBubbleSize val="0"/>
        </c:dLbls>
        <c:smooth val="0"/>
        <c:axId val="864774112"/>
        <c:axId val="864791168"/>
      </c:lineChart>
      <c:catAx>
        <c:axId val="864774112"/>
        <c:scaling>
          <c:orientation val="minMax"/>
        </c:scaling>
        <c:delete val="0"/>
        <c:axPos val="b"/>
        <c:numFmt formatCode="General" sourceLinked="1"/>
        <c:majorTickMark val="in"/>
        <c:minorTickMark val="none"/>
        <c:tickLblPos val="nextTo"/>
        <c:spPr>
          <a:noFill/>
          <a:ln w="9525" cap="flat" cmpd="sng" algn="ctr">
            <a:solidFill>
              <a:sysClr val="windowText" lastClr="000000">
                <a:lumMod val="65000"/>
                <a:lumOff val="35000"/>
              </a:sys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91168"/>
        <c:crosses val="autoZero"/>
        <c:auto val="1"/>
        <c:lblAlgn val="ctr"/>
        <c:lblOffset val="100"/>
        <c:noMultiLvlLbl val="0"/>
      </c:catAx>
      <c:valAx>
        <c:axId val="864791168"/>
        <c:scaling>
          <c:orientation val="minMax"/>
        </c:scaling>
        <c:delete val="0"/>
        <c:axPos val="l"/>
        <c:title>
          <c:tx>
            <c:rich>
              <a:bodyPr rot="-54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r>
                  <a:rPr lang="en-AU"/>
                  <a:t>Share of Renewables in TFEC (%)</a:t>
                </a:r>
              </a:p>
            </c:rich>
          </c:tx>
          <c:overlay val="0"/>
          <c:spPr>
            <a:noFill/>
            <a:ln>
              <a:noFill/>
            </a:ln>
            <a:effectLst/>
          </c:sp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crossAx val="864774112"/>
        <c:crosses val="autoZero"/>
        <c:crossBetween val="midCat"/>
      </c:valAx>
      <c:spPr>
        <a:noFill/>
        <a:ln>
          <a:solidFill>
            <a:schemeClr val="tx1">
              <a:lumMod val="65000"/>
              <a:lumOff val="35000"/>
            </a:schemeClr>
          </a:solidFill>
        </a:ln>
        <a:effectLst/>
      </c:spPr>
    </c:plotArea>
    <c:legend>
      <c:legendPos val="b"/>
      <c:layout>
        <c:manualLayout>
          <c:xMode val="edge"/>
          <c:yMode val="edge"/>
          <c:x val="0.30291754155730533"/>
          <c:y val="0.94288271860754247"/>
          <c:w val="0.42159007901790052"/>
          <c:h val="5.4800009914815213E-2"/>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j-lt"/>
              <a:ea typeface="+mn-ea"/>
              <a:cs typeface="+mn-cs"/>
            </a:defRPr>
          </a:pPr>
          <a:endParaRPr lang="en-US"/>
        </a:p>
      </c:txPr>
    </c:legend>
    <c:plotVisOnly val="1"/>
    <c:dispBlanksAs val="gap"/>
    <c:showDLblsOverMax val="0"/>
  </c:chart>
  <c:spPr>
    <a:ln>
      <a:noFill/>
    </a:ln>
  </c:spPr>
  <c:txPr>
    <a:bodyPr/>
    <a:lstStyle/>
    <a:p>
      <a:pPr>
        <a:defRPr sz="1000">
          <a:solidFill>
            <a:sysClr val="windowText" lastClr="000000"/>
          </a:solidFill>
          <a:latin typeface="+mj-lt"/>
        </a:defRPr>
      </a:pPr>
      <a:endParaRPr lang="en-US"/>
    </a:p>
  </c:txPr>
  <c:externalData r:id="rId2">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9E45D0-2600-4DD7-94ED-3A952F897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53</Pages>
  <Words>46241</Words>
  <Characters>263576</Characters>
  <Application>Microsoft Office Word</Application>
  <DocSecurity>0</DocSecurity>
  <Lines>2196</Lines>
  <Paragraphs>618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cameron allen</dc:creator>
  <cp:keywords/>
  <dc:description/>
  <cp:lastModifiedBy>cameron allen</cp:lastModifiedBy>
  <cp:revision>5</cp:revision>
  <dcterms:created xsi:type="dcterms:W3CDTF">2023-01-03T05:16:00Z</dcterms:created>
  <dcterms:modified xsi:type="dcterms:W3CDTF">2023-01-03T05:21:00Z</dcterms:modified>
</cp:coreProperties>
</file>