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7BD562" w14:textId="77777777" w:rsidR="00814343" w:rsidRDefault="00814343" w:rsidP="00814343">
      <w:pPr>
        <w:spacing w:line="360" w:lineRule="auto"/>
        <w:jc w:val="both"/>
        <w:rPr>
          <w:b/>
          <w:bCs/>
        </w:rPr>
      </w:pPr>
    </w:p>
    <w:p w14:paraId="3773B821" w14:textId="44A9D9A8" w:rsidR="005326F7" w:rsidRDefault="005326F7" w:rsidP="00814343">
      <w:pPr>
        <w:spacing w:line="360" w:lineRule="auto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C68BB04" wp14:editId="31B10D01">
            <wp:extent cx="2421670" cy="1816253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759" cy="18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430FE7DC" wp14:editId="64F1BB32">
            <wp:extent cx="2420066" cy="1815050"/>
            <wp:effectExtent l="0" t="0" r="5715" b="127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5621" cy="183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39AF91" w14:textId="7F59EA05" w:rsidR="00814343" w:rsidRDefault="00814343" w:rsidP="00814343">
      <w:pPr>
        <w:spacing w:line="360" w:lineRule="auto"/>
        <w:jc w:val="both"/>
        <w:rPr>
          <w:noProof/>
        </w:rPr>
      </w:pPr>
      <w:r w:rsidRPr="00694E6B">
        <w:rPr>
          <w:b/>
          <w:bCs/>
        </w:rPr>
        <w:t xml:space="preserve">Figure </w:t>
      </w:r>
      <w:r>
        <w:rPr>
          <w:b/>
          <w:bCs/>
        </w:rPr>
        <w:t>Supplementary 2</w:t>
      </w:r>
      <w:r w:rsidRPr="00694E6B">
        <w:rPr>
          <w:b/>
          <w:bCs/>
        </w:rPr>
        <w:t xml:space="preserve">. The </w:t>
      </w:r>
      <w:r w:rsidRPr="00694E6B">
        <w:rPr>
          <w:rFonts w:hint="eastAsia"/>
          <w:b/>
          <w:bCs/>
        </w:rPr>
        <w:t>dose</w:t>
      </w:r>
      <w:r w:rsidRPr="00694E6B">
        <w:rPr>
          <w:b/>
          <w:bCs/>
        </w:rPr>
        <w:t>-</w:t>
      </w:r>
      <w:r>
        <w:rPr>
          <w:rFonts w:hint="eastAsia"/>
          <w:b/>
          <w:bCs/>
        </w:rPr>
        <w:t>response</w:t>
      </w:r>
      <w:r w:rsidRPr="00694E6B">
        <w:rPr>
          <w:b/>
          <w:bCs/>
        </w:rPr>
        <w:t xml:space="preserve"> response between </w:t>
      </w:r>
      <w:r>
        <w:rPr>
          <w:b/>
          <w:bCs/>
        </w:rPr>
        <w:t>quantile</w:t>
      </w:r>
      <w:r w:rsidRPr="00694E6B">
        <w:rPr>
          <w:b/>
          <w:bCs/>
        </w:rPr>
        <w:t xml:space="preserve"> </w:t>
      </w:r>
      <w:r>
        <w:rPr>
          <w:b/>
          <w:bCs/>
        </w:rPr>
        <w:t xml:space="preserve">groups of </w:t>
      </w:r>
      <w:r w:rsidRPr="00694E6B">
        <w:rPr>
          <w:b/>
          <w:bCs/>
        </w:rPr>
        <w:t>iPRS.</w:t>
      </w:r>
      <w:r>
        <w:rPr>
          <w:b/>
          <w:bCs/>
        </w:rPr>
        <w:t xml:space="preserve"> </w:t>
      </w:r>
      <w:r>
        <w:t>The iPRS was divided into five equal parts according to the quantiles. The gray dotted line indicates HR of 1.00. The Bottom (0 to 20%)</w:t>
      </w:r>
      <w:r w:rsidRPr="00053BE8">
        <w:t xml:space="preserve"> </w:t>
      </w:r>
      <w:r>
        <w:t>iPRS group was the reference. The solid black line means the fitted linear regression line between the quantile and HR. iPRS, integrated PRS. CI, confidence interval.</w:t>
      </w:r>
      <w:r w:rsidRPr="00F47CD2">
        <w:rPr>
          <w:noProof/>
        </w:rPr>
        <w:t xml:space="preserve"> </w:t>
      </w:r>
      <w:r>
        <w:rPr>
          <w:noProof/>
        </w:rPr>
        <w:t>(A) For Male. (B) For Female.</w:t>
      </w:r>
    </w:p>
    <w:p w14:paraId="0D1E2A86" w14:textId="25892219" w:rsidR="00814343" w:rsidRDefault="005326F7" w:rsidP="00814343">
      <w:pPr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3FE04531" wp14:editId="2D2BB70C">
            <wp:extent cx="2663426" cy="2330498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8976" cy="2352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EDDA0C" wp14:editId="6EC0955A">
            <wp:extent cx="2529043" cy="2292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3139" cy="2359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EB821" w14:textId="77777777" w:rsidR="00814343" w:rsidRPr="001A5DB0" w:rsidRDefault="00814343" w:rsidP="00814343">
      <w:pPr>
        <w:spacing w:line="360" w:lineRule="auto"/>
        <w:jc w:val="both"/>
        <w:rPr>
          <w:b/>
          <w:bCs/>
        </w:rPr>
      </w:pPr>
      <w:r w:rsidRPr="001A5DB0">
        <w:rPr>
          <w:b/>
          <w:bCs/>
        </w:rPr>
        <w:t>Figure</w:t>
      </w:r>
      <w:r>
        <w:rPr>
          <w:b/>
          <w:bCs/>
        </w:rPr>
        <w:t xml:space="preserve"> Supplementary 3</w:t>
      </w:r>
      <w:r w:rsidRPr="001A5DB0">
        <w:rPr>
          <w:b/>
          <w:bCs/>
        </w:rPr>
        <w:t>. The AUROC of the iPRS for all-cause mortality from 10-fold cross-validation.</w:t>
      </w:r>
    </w:p>
    <w:p w14:paraId="3D399CBC" w14:textId="77777777" w:rsidR="00814343" w:rsidRDefault="00814343" w:rsidP="00814343">
      <w:pPr>
        <w:spacing w:line="360" w:lineRule="auto"/>
        <w:jc w:val="both"/>
        <w:rPr>
          <w:noProof/>
        </w:rPr>
      </w:pPr>
    </w:p>
    <w:p w14:paraId="14510956" w14:textId="77777777" w:rsidR="008F6143" w:rsidRDefault="008F6143"/>
    <w:sectPr w:rsidR="008F61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343"/>
    <w:rsid w:val="000C356A"/>
    <w:rsid w:val="002C12D1"/>
    <w:rsid w:val="00430F3F"/>
    <w:rsid w:val="0046538F"/>
    <w:rsid w:val="004C248B"/>
    <w:rsid w:val="005326F7"/>
    <w:rsid w:val="005817B3"/>
    <w:rsid w:val="007E4D66"/>
    <w:rsid w:val="00814343"/>
    <w:rsid w:val="0085757B"/>
    <w:rsid w:val="008F6143"/>
    <w:rsid w:val="00975BC2"/>
    <w:rsid w:val="00AB1BF8"/>
    <w:rsid w:val="00AF3497"/>
    <w:rsid w:val="00C54334"/>
    <w:rsid w:val="00C948AD"/>
    <w:rsid w:val="00D76370"/>
    <w:rsid w:val="00F26486"/>
    <w:rsid w:val="00FE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A6095B"/>
  <w15:chartTrackingRefBased/>
  <w15:docId w15:val="{4333BDD9-308D-9943-A129-71CF958AF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343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Renjia</dc:creator>
  <cp:keywords/>
  <dc:description/>
  <cp:lastModifiedBy>Renjia</cp:lastModifiedBy>
  <cp:revision>2</cp:revision>
  <dcterms:created xsi:type="dcterms:W3CDTF">2021-03-31T03:23:00Z</dcterms:created>
  <dcterms:modified xsi:type="dcterms:W3CDTF">2021-03-31T03:26:00Z</dcterms:modified>
</cp:coreProperties>
</file>