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35A4" w:rsidRPr="00CF3F85" w:rsidRDefault="00B435A4" w:rsidP="00B435A4">
      <w:pPr>
        <w:suppressLineNumbers/>
        <w:rPr>
          <w:rFonts w:ascii="Arial" w:hAnsi="Arial" w:cs="Arial"/>
          <w:lang w:val="en-US"/>
        </w:rPr>
      </w:pPr>
      <w:r>
        <w:rPr>
          <w:rFonts w:ascii="Arial" w:hAnsi="Arial" w:cs="Arial"/>
          <w:b/>
          <w:lang w:val="en-US"/>
        </w:rPr>
        <w:t>Supplementary Table S1</w:t>
      </w:r>
    </w:p>
    <w:p w:rsidR="00B435A4" w:rsidRPr="00CF3F85" w:rsidRDefault="00B435A4" w:rsidP="00B435A4">
      <w:pPr>
        <w:suppressLineNumbers/>
        <w:rPr>
          <w:rFonts w:ascii="Arial" w:hAnsi="Arial" w:cs="Arial"/>
          <w:lang w:val="en-US"/>
        </w:rPr>
      </w:pPr>
      <w:r w:rsidRPr="00CF3F85">
        <w:rPr>
          <w:rFonts w:ascii="Arial" w:hAnsi="Arial" w:cs="Arial"/>
          <w:lang w:val="en-US"/>
        </w:rPr>
        <w:t xml:space="preserve">Age distribution and incidence rates per 100,000 person-years for multiple myeloma </w:t>
      </w:r>
    </w:p>
    <w:tbl>
      <w:tblPr>
        <w:tblStyle w:val="Tabellenraster"/>
        <w:tblW w:w="9351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261"/>
        <w:gridCol w:w="1417"/>
        <w:gridCol w:w="1701"/>
        <w:gridCol w:w="1418"/>
        <w:gridCol w:w="1554"/>
      </w:tblGrid>
      <w:tr w:rsidR="00B435A4" w:rsidRPr="00E812DE" w:rsidTr="00D706CF">
        <w:trPr>
          <w:trHeight w:val="499"/>
        </w:trPr>
        <w:tc>
          <w:tcPr>
            <w:tcW w:w="3261" w:type="dxa"/>
            <w:tcBorders>
              <w:bottom w:val="nil"/>
              <w:right w:val="nil"/>
            </w:tcBorders>
            <w:vAlign w:val="center"/>
          </w:tcPr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118" w:type="dxa"/>
            <w:gridSpan w:val="2"/>
            <w:tcBorders>
              <w:left w:val="nil"/>
              <w:right w:val="nil"/>
            </w:tcBorders>
            <w:vAlign w:val="center"/>
          </w:tcPr>
          <w:p w:rsidR="00B435A4" w:rsidRPr="00E812DE" w:rsidRDefault="00B435A4" w:rsidP="00E812DE">
            <w:pPr>
              <w:suppressLineNumbers/>
              <w:spacing w:line="312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North Rhine-Westphalia</w:t>
            </w:r>
          </w:p>
          <w:p w:rsidR="00B435A4" w:rsidRPr="00E812DE" w:rsidRDefault="00B435A4" w:rsidP="00E812DE">
            <w:pPr>
              <w:suppressLineNumbers/>
              <w:spacing w:line="312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2010-2019</w:t>
            </w:r>
          </w:p>
        </w:tc>
        <w:tc>
          <w:tcPr>
            <w:tcW w:w="2972" w:type="dxa"/>
            <w:gridSpan w:val="2"/>
            <w:tcBorders>
              <w:left w:val="nil"/>
            </w:tcBorders>
            <w:vAlign w:val="center"/>
          </w:tcPr>
          <w:p w:rsidR="00B435A4" w:rsidRPr="00E812DE" w:rsidRDefault="00B435A4" w:rsidP="00E812DE">
            <w:pPr>
              <w:suppressLineNumbers/>
              <w:spacing w:line="312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Administrative district of Münster</w:t>
            </w:r>
          </w:p>
          <w:p w:rsidR="00B435A4" w:rsidRPr="00E812DE" w:rsidRDefault="00B435A4" w:rsidP="00E812DE">
            <w:pPr>
              <w:suppressLineNumbers/>
              <w:spacing w:line="312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1995-2019</w:t>
            </w:r>
          </w:p>
        </w:tc>
      </w:tr>
      <w:tr w:rsidR="00B435A4" w:rsidRPr="00E812DE" w:rsidTr="00D706CF">
        <w:trPr>
          <w:trHeight w:val="423"/>
        </w:trPr>
        <w:tc>
          <w:tcPr>
            <w:tcW w:w="3261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Men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 xml:space="preserve">Women </w:t>
            </w:r>
          </w:p>
        </w:tc>
        <w:tc>
          <w:tcPr>
            <w:tcW w:w="141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 xml:space="preserve">Men </w:t>
            </w:r>
          </w:p>
        </w:tc>
        <w:tc>
          <w:tcPr>
            <w:tcW w:w="1554" w:type="dxa"/>
            <w:tcBorders>
              <w:left w:val="nil"/>
              <w:bottom w:val="single" w:sz="4" w:space="0" w:color="auto"/>
            </w:tcBorders>
            <w:vAlign w:val="center"/>
          </w:tcPr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Women</w:t>
            </w:r>
          </w:p>
        </w:tc>
      </w:tr>
      <w:tr w:rsidR="00B435A4" w:rsidRPr="00E812DE" w:rsidTr="00D706CF">
        <w:trPr>
          <w:trHeight w:val="1434"/>
        </w:trPr>
        <w:tc>
          <w:tcPr>
            <w:tcW w:w="3261" w:type="dxa"/>
            <w:tcBorders>
              <w:bottom w:val="nil"/>
              <w:right w:val="nil"/>
            </w:tcBorders>
          </w:tcPr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Age distribution (%)</w:t>
            </w: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 xml:space="preserve">  &lt;49</w:t>
            </w: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 xml:space="preserve">  50-59</w:t>
            </w: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 xml:space="preserve">  60-69</w:t>
            </w: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 xml:space="preserve">  70-79 </w:t>
            </w: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 xml:space="preserve">  80+</w:t>
            </w: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 xml:space="preserve">  Total </w:t>
            </w: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</w:tcPr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449 (6)</w:t>
            </w: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1149 (14)</w:t>
            </w: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1895 (23)</w:t>
            </w: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2856 (35)</w:t>
            </w: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1736 (21)</w:t>
            </w: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8085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</w:tcPr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283 (4)</w:t>
            </w: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765 (11)</w:t>
            </w: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1327 (20)</w:t>
            </w: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2333 (35)</w:t>
            </w: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2022 (30)</w:t>
            </w: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6730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</w:tcPr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148 (6)</w:t>
            </w: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335 (13)</w:t>
            </w: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658 (26)</w:t>
            </w: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886 (35)</w:t>
            </w: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470 (19)</w:t>
            </w: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2496</w:t>
            </w:r>
          </w:p>
        </w:tc>
        <w:tc>
          <w:tcPr>
            <w:tcW w:w="1554" w:type="dxa"/>
            <w:tcBorders>
              <w:left w:val="nil"/>
              <w:bottom w:val="nil"/>
            </w:tcBorders>
          </w:tcPr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113 (5)</w:t>
            </w: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210 (10)</w:t>
            </w: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516 (23)</w:t>
            </w: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722 (33)</w:t>
            </w: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644 (29)</w:t>
            </w: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2205</w:t>
            </w:r>
          </w:p>
        </w:tc>
      </w:tr>
      <w:tr w:rsidR="00B435A4" w:rsidRPr="00E812DE" w:rsidTr="00D706CF">
        <w:trPr>
          <w:trHeight w:val="1271"/>
        </w:trPr>
        <w:tc>
          <w:tcPr>
            <w:tcW w:w="3261" w:type="dxa"/>
            <w:tcBorders>
              <w:top w:val="nil"/>
              <w:bottom w:val="nil"/>
              <w:right w:val="nil"/>
            </w:tcBorders>
          </w:tcPr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E812DE">
              <w:rPr>
                <w:rFonts w:ascii="Arial" w:hAnsi="Arial" w:cs="Arial"/>
                <w:sz w:val="16"/>
                <w:szCs w:val="16"/>
                <w:lang w:val="en-US"/>
              </w:rPr>
              <w:t>DCO cases (% of incident cases)</w:t>
            </w: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E812DE">
              <w:rPr>
                <w:rFonts w:ascii="Arial" w:hAnsi="Arial" w:cs="Arial"/>
                <w:sz w:val="16"/>
                <w:szCs w:val="16"/>
                <w:lang w:val="en-US"/>
              </w:rPr>
              <w:t xml:space="preserve">  &lt;49</w:t>
            </w: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E812DE">
              <w:rPr>
                <w:rFonts w:ascii="Arial" w:hAnsi="Arial" w:cs="Arial"/>
                <w:sz w:val="16"/>
                <w:szCs w:val="16"/>
                <w:lang w:val="en-US"/>
              </w:rPr>
              <w:t xml:space="preserve">  50-59</w:t>
            </w: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E812DE">
              <w:rPr>
                <w:rFonts w:ascii="Arial" w:hAnsi="Arial" w:cs="Arial"/>
                <w:sz w:val="16"/>
                <w:szCs w:val="16"/>
                <w:lang w:val="en-US"/>
              </w:rPr>
              <w:t xml:space="preserve">  60-69</w:t>
            </w: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E812DE">
              <w:rPr>
                <w:rFonts w:ascii="Arial" w:hAnsi="Arial" w:cs="Arial"/>
                <w:sz w:val="16"/>
                <w:szCs w:val="16"/>
                <w:lang w:val="en-US"/>
              </w:rPr>
              <w:t xml:space="preserve">  70-79</w:t>
            </w: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E812DE">
              <w:rPr>
                <w:rFonts w:ascii="Arial" w:hAnsi="Arial" w:cs="Arial"/>
                <w:sz w:val="16"/>
                <w:szCs w:val="16"/>
                <w:lang w:val="en-US"/>
              </w:rPr>
              <w:t xml:space="preserve">  80+</w:t>
            </w: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E812DE">
              <w:rPr>
                <w:rFonts w:ascii="Arial" w:hAnsi="Arial" w:cs="Arial"/>
                <w:sz w:val="16"/>
                <w:szCs w:val="16"/>
                <w:lang w:val="en-US"/>
              </w:rPr>
              <w:t xml:space="preserve">  Total</w:t>
            </w: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E812DE">
              <w:rPr>
                <w:rFonts w:ascii="Arial" w:hAnsi="Arial" w:cs="Arial"/>
                <w:sz w:val="16"/>
                <w:szCs w:val="16"/>
                <w:lang w:val="en-US"/>
              </w:rPr>
              <w:t>19 (4)</w:t>
            </w: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E812DE">
              <w:rPr>
                <w:rFonts w:ascii="Arial" w:hAnsi="Arial" w:cs="Arial"/>
                <w:sz w:val="16"/>
                <w:szCs w:val="16"/>
                <w:lang w:val="en-US"/>
              </w:rPr>
              <w:t>86 (7)</w:t>
            </w: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E812DE">
              <w:rPr>
                <w:rFonts w:ascii="Arial" w:hAnsi="Arial" w:cs="Arial"/>
                <w:sz w:val="16"/>
                <w:szCs w:val="16"/>
                <w:lang w:val="en-US"/>
              </w:rPr>
              <w:t>207 (11)</w:t>
            </w: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E812DE">
              <w:rPr>
                <w:rFonts w:ascii="Arial" w:hAnsi="Arial" w:cs="Arial"/>
                <w:sz w:val="16"/>
                <w:szCs w:val="16"/>
                <w:lang w:val="en-US"/>
              </w:rPr>
              <w:t>549 (19)</w:t>
            </w: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E812DE">
              <w:rPr>
                <w:rFonts w:ascii="Arial" w:hAnsi="Arial" w:cs="Arial"/>
                <w:sz w:val="16"/>
                <w:szCs w:val="16"/>
                <w:lang w:val="en-US"/>
              </w:rPr>
              <w:t>637 (37)</w:t>
            </w: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E812DE">
              <w:rPr>
                <w:rFonts w:ascii="Arial" w:hAnsi="Arial" w:cs="Arial"/>
                <w:sz w:val="16"/>
                <w:szCs w:val="16"/>
                <w:lang w:val="en-US"/>
              </w:rPr>
              <w:t>1498 (19)</w:t>
            </w: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6 (2)</w:t>
            </w: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49 (6)</w:t>
            </w: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134 (10)</w:t>
            </w: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492 (21)</w:t>
            </w: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940 (46)</w:t>
            </w: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1621 (24)</w:t>
            </w: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3 (2)</w:t>
            </w: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12 (4)</w:t>
            </w: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33 (5)</w:t>
            </w: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90 (10)</w:t>
            </w: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116 (25)</w:t>
            </w: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254 (10)</w:t>
            </w: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</w:tcBorders>
          </w:tcPr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2 (2)</w:t>
            </w: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5 (2)</w:t>
            </w: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30 (6)</w:t>
            </w: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76 (11)</w:t>
            </w: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164 (25)</w:t>
            </w: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277 (13)</w:t>
            </w: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B435A4" w:rsidRPr="00E812DE" w:rsidTr="00D706CF">
        <w:trPr>
          <w:trHeight w:val="839"/>
        </w:trPr>
        <w:tc>
          <w:tcPr>
            <w:tcW w:w="3261" w:type="dxa"/>
            <w:tcBorders>
              <w:top w:val="nil"/>
              <w:bottom w:val="nil"/>
              <w:right w:val="nil"/>
            </w:tcBorders>
          </w:tcPr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E812DE">
              <w:rPr>
                <w:rFonts w:ascii="Arial" w:hAnsi="Arial" w:cs="Arial"/>
                <w:sz w:val="16"/>
                <w:szCs w:val="16"/>
                <w:lang w:val="en-US"/>
              </w:rPr>
              <w:t>Age-specific incidence rates (95% CI)</w:t>
            </w: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  <w:lang w:val="en-US"/>
              </w:rPr>
              <w:t xml:space="preserve">  </w:t>
            </w:r>
            <w:r w:rsidRPr="00E812DE">
              <w:rPr>
                <w:rFonts w:ascii="Arial" w:hAnsi="Arial" w:cs="Arial"/>
                <w:sz w:val="16"/>
                <w:szCs w:val="16"/>
              </w:rPr>
              <w:t>&lt;49</w:t>
            </w: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 xml:space="preserve">  50-59</w:t>
            </w: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 xml:space="preserve">  60-69</w:t>
            </w: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 xml:space="preserve">  70-79 </w:t>
            </w: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 xml:space="preserve">  80+</w:t>
            </w: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0.9 (0.8-0.9)</w:t>
            </w: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8.4 (7.9-8.9)</w:t>
            </w: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19.6 (18.7-20.5)</w:t>
            </w: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36.9 (35.5-38.2)</w:t>
            </w: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48.1 (45.8-50.4)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0.6 (0.5-0.6)</w:t>
            </w: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5.6 (5.2-6.0)</w:t>
            </w: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12.8 (12.1-13.4)</w:t>
            </w: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24.6 (23.6-25.6)</w:t>
            </w: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30.4 (29.1-31.7)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0.7 (0.6-0.8)</w:t>
            </w: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7.7 (6.8-8.5)</w:t>
            </w: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19.0 (17.6-20.5)</w:t>
            </w: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38.4 (35.9-41.0)</w:t>
            </w: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51.5 (46.9-56.2)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</w:tcBorders>
          </w:tcPr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0.6 (0.5-0.7)</w:t>
            </w: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4.8 (4.2-5.5)</w:t>
            </w: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13.9 (12.7-15.1)</w:t>
            </w: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23.1 (21.4-24.8)</w:t>
            </w: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31.5 (29.1-34.0)</w:t>
            </w:r>
          </w:p>
        </w:tc>
      </w:tr>
      <w:tr w:rsidR="00B435A4" w:rsidRPr="00E812DE" w:rsidTr="00D706CF">
        <w:trPr>
          <w:trHeight w:val="708"/>
        </w:trPr>
        <w:tc>
          <w:tcPr>
            <w:tcW w:w="3261" w:type="dxa"/>
            <w:tcBorders>
              <w:top w:val="nil"/>
              <w:right w:val="nil"/>
            </w:tcBorders>
          </w:tcPr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E812DE">
              <w:rPr>
                <w:rFonts w:ascii="Arial" w:hAnsi="Arial" w:cs="Arial"/>
                <w:sz w:val="16"/>
                <w:szCs w:val="16"/>
                <w:lang w:val="en-US"/>
              </w:rPr>
              <w:t>Overall incidence rates (95% CI)</w:t>
            </w: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E812DE">
              <w:rPr>
                <w:rFonts w:ascii="Arial" w:hAnsi="Arial" w:cs="Arial"/>
                <w:sz w:val="16"/>
                <w:szCs w:val="16"/>
                <w:lang w:val="en-US"/>
              </w:rPr>
              <w:t xml:space="preserve">  crude </w:t>
            </w: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E812DE">
              <w:rPr>
                <w:rFonts w:ascii="Arial" w:hAnsi="Arial" w:cs="Arial"/>
                <w:sz w:val="16"/>
                <w:szCs w:val="16"/>
                <w:lang w:val="en-US"/>
              </w:rPr>
              <w:t xml:space="preserve">  age-standardised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</w:tcPr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9.3 (9.1-9.5)</w:t>
            </w: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6.1 (6.0-6.2)</w:t>
            </w: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</w:tcPr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7.4 (7.2-7.6)</w:t>
            </w: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4.0 (3.9-4.1)</w:t>
            </w: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</w:tcPr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7.8 (7.5-8.2)</w:t>
            </w: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6.1 (5.8-6.3)</w:t>
            </w:r>
          </w:p>
        </w:tc>
        <w:tc>
          <w:tcPr>
            <w:tcW w:w="1554" w:type="dxa"/>
            <w:tcBorders>
              <w:top w:val="nil"/>
              <w:left w:val="nil"/>
            </w:tcBorders>
          </w:tcPr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6.6 (6.3-6.9)</w:t>
            </w:r>
          </w:p>
          <w:p w:rsidR="00B435A4" w:rsidRPr="00E812DE" w:rsidRDefault="00B435A4" w:rsidP="00E812DE">
            <w:pPr>
              <w:suppressLineNumbers/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4.0 (3.8-4.1)</w:t>
            </w:r>
          </w:p>
        </w:tc>
      </w:tr>
    </w:tbl>
    <w:p w:rsidR="00B435A4" w:rsidRPr="00CF3F85" w:rsidRDefault="00B435A4" w:rsidP="00B435A4">
      <w:pPr>
        <w:suppressLineNumbers/>
        <w:rPr>
          <w:rFonts w:ascii="Arial" w:hAnsi="Arial" w:cs="Arial"/>
          <w:b/>
          <w:lang w:val="en-US"/>
        </w:rPr>
      </w:pPr>
      <w:r w:rsidRPr="00CF3F85">
        <w:rPr>
          <w:rFonts w:ascii="Arial" w:hAnsi="Arial" w:cs="Arial"/>
          <w:lang w:val="en-US"/>
        </w:rPr>
        <w:t>Abbrev</w:t>
      </w:r>
      <w:r w:rsidR="003B7279">
        <w:rPr>
          <w:rFonts w:ascii="Arial" w:hAnsi="Arial" w:cs="Arial"/>
          <w:lang w:val="en-US"/>
        </w:rPr>
        <w:t>i</w:t>
      </w:r>
      <w:r w:rsidRPr="00CF3F85">
        <w:rPr>
          <w:rFonts w:ascii="Arial" w:hAnsi="Arial" w:cs="Arial"/>
          <w:lang w:val="en-US"/>
        </w:rPr>
        <w:t>ations:</w:t>
      </w:r>
      <w:r w:rsidRPr="00CF3F85">
        <w:rPr>
          <w:rFonts w:ascii="Arial" w:hAnsi="Arial" w:cs="Arial"/>
          <w:b/>
          <w:lang w:val="en-US"/>
        </w:rPr>
        <w:t xml:space="preserve"> </w:t>
      </w:r>
      <w:r w:rsidRPr="00CF3F85">
        <w:rPr>
          <w:rFonts w:ascii="Arial" w:hAnsi="Arial" w:cs="Arial"/>
          <w:lang w:val="en-US"/>
        </w:rPr>
        <w:t>DCO, death certificate only; CI, confidence interval</w:t>
      </w:r>
    </w:p>
    <w:p w:rsidR="00804BF8" w:rsidRDefault="00804BF8"/>
    <w:p w:rsidR="00E812DE" w:rsidRDefault="00E812DE"/>
    <w:p w:rsidR="00E812DE" w:rsidRDefault="00E812DE"/>
    <w:p w:rsidR="00E812DE" w:rsidRDefault="00E812DE"/>
    <w:p w:rsidR="00E812DE" w:rsidRDefault="00E812DE"/>
    <w:p w:rsidR="00E812DE" w:rsidRDefault="00E812DE"/>
    <w:p w:rsidR="00E812DE" w:rsidRDefault="00E812DE"/>
    <w:p w:rsidR="00E812DE" w:rsidRDefault="00E812DE"/>
    <w:p w:rsidR="00E812DE" w:rsidRDefault="00E812DE"/>
    <w:p w:rsidR="00E812DE" w:rsidRDefault="00E812DE"/>
    <w:p w:rsidR="00E812DE" w:rsidRDefault="00E812DE"/>
    <w:p w:rsidR="00E812DE" w:rsidRPr="00E812DE" w:rsidRDefault="00E812DE">
      <w:pPr>
        <w:rPr>
          <w:rFonts w:ascii="Arial" w:hAnsi="Arial" w:cs="Arial"/>
        </w:rPr>
      </w:pPr>
    </w:p>
    <w:p w:rsidR="00E812DE" w:rsidRPr="00E812DE" w:rsidRDefault="003D0D4F" w:rsidP="00E812DE">
      <w:pPr>
        <w:rPr>
          <w:rFonts w:ascii="Arial" w:hAnsi="Arial" w:cs="Arial"/>
          <w:b/>
          <w:lang w:val="en-US"/>
        </w:rPr>
      </w:pPr>
      <w:r>
        <w:rPr>
          <w:rFonts w:ascii="Arial" w:hAnsi="Arial" w:cs="Arial"/>
          <w:b/>
          <w:lang w:val="en-US"/>
        </w:rPr>
        <w:lastRenderedPageBreak/>
        <w:t>Supplementary Table S2</w:t>
      </w:r>
    </w:p>
    <w:tbl>
      <w:tblPr>
        <w:tblStyle w:val="Tabellenraster"/>
        <w:tblpPr w:leftFromText="141" w:rightFromText="141" w:vertAnchor="page" w:horzAnchor="margin" w:tblpXSpec="center" w:tblpY="3021"/>
        <w:tblW w:w="1019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34"/>
        <w:gridCol w:w="1661"/>
        <w:gridCol w:w="1742"/>
        <w:gridCol w:w="1675"/>
        <w:gridCol w:w="1680"/>
      </w:tblGrid>
      <w:tr w:rsidR="00E812DE" w:rsidRPr="00E812DE" w:rsidTr="00E812DE">
        <w:trPr>
          <w:trHeight w:val="465"/>
        </w:trPr>
        <w:tc>
          <w:tcPr>
            <w:tcW w:w="3434" w:type="dxa"/>
            <w:tcBorders>
              <w:top w:val="single" w:sz="4" w:space="0" w:color="auto"/>
              <w:bottom w:val="nil"/>
            </w:tcBorders>
            <w:vAlign w:val="center"/>
          </w:tcPr>
          <w:p w:rsidR="00E812DE" w:rsidRPr="00E812DE" w:rsidRDefault="00E812DE" w:rsidP="00E812DE">
            <w:pPr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Cause of death (ICD-10 codes)</w:t>
            </w:r>
          </w:p>
        </w:tc>
        <w:tc>
          <w:tcPr>
            <w:tcW w:w="340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812DE" w:rsidRPr="00E812DE" w:rsidRDefault="00E812DE" w:rsidP="00E812DE">
            <w:pPr>
              <w:spacing w:line="312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Men</w:t>
            </w:r>
          </w:p>
        </w:tc>
        <w:tc>
          <w:tcPr>
            <w:tcW w:w="335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812DE" w:rsidRPr="00E812DE" w:rsidRDefault="00E812DE" w:rsidP="00E812DE">
            <w:pPr>
              <w:spacing w:line="312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Women</w:t>
            </w:r>
          </w:p>
        </w:tc>
      </w:tr>
      <w:tr w:rsidR="00E812DE" w:rsidRPr="00E812DE" w:rsidTr="00E812DE">
        <w:trPr>
          <w:trHeight w:val="465"/>
        </w:trPr>
        <w:tc>
          <w:tcPr>
            <w:tcW w:w="3434" w:type="dxa"/>
            <w:tcBorders>
              <w:top w:val="nil"/>
              <w:bottom w:val="single" w:sz="4" w:space="0" w:color="auto"/>
            </w:tcBorders>
            <w:vAlign w:val="center"/>
          </w:tcPr>
          <w:p w:rsidR="00E812DE" w:rsidRPr="00E812DE" w:rsidRDefault="00E812DE" w:rsidP="00E812DE">
            <w:pPr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812DE" w:rsidRPr="00E812DE" w:rsidRDefault="00E812DE" w:rsidP="00E812DE">
            <w:pPr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Observed No. of deaths (%)</w:t>
            </w:r>
          </w:p>
        </w:tc>
        <w:tc>
          <w:tcPr>
            <w:tcW w:w="17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812DE" w:rsidRPr="00E812DE" w:rsidRDefault="00E812DE" w:rsidP="00E812DE">
            <w:pPr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SMR (95% CI)</w:t>
            </w:r>
          </w:p>
        </w:tc>
        <w:tc>
          <w:tcPr>
            <w:tcW w:w="16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812DE" w:rsidRPr="00E812DE" w:rsidRDefault="00E812DE" w:rsidP="00E812DE">
            <w:pPr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Observed No. of deaths (%)</w:t>
            </w:r>
          </w:p>
        </w:tc>
        <w:tc>
          <w:tcPr>
            <w:tcW w:w="16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812DE" w:rsidRPr="00E812DE" w:rsidRDefault="00E812DE" w:rsidP="00E812DE">
            <w:pPr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SMR (95% CI)</w:t>
            </w:r>
          </w:p>
        </w:tc>
      </w:tr>
      <w:tr w:rsidR="00E812DE" w:rsidRPr="00E812DE" w:rsidTr="00E812DE">
        <w:trPr>
          <w:trHeight w:val="433"/>
        </w:trPr>
        <w:tc>
          <w:tcPr>
            <w:tcW w:w="3434" w:type="dxa"/>
            <w:tcBorders>
              <w:top w:val="single" w:sz="4" w:space="0" w:color="auto"/>
            </w:tcBorders>
            <w:vAlign w:val="center"/>
          </w:tcPr>
          <w:p w:rsidR="00E812DE" w:rsidRPr="00E812DE" w:rsidRDefault="00E812DE" w:rsidP="00E812DE">
            <w:pPr>
              <w:spacing w:line="312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  <w:p w:rsidR="00E812DE" w:rsidRPr="00E812DE" w:rsidRDefault="00E812DE" w:rsidP="00E812DE">
            <w:pPr>
              <w:spacing w:line="312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E812DE">
              <w:rPr>
                <w:rFonts w:ascii="Arial" w:hAnsi="Arial" w:cs="Arial"/>
                <w:sz w:val="16"/>
                <w:szCs w:val="16"/>
                <w:lang w:val="en-US"/>
              </w:rPr>
              <w:t>Multiple myeloma and plasma cell neoplasms (C90)</w:t>
            </w:r>
          </w:p>
          <w:p w:rsidR="00E812DE" w:rsidRPr="00E812DE" w:rsidRDefault="00E812DE" w:rsidP="00E812DE">
            <w:pPr>
              <w:spacing w:line="312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E812DE">
              <w:rPr>
                <w:rFonts w:ascii="Arial" w:hAnsi="Arial" w:cs="Arial"/>
                <w:sz w:val="16"/>
                <w:szCs w:val="16"/>
                <w:lang w:val="en-US"/>
              </w:rPr>
              <w:t xml:space="preserve">  incl. DCO</w:t>
            </w:r>
          </w:p>
          <w:p w:rsidR="00E812DE" w:rsidRPr="00E812DE" w:rsidRDefault="00E812DE" w:rsidP="00E812DE">
            <w:pPr>
              <w:spacing w:line="312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E812DE">
              <w:rPr>
                <w:rFonts w:ascii="Arial" w:hAnsi="Arial" w:cs="Arial"/>
                <w:sz w:val="16"/>
                <w:szCs w:val="16"/>
                <w:lang w:val="en-US"/>
              </w:rPr>
              <w:t xml:space="preserve">  of which DCO-cases</w:t>
            </w:r>
          </w:p>
        </w:tc>
        <w:tc>
          <w:tcPr>
            <w:tcW w:w="1661" w:type="dxa"/>
            <w:tcBorders>
              <w:top w:val="single" w:sz="4" w:space="0" w:color="auto"/>
            </w:tcBorders>
          </w:tcPr>
          <w:p w:rsidR="00E812DE" w:rsidRPr="00E812DE" w:rsidRDefault="00E812DE" w:rsidP="00E812DE">
            <w:pPr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</w:p>
          <w:p w:rsidR="00E812DE" w:rsidRPr="00E812DE" w:rsidRDefault="00E812DE" w:rsidP="00E812DE">
            <w:pPr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</w:p>
          <w:p w:rsidR="00E812DE" w:rsidRPr="00E812DE" w:rsidRDefault="00E812DE" w:rsidP="00E812DE">
            <w:pPr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</w:p>
          <w:p w:rsidR="00E812DE" w:rsidRPr="00E812DE" w:rsidRDefault="00E812DE" w:rsidP="00E812DE">
            <w:pPr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3421 (73.9)</w:t>
            </w:r>
          </w:p>
          <w:p w:rsidR="00E812DE" w:rsidRPr="00E812DE" w:rsidRDefault="00E812DE" w:rsidP="00E812DE">
            <w:pPr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1498</w:t>
            </w:r>
          </w:p>
        </w:tc>
        <w:tc>
          <w:tcPr>
            <w:tcW w:w="1742" w:type="dxa"/>
            <w:tcBorders>
              <w:top w:val="single" w:sz="4" w:space="0" w:color="auto"/>
            </w:tcBorders>
          </w:tcPr>
          <w:p w:rsidR="00E812DE" w:rsidRPr="00E812DE" w:rsidRDefault="00E812DE" w:rsidP="00E812DE">
            <w:pPr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</w:p>
          <w:p w:rsidR="00E812DE" w:rsidRPr="00E812DE" w:rsidRDefault="00E812DE" w:rsidP="00E812DE">
            <w:pPr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</w:p>
          <w:p w:rsidR="00E812DE" w:rsidRPr="00E812DE" w:rsidRDefault="00E812DE" w:rsidP="00E812DE">
            <w:pPr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</w:p>
          <w:p w:rsidR="00E812DE" w:rsidRPr="00E812DE" w:rsidRDefault="00E812DE" w:rsidP="00E812DE">
            <w:pPr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675" w:type="dxa"/>
            <w:tcBorders>
              <w:top w:val="single" w:sz="4" w:space="0" w:color="auto"/>
            </w:tcBorders>
          </w:tcPr>
          <w:p w:rsidR="00E812DE" w:rsidRPr="00E812DE" w:rsidRDefault="00E812DE" w:rsidP="00E812DE">
            <w:pPr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</w:p>
          <w:p w:rsidR="00E812DE" w:rsidRPr="00E812DE" w:rsidRDefault="00E812DE" w:rsidP="00E812DE">
            <w:pPr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</w:p>
          <w:p w:rsidR="00E812DE" w:rsidRPr="00E812DE" w:rsidRDefault="00E812DE" w:rsidP="00E812DE">
            <w:pPr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</w:p>
          <w:p w:rsidR="00E812DE" w:rsidRPr="00E812DE" w:rsidRDefault="00E812DE" w:rsidP="00E812DE">
            <w:pPr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3229 (80.2)</w:t>
            </w:r>
          </w:p>
          <w:p w:rsidR="00E812DE" w:rsidRPr="00E812DE" w:rsidRDefault="00E812DE" w:rsidP="00E812DE">
            <w:pPr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1621</w:t>
            </w:r>
          </w:p>
        </w:tc>
        <w:tc>
          <w:tcPr>
            <w:tcW w:w="1680" w:type="dxa"/>
            <w:tcBorders>
              <w:top w:val="single" w:sz="4" w:space="0" w:color="auto"/>
            </w:tcBorders>
          </w:tcPr>
          <w:p w:rsidR="00E812DE" w:rsidRPr="00E812DE" w:rsidRDefault="00E812DE" w:rsidP="00E812DE">
            <w:pPr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</w:p>
          <w:p w:rsidR="00E812DE" w:rsidRPr="00E812DE" w:rsidRDefault="00E812DE" w:rsidP="00E812DE">
            <w:pPr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</w:p>
          <w:p w:rsidR="00E812DE" w:rsidRPr="00E812DE" w:rsidRDefault="00E812DE" w:rsidP="00E812DE">
            <w:pPr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</w:p>
          <w:p w:rsidR="00E812DE" w:rsidRPr="00E812DE" w:rsidRDefault="00E812DE" w:rsidP="00E812DE">
            <w:pPr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E812DE" w:rsidRPr="00E812DE" w:rsidTr="00E812DE">
        <w:trPr>
          <w:trHeight w:val="410"/>
        </w:trPr>
        <w:tc>
          <w:tcPr>
            <w:tcW w:w="3434" w:type="dxa"/>
            <w:vAlign w:val="center"/>
          </w:tcPr>
          <w:p w:rsidR="00E812DE" w:rsidRPr="00E812DE" w:rsidRDefault="00822BEE" w:rsidP="00E812DE">
            <w:pPr>
              <w:spacing w:line="312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Cardio</w:t>
            </w:r>
            <w:r w:rsidR="00E812DE" w:rsidRPr="00E812DE">
              <w:rPr>
                <w:rFonts w:ascii="Arial" w:hAnsi="Arial" w:cs="Arial"/>
                <w:sz w:val="16"/>
                <w:szCs w:val="16"/>
                <w:lang w:val="en-US"/>
              </w:rPr>
              <w:t>vascular diseases (I00-I99)</w:t>
            </w:r>
          </w:p>
        </w:tc>
        <w:tc>
          <w:tcPr>
            <w:tcW w:w="1661" w:type="dxa"/>
            <w:vAlign w:val="center"/>
          </w:tcPr>
          <w:p w:rsidR="00E812DE" w:rsidRPr="00E812DE" w:rsidRDefault="00E812DE" w:rsidP="00E812DE">
            <w:pPr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358 (7.7)</w:t>
            </w:r>
          </w:p>
        </w:tc>
        <w:tc>
          <w:tcPr>
            <w:tcW w:w="1742" w:type="dxa"/>
            <w:vAlign w:val="center"/>
          </w:tcPr>
          <w:p w:rsidR="00E812DE" w:rsidRPr="00E812DE" w:rsidRDefault="00E812DE" w:rsidP="00E812DE">
            <w:pPr>
              <w:spacing w:line="312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812DE">
              <w:rPr>
                <w:rFonts w:ascii="Arial" w:hAnsi="Arial" w:cs="Arial"/>
                <w:color w:val="000000"/>
                <w:sz w:val="16"/>
                <w:szCs w:val="16"/>
              </w:rPr>
              <w:t>2.00 (1.80-2.22)</w:t>
            </w:r>
          </w:p>
        </w:tc>
        <w:tc>
          <w:tcPr>
            <w:tcW w:w="1675" w:type="dxa"/>
            <w:vAlign w:val="center"/>
          </w:tcPr>
          <w:p w:rsidR="00E812DE" w:rsidRPr="00E812DE" w:rsidRDefault="00E812DE" w:rsidP="00E812DE">
            <w:pPr>
              <w:spacing w:line="312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812DE">
              <w:rPr>
                <w:rFonts w:ascii="Arial" w:hAnsi="Arial" w:cs="Arial"/>
                <w:color w:val="000000"/>
                <w:sz w:val="16"/>
                <w:szCs w:val="16"/>
              </w:rPr>
              <w:t>244 (6.1)</w:t>
            </w:r>
          </w:p>
        </w:tc>
        <w:tc>
          <w:tcPr>
            <w:tcW w:w="1680" w:type="dxa"/>
            <w:vAlign w:val="center"/>
          </w:tcPr>
          <w:p w:rsidR="00E812DE" w:rsidRPr="00E812DE" w:rsidRDefault="00E812DE" w:rsidP="00E812DE">
            <w:pPr>
              <w:spacing w:line="312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812DE">
              <w:rPr>
                <w:rFonts w:ascii="Arial" w:hAnsi="Arial" w:cs="Arial"/>
                <w:color w:val="000000"/>
                <w:sz w:val="16"/>
                <w:szCs w:val="16"/>
              </w:rPr>
              <w:t>2.04 (1.80-2.31)</w:t>
            </w:r>
          </w:p>
        </w:tc>
      </w:tr>
      <w:tr w:rsidR="00E812DE" w:rsidRPr="00E812DE" w:rsidTr="00E812DE">
        <w:trPr>
          <w:trHeight w:val="433"/>
        </w:trPr>
        <w:tc>
          <w:tcPr>
            <w:tcW w:w="3434" w:type="dxa"/>
            <w:vAlign w:val="center"/>
          </w:tcPr>
          <w:p w:rsidR="00E812DE" w:rsidRPr="00E812DE" w:rsidRDefault="00E812DE" w:rsidP="00E812DE">
            <w:pPr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  <w:lang w:val="en-US"/>
              </w:rPr>
              <w:t xml:space="preserve">Non-myeloma cancer (C00-D48, excl. </w:t>
            </w:r>
            <w:r w:rsidRPr="00E812DE">
              <w:rPr>
                <w:rFonts w:ascii="Arial" w:hAnsi="Arial" w:cs="Arial"/>
                <w:sz w:val="16"/>
                <w:szCs w:val="16"/>
              </w:rPr>
              <w:t>C90)</w:t>
            </w:r>
          </w:p>
        </w:tc>
        <w:tc>
          <w:tcPr>
            <w:tcW w:w="1661" w:type="dxa"/>
            <w:vAlign w:val="center"/>
          </w:tcPr>
          <w:p w:rsidR="00E812DE" w:rsidRPr="00E812DE" w:rsidRDefault="00E812DE" w:rsidP="00E812DE">
            <w:pPr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338 (7.3)</w:t>
            </w:r>
          </w:p>
        </w:tc>
        <w:tc>
          <w:tcPr>
            <w:tcW w:w="1742" w:type="dxa"/>
            <w:vAlign w:val="center"/>
          </w:tcPr>
          <w:p w:rsidR="00E812DE" w:rsidRPr="00E812DE" w:rsidRDefault="00E812DE" w:rsidP="00E812DE">
            <w:pPr>
              <w:spacing w:line="312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812DE">
              <w:rPr>
                <w:rFonts w:ascii="Arial" w:hAnsi="Arial" w:cs="Arial"/>
                <w:color w:val="000000"/>
                <w:sz w:val="16"/>
                <w:szCs w:val="16"/>
              </w:rPr>
              <w:t>1.93 (1.74-2.15)</w:t>
            </w:r>
          </w:p>
        </w:tc>
        <w:tc>
          <w:tcPr>
            <w:tcW w:w="1675" w:type="dxa"/>
            <w:vAlign w:val="center"/>
          </w:tcPr>
          <w:p w:rsidR="00E812DE" w:rsidRPr="00E812DE" w:rsidRDefault="00E812DE" w:rsidP="00E812DE">
            <w:pPr>
              <w:spacing w:line="312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812DE">
              <w:rPr>
                <w:rFonts w:ascii="Arial" w:hAnsi="Arial" w:cs="Arial"/>
                <w:color w:val="000000"/>
                <w:sz w:val="16"/>
                <w:szCs w:val="16"/>
              </w:rPr>
              <w:t>190 (4.7)</w:t>
            </w:r>
          </w:p>
        </w:tc>
        <w:tc>
          <w:tcPr>
            <w:tcW w:w="1680" w:type="dxa"/>
            <w:vAlign w:val="center"/>
          </w:tcPr>
          <w:p w:rsidR="00E812DE" w:rsidRPr="00E812DE" w:rsidRDefault="00E812DE" w:rsidP="00E812DE">
            <w:pPr>
              <w:spacing w:line="312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812DE">
              <w:rPr>
                <w:rFonts w:ascii="Arial" w:hAnsi="Arial" w:cs="Arial"/>
                <w:color w:val="000000"/>
                <w:sz w:val="16"/>
                <w:szCs w:val="16"/>
              </w:rPr>
              <w:t>2.04 (1.77-2.35)</w:t>
            </w:r>
          </w:p>
        </w:tc>
      </w:tr>
      <w:tr w:rsidR="00E812DE" w:rsidRPr="00E812DE" w:rsidTr="00E812DE">
        <w:trPr>
          <w:trHeight w:val="410"/>
        </w:trPr>
        <w:tc>
          <w:tcPr>
            <w:tcW w:w="3434" w:type="dxa"/>
            <w:vAlign w:val="center"/>
          </w:tcPr>
          <w:p w:rsidR="00E812DE" w:rsidRPr="00E812DE" w:rsidRDefault="00E812DE" w:rsidP="00E812DE">
            <w:pPr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Respiratory diseases (J00-J99)</w:t>
            </w:r>
          </w:p>
        </w:tc>
        <w:tc>
          <w:tcPr>
            <w:tcW w:w="1661" w:type="dxa"/>
            <w:vAlign w:val="center"/>
          </w:tcPr>
          <w:p w:rsidR="00E812DE" w:rsidRPr="00E812DE" w:rsidRDefault="00E812DE" w:rsidP="00E812DE">
            <w:pPr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102 (2.2)</w:t>
            </w:r>
          </w:p>
        </w:tc>
        <w:tc>
          <w:tcPr>
            <w:tcW w:w="1742" w:type="dxa"/>
            <w:vAlign w:val="center"/>
          </w:tcPr>
          <w:p w:rsidR="00E812DE" w:rsidRPr="00E812DE" w:rsidRDefault="00E812DE" w:rsidP="00E812DE">
            <w:pPr>
              <w:spacing w:line="312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812DE">
              <w:rPr>
                <w:rFonts w:ascii="Arial" w:hAnsi="Arial" w:cs="Arial"/>
                <w:color w:val="000000"/>
                <w:sz w:val="16"/>
                <w:szCs w:val="16"/>
              </w:rPr>
              <w:t>1.94 (1.60-2.35)</w:t>
            </w:r>
          </w:p>
        </w:tc>
        <w:tc>
          <w:tcPr>
            <w:tcW w:w="1675" w:type="dxa"/>
            <w:vAlign w:val="center"/>
          </w:tcPr>
          <w:p w:rsidR="00E812DE" w:rsidRPr="00E812DE" w:rsidRDefault="00E812DE" w:rsidP="00E812DE">
            <w:pPr>
              <w:spacing w:line="312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812DE">
              <w:rPr>
                <w:rFonts w:ascii="Arial" w:hAnsi="Arial" w:cs="Arial"/>
                <w:color w:val="000000"/>
                <w:sz w:val="16"/>
                <w:szCs w:val="16"/>
              </w:rPr>
              <w:t>59 (1.5)</w:t>
            </w:r>
          </w:p>
        </w:tc>
        <w:tc>
          <w:tcPr>
            <w:tcW w:w="1680" w:type="dxa"/>
            <w:vAlign w:val="center"/>
          </w:tcPr>
          <w:p w:rsidR="00E812DE" w:rsidRPr="00E812DE" w:rsidRDefault="00E812DE" w:rsidP="00E812DE">
            <w:pPr>
              <w:spacing w:line="312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812DE">
              <w:rPr>
                <w:rFonts w:ascii="Arial" w:hAnsi="Arial" w:cs="Arial"/>
                <w:color w:val="000000"/>
                <w:sz w:val="16"/>
                <w:szCs w:val="16"/>
              </w:rPr>
              <w:t>2.16 (1.67-2.79)</w:t>
            </w:r>
          </w:p>
        </w:tc>
      </w:tr>
      <w:tr w:rsidR="00E812DE" w:rsidRPr="00E812DE" w:rsidTr="00E812DE">
        <w:trPr>
          <w:trHeight w:val="410"/>
        </w:trPr>
        <w:tc>
          <w:tcPr>
            <w:tcW w:w="3434" w:type="dxa"/>
            <w:vAlign w:val="center"/>
          </w:tcPr>
          <w:p w:rsidR="00E812DE" w:rsidRPr="00E812DE" w:rsidRDefault="00E812DE" w:rsidP="00E812DE">
            <w:pPr>
              <w:spacing w:line="312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E812DE">
              <w:rPr>
                <w:rFonts w:ascii="Arial" w:hAnsi="Arial" w:cs="Arial"/>
                <w:sz w:val="16"/>
                <w:szCs w:val="16"/>
                <w:lang w:val="en-US"/>
              </w:rPr>
              <w:t>Diseases of the genitourinary system (N00-N99)</w:t>
            </w:r>
          </w:p>
        </w:tc>
        <w:tc>
          <w:tcPr>
            <w:tcW w:w="1661" w:type="dxa"/>
            <w:vAlign w:val="center"/>
          </w:tcPr>
          <w:p w:rsidR="00E812DE" w:rsidRPr="00E812DE" w:rsidRDefault="00E812DE" w:rsidP="00E812DE">
            <w:pPr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47 (1.0)</w:t>
            </w:r>
          </w:p>
        </w:tc>
        <w:tc>
          <w:tcPr>
            <w:tcW w:w="1742" w:type="dxa"/>
            <w:vAlign w:val="center"/>
          </w:tcPr>
          <w:p w:rsidR="00E812DE" w:rsidRPr="00E812DE" w:rsidRDefault="00E812DE" w:rsidP="00E812DE">
            <w:pPr>
              <w:spacing w:line="312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812DE">
              <w:rPr>
                <w:rFonts w:ascii="Arial" w:hAnsi="Arial" w:cs="Arial"/>
                <w:color w:val="000000"/>
                <w:sz w:val="16"/>
                <w:szCs w:val="16"/>
              </w:rPr>
              <w:t>3.37 (2.53-4.48)</w:t>
            </w:r>
          </w:p>
        </w:tc>
        <w:tc>
          <w:tcPr>
            <w:tcW w:w="1675" w:type="dxa"/>
            <w:vAlign w:val="center"/>
          </w:tcPr>
          <w:p w:rsidR="00E812DE" w:rsidRPr="00E812DE" w:rsidRDefault="00E812DE" w:rsidP="00E812DE">
            <w:pPr>
              <w:spacing w:line="312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812DE">
              <w:rPr>
                <w:rFonts w:ascii="Arial" w:hAnsi="Arial" w:cs="Arial"/>
                <w:color w:val="000000"/>
                <w:sz w:val="16"/>
                <w:szCs w:val="16"/>
              </w:rPr>
              <w:t>48 (1.2)</w:t>
            </w:r>
          </w:p>
        </w:tc>
        <w:tc>
          <w:tcPr>
            <w:tcW w:w="1680" w:type="dxa"/>
            <w:vAlign w:val="center"/>
          </w:tcPr>
          <w:p w:rsidR="00E812DE" w:rsidRPr="00E812DE" w:rsidRDefault="00E812DE" w:rsidP="00E812DE">
            <w:pPr>
              <w:spacing w:line="312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812DE">
              <w:rPr>
                <w:rFonts w:ascii="Arial" w:hAnsi="Arial" w:cs="Arial"/>
                <w:color w:val="000000"/>
                <w:sz w:val="16"/>
                <w:szCs w:val="16"/>
              </w:rPr>
              <w:t>4.81 (3.63-6.39)</w:t>
            </w:r>
          </w:p>
        </w:tc>
      </w:tr>
      <w:tr w:rsidR="00E812DE" w:rsidRPr="00E812DE" w:rsidTr="00E812DE">
        <w:trPr>
          <w:trHeight w:val="433"/>
        </w:trPr>
        <w:tc>
          <w:tcPr>
            <w:tcW w:w="3434" w:type="dxa"/>
            <w:vAlign w:val="center"/>
          </w:tcPr>
          <w:p w:rsidR="00E812DE" w:rsidRPr="00E812DE" w:rsidRDefault="00E812DE" w:rsidP="00E812DE">
            <w:pPr>
              <w:spacing w:line="312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E812DE">
              <w:rPr>
                <w:rFonts w:ascii="Arial" w:hAnsi="Arial" w:cs="Arial"/>
                <w:sz w:val="16"/>
                <w:szCs w:val="16"/>
                <w:lang w:val="en-US"/>
              </w:rPr>
              <w:t>Certain infectious and parasitic diseases (A00-B99)</w:t>
            </w:r>
          </w:p>
        </w:tc>
        <w:tc>
          <w:tcPr>
            <w:tcW w:w="1661" w:type="dxa"/>
            <w:vAlign w:val="center"/>
          </w:tcPr>
          <w:p w:rsidR="00E812DE" w:rsidRPr="00E812DE" w:rsidRDefault="00E812DE" w:rsidP="00E812DE">
            <w:pPr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53 (1.1)</w:t>
            </w:r>
          </w:p>
        </w:tc>
        <w:tc>
          <w:tcPr>
            <w:tcW w:w="1742" w:type="dxa"/>
            <w:vAlign w:val="center"/>
          </w:tcPr>
          <w:p w:rsidR="00E812DE" w:rsidRPr="00E812DE" w:rsidRDefault="00E812DE" w:rsidP="00E812DE">
            <w:pPr>
              <w:spacing w:line="312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812DE">
              <w:rPr>
                <w:rFonts w:ascii="Arial" w:hAnsi="Arial" w:cs="Arial"/>
                <w:color w:val="000000"/>
                <w:sz w:val="16"/>
                <w:szCs w:val="16"/>
              </w:rPr>
              <w:t>3.71 (2.83-4.85)</w:t>
            </w:r>
          </w:p>
        </w:tc>
        <w:tc>
          <w:tcPr>
            <w:tcW w:w="1675" w:type="dxa"/>
            <w:vAlign w:val="center"/>
          </w:tcPr>
          <w:p w:rsidR="00E812DE" w:rsidRPr="00E812DE" w:rsidRDefault="00E812DE" w:rsidP="00E812DE">
            <w:pPr>
              <w:spacing w:line="312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812DE">
              <w:rPr>
                <w:rFonts w:ascii="Arial" w:hAnsi="Arial" w:cs="Arial"/>
                <w:color w:val="000000"/>
                <w:sz w:val="16"/>
                <w:szCs w:val="16"/>
              </w:rPr>
              <w:t>37 (0.9)</w:t>
            </w:r>
          </w:p>
        </w:tc>
        <w:tc>
          <w:tcPr>
            <w:tcW w:w="1680" w:type="dxa"/>
            <w:vAlign w:val="center"/>
          </w:tcPr>
          <w:p w:rsidR="00E812DE" w:rsidRPr="00E812DE" w:rsidRDefault="00E812DE" w:rsidP="00E812DE">
            <w:pPr>
              <w:spacing w:line="312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812DE">
              <w:rPr>
                <w:rFonts w:ascii="Arial" w:hAnsi="Arial" w:cs="Arial"/>
                <w:color w:val="000000"/>
                <w:sz w:val="16"/>
                <w:szCs w:val="16"/>
              </w:rPr>
              <w:t>3.86 (2.79-5.32)</w:t>
            </w:r>
          </w:p>
        </w:tc>
      </w:tr>
      <w:tr w:rsidR="00E812DE" w:rsidRPr="00E812DE" w:rsidTr="00E812DE">
        <w:trPr>
          <w:trHeight w:val="410"/>
        </w:trPr>
        <w:tc>
          <w:tcPr>
            <w:tcW w:w="3434" w:type="dxa"/>
            <w:vAlign w:val="center"/>
          </w:tcPr>
          <w:p w:rsidR="00E812DE" w:rsidRPr="00E812DE" w:rsidRDefault="00E812DE" w:rsidP="00E812DE">
            <w:pPr>
              <w:spacing w:line="312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E812DE">
              <w:rPr>
                <w:rFonts w:ascii="Arial" w:hAnsi="Arial" w:cs="Arial"/>
                <w:sz w:val="16"/>
                <w:szCs w:val="16"/>
                <w:lang w:val="en-US"/>
              </w:rPr>
              <w:t>Endocrine, nutritional and metabolic diseases (E00-E90)</w:t>
            </w:r>
          </w:p>
        </w:tc>
        <w:tc>
          <w:tcPr>
            <w:tcW w:w="1661" w:type="dxa"/>
            <w:vAlign w:val="center"/>
          </w:tcPr>
          <w:p w:rsidR="00E812DE" w:rsidRPr="00E812DE" w:rsidRDefault="00E812DE" w:rsidP="00E812DE">
            <w:pPr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39 (0.8)</w:t>
            </w:r>
          </w:p>
        </w:tc>
        <w:tc>
          <w:tcPr>
            <w:tcW w:w="1742" w:type="dxa"/>
            <w:vAlign w:val="center"/>
          </w:tcPr>
          <w:p w:rsidR="00E812DE" w:rsidRPr="00E812DE" w:rsidRDefault="00E812DE" w:rsidP="00E812DE">
            <w:pPr>
              <w:spacing w:line="312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812DE">
              <w:rPr>
                <w:rFonts w:ascii="Arial" w:hAnsi="Arial" w:cs="Arial"/>
                <w:color w:val="000000"/>
                <w:sz w:val="16"/>
                <w:szCs w:val="16"/>
              </w:rPr>
              <w:t>2.88 (2.11-3.95)</w:t>
            </w:r>
          </w:p>
        </w:tc>
        <w:tc>
          <w:tcPr>
            <w:tcW w:w="1675" w:type="dxa"/>
            <w:vAlign w:val="center"/>
          </w:tcPr>
          <w:p w:rsidR="00E812DE" w:rsidRPr="00E812DE" w:rsidRDefault="00E812DE" w:rsidP="00E812DE">
            <w:pPr>
              <w:spacing w:line="312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812DE">
              <w:rPr>
                <w:rFonts w:ascii="Arial" w:hAnsi="Arial" w:cs="Arial"/>
                <w:color w:val="000000"/>
                <w:sz w:val="16"/>
                <w:szCs w:val="16"/>
              </w:rPr>
              <w:t>32 (0.8)</w:t>
            </w:r>
          </w:p>
        </w:tc>
        <w:tc>
          <w:tcPr>
            <w:tcW w:w="1680" w:type="dxa"/>
            <w:vAlign w:val="center"/>
          </w:tcPr>
          <w:p w:rsidR="00E812DE" w:rsidRPr="00E812DE" w:rsidRDefault="00E812DE" w:rsidP="00E812DE">
            <w:pPr>
              <w:spacing w:line="312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812DE">
              <w:rPr>
                <w:rFonts w:ascii="Arial" w:hAnsi="Arial" w:cs="Arial"/>
                <w:color w:val="000000"/>
                <w:sz w:val="16"/>
                <w:szCs w:val="16"/>
              </w:rPr>
              <w:t>3.26 (2.31-4.61)</w:t>
            </w:r>
          </w:p>
        </w:tc>
      </w:tr>
      <w:tr w:rsidR="00E812DE" w:rsidRPr="00E812DE" w:rsidTr="00E812DE">
        <w:trPr>
          <w:trHeight w:val="433"/>
        </w:trPr>
        <w:tc>
          <w:tcPr>
            <w:tcW w:w="3434" w:type="dxa"/>
            <w:vAlign w:val="center"/>
          </w:tcPr>
          <w:p w:rsidR="00E812DE" w:rsidRPr="00E812DE" w:rsidRDefault="00E812DE" w:rsidP="00E812DE">
            <w:pPr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Gastrointestinal diseases (K00-K93)</w:t>
            </w:r>
          </w:p>
        </w:tc>
        <w:tc>
          <w:tcPr>
            <w:tcW w:w="1661" w:type="dxa"/>
            <w:vAlign w:val="center"/>
          </w:tcPr>
          <w:p w:rsidR="00E812DE" w:rsidRPr="00E812DE" w:rsidRDefault="00E812DE" w:rsidP="00E812DE">
            <w:pPr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38 (0.8)</w:t>
            </w:r>
          </w:p>
        </w:tc>
        <w:tc>
          <w:tcPr>
            <w:tcW w:w="1742" w:type="dxa"/>
            <w:vAlign w:val="center"/>
          </w:tcPr>
          <w:p w:rsidR="00E812DE" w:rsidRPr="00E812DE" w:rsidRDefault="00E812DE" w:rsidP="00E812DE">
            <w:pPr>
              <w:spacing w:line="312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812DE">
              <w:rPr>
                <w:rFonts w:ascii="Arial" w:hAnsi="Arial" w:cs="Arial"/>
                <w:color w:val="000000"/>
                <w:sz w:val="16"/>
                <w:szCs w:val="16"/>
              </w:rPr>
              <w:t>1.62 (1.18-2.22)</w:t>
            </w:r>
          </w:p>
        </w:tc>
        <w:tc>
          <w:tcPr>
            <w:tcW w:w="1675" w:type="dxa"/>
            <w:vAlign w:val="center"/>
          </w:tcPr>
          <w:p w:rsidR="00E812DE" w:rsidRPr="00E812DE" w:rsidRDefault="00E812DE" w:rsidP="00E812DE">
            <w:pPr>
              <w:spacing w:line="312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812DE">
              <w:rPr>
                <w:rFonts w:ascii="Arial" w:hAnsi="Arial" w:cs="Arial"/>
                <w:color w:val="000000"/>
                <w:sz w:val="16"/>
                <w:szCs w:val="16"/>
              </w:rPr>
              <w:t>28 (0.7)</w:t>
            </w:r>
          </w:p>
        </w:tc>
        <w:tc>
          <w:tcPr>
            <w:tcW w:w="1680" w:type="dxa"/>
            <w:vAlign w:val="center"/>
          </w:tcPr>
          <w:p w:rsidR="00E812DE" w:rsidRPr="00E812DE" w:rsidRDefault="00E812DE" w:rsidP="00E812DE">
            <w:pPr>
              <w:spacing w:line="312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812DE">
              <w:rPr>
                <w:rFonts w:ascii="Arial" w:hAnsi="Arial" w:cs="Arial"/>
                <w:color w:val="000000"/>
                <w:sz w:val="16"/>
                <w:szCs w:val="16"/>
              </w:rPr>
              <w:t>1.87 (1.29-2.70)</w:t>
            </w:r>
          </w:p>
        </w:tc>
      </w:tr>
      <w:tr w:rsidR="00E812DE" w:rsidRPr="00E812DE" w:rsidTr="00E812DE">
        <w:trPr>
          <w:trHeight w:val="410"/>
        </w:trPr>
        <w:tc>
          <w:tcPr>
            <w:tcW w:w="3434" w:type="dxa"/>
            <w:vAlign w:val="center"/>
          </w:tcPr>
          <w:p w:rsidR="00E812DE" w:rsidRPr="00E812DE" w:rsidRDefault="00E812DE" w:rsidP="00E812DE">
            <w:pPr>
              <w:spacing w:line="312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E812DE">
              <w:rPr>
                <w:rFonts w:ascii="Arial" w:hAnsi="Arial" w:cs="Arial"/>
                <w:sz w:val="16"/>
                <w:szCs w:val="16"/>
                <w:lang w:val="en-US"/>
              </w:rPr>
              <w:t>Mental and behavioural disorders (F00-F99)</w:t>
            </w:r>
          </w:p>
        </w:tc>
        <w:tc>
          <w:tcPr>
            <w:tcW w:w="1661" w:type="dxa"/>
            <w:vAlign w:val="center"/>
          </w:tcPr>
          <w:p w:rsidR="00E812DE" w:rsidRPr="00E812DE" w:rsidRDefault="00E812DE" w:rsidP="00E812DE">
            <w:pPr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15 (0.3)</w:t>
            </w:r>
          </w:p>
        </w:tc>
        <w:tc>
          <w:tcPr>
            <w:tcW w:w="1742" w:type="dxa"/>
            <w:vAlign w:val="center"/>
          </w:tcPr>
          <w:p w:rsidR="00E812DE" w:rsidRPr="00E812DE" w:rsidRDefault="00E812DE" w:rsidP="00E812DE">
            <w:pPr>
              <w:spacing w:line="312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812DE">
              <w:rPr>
                <w:rFonts w:ascii="Arial" w:hAnsi="Arial" w:cs="Arial"/>
                <w:color w:val="000000"/>
                <w:sz w:val="16"/>
                <w:szCs w:val="16"/>
              </w:rPr>
              <w:t>0.90 (0.54-1.49)</w:t>
            </w:r>
          </w:p>
        </w:tc>
        <w:tc>
          <w:tcPr>
            <w:tcW w:w="1675" w:type="dxa"/>
            <w:vAlign w:val="center"/>
          </w:tcPr>
          <w:p w:rsidR="00E812DE" w:rsidRPr="00E812DE" w:rsidRDefault="00E812DE" w:rsidP="00E812DE">
            <w:pPr>
              <w:spacing w:line="312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812DE">
              <w:rPr>
                <w:rFonts w:ascii="Arial" w:hAnsi="Arial" w:cs="Arial"/>
                <w:color w:val="000000"/>
                <w:sz w:val="16"/>
                <w:szCs w:val="16"/>
              </w:rPr>
              <w:t>15 (0.4)</w:t>
            </w:r>
          </w:p>
        </w:tc>
        <w:tc>
          <w:tcPr>
            <w:tcW w:w="1680" w:type="dxa"/>
            <w:vAlign w:val="center"/>
          </w:tcPr>
          <w:p w:rsidR="00E812DE" w:rsidRPr="00E812DE" w:rsidRDefault="00E812DE" w:rsidP="00E812DE">
            <w:pPr>
              <w:spacing w:line="312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812DE">
              <w:rPr>
                <w:rFonts w:ascii="Arial" w:hAnsi="Arial" w:cs="Arial"/>
                <w:color w:val="000000"/>
                <w:sz w:val="16"/>
                <w:szCs w:val="16"/>
              </w:rPr>
              <w:t>0.98 (0.59-1.63)</w:t>
            </w:r>
          </w:p>
        </w:tc>
      </w:tr>
      <w:tr w:rsidR="00E812DE" w:rsidRPr="00E812DE" w:rsidTr="00E812DE">
        <w:trPr>
          <w:trHeight w:val="433"/>
        </w:trPr>
        <w:tc>
          <w:tcPr>
            <w:tcW w:w="3434" w:type="dxa"/>
            <w:vAlign w:val="center"/>
          </w:tcPr>
          <w:p w:rsidR="00E812DE" w:rsidRPr="00E812DE" w:rsidRDefault="00E812DE" w:rsidP="00E812DE">
            <w:pPr>
              <w:spacing w:line="312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E812DE">
              <w:rPr>
                <w:rFonts w:ascii="Arial" w:hAnsi="Arial" w:cs="Arial"/>
                <w:sz w:val="16"/>
                <w:szCs w:val="16"/>
                <w:lang w:val="en-US"/>
              </w:rPr>
              <w:t>Diseases of the nervous system and sensory organs   (G00-H95)</w:t>
            </w:r>
          </w:p>
        </w:tc>
        <w:tc>
          <w:tcPr>
            <w:tcW w:w="1661" w:type="dxa"/>
            <w:vAlign w:val="center"/>
          </w:tcPr>
          <w:p w:rsidR="00E812DE" w:rsidRPr="00E812DE" w:rsidRDefault="00E812DE" w:rsidP="00E812DE">
            <w:pPr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12 (0.3)</w:t>
            </w:r>
          </w:p>
        </w:tc>
        <w:tc>
          <w:tcPr>
            <w:tcW w:w="1742" w:type="dxa"/>
            <w:vAlign w:val="center"/>
          </w:tcPr>
          <w:p w:rsidR="00E812DE" w:rsidRPr="00E812DE" w:rsidRDefault="00E812DE" w:rsidP="00E812DE">
            <w:pPr>
              <w:spacing w:line="312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812DE">
              <w:rPr>
                <w:rFonts w:ascii="Arial" w:hAnsi="Arial" w:cs="Arial"/>
                <w:color w:val="000000"/>
                <w:sz w:val="16"/>
                <w:szCs w:val="16"/>
              </w:rPr>
              <w:t>0.68 (0.39-1.20)</w:t>
            </w:r>
          </w:p>
        </w:tc>
        <w:tc>
          <w:tcPr>
            <w:tcW w:w="1675" w:type="dxa"/>
            <w:vAlign w:val="center"/>
          </w:tcPr>
          <w:p w:rsidR="00E812DE" w:rsidRPr="00E812DE" w:rsidRDefault="00E812DE" w:rsidP="00E812DE">
            <w:pPr>
              <w:spacing w:line="312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812DE">
              <w:rPr>
                <w:rFonts w:ascii="Arial" w:hAnsi="Arial" w:cs="Arial"/>
                <w:color w:val="000000"/>
                <w:sz w:val="16"/>
                <w:szCs w:val="16"/>
              </w:rPr>
              <w:t>13 (0.3)</w:t>
            </w:r>
          </w:p>
        </w:tc>
        <w:tc>
          <w:tcPr>
            <w:tcW w:w="1680" w:type="dxa"/>
            <w:vAlign w:val="center"/>
          </w:tcPr>
          <w:p w:rsidR="00E812DE" w:rsidRPr="00E812DE" w:rsidRDefault="00E812DE" w:rsidP="00E812DE">
            <w:pPr>
              <w:spacing w:line="312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812DE">
              <w:rPr>
                <w:rFonts w:ascii="Arial" w:hAnsi="Arial" w:cs="Arial"/>
                <w:color w:val="000000"/>
                <w:sz w:val="16"/>
                <w:szCs w:val="16"/>
              </w:rPr>
              <w:t>1.14 (0.66-1.97)</w:t>
            </w:r>
          </w:p>
        </w:tc>
      </w:tr>
      <w:tr w:rsidR="00E812DE" w:rsidRPr="00E812DE" w:rsidTr="00E812DE">
        <w:trPr>
          <w:trHeight w:val="433"/>
        </w:trPr>
        <w:tc>
          <w:tcPr>
            <w:tcW w:w="3434" w:type="dxa"/>
            <w:vAlign w:val="center"/>
          </w:tcPr>
          <w:p w:rsidR="00E812DE" w:rsidRPr="00E812DE" w:rsidRDefault="00E812DE" w:rsidP="00E812DE">
            <w:pPr>
              <w:spacing w:line="312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E812DE">
              <w:rPr>
                <w:rFonts w:ascii="Arial" w:hAnsi="Arial" w:cs="Arial"/>
                <w:sz w:val="16"/>
                <w:szCs w:val="16"/>
                <w:lang w:val="en-US"/>
              </w:rPr>
              <w:t>Non-informative causes of death (R00-R94, R95-R99)</w:t>
            </w:r>
          </w:p>
        </w:tc>
        <w:tc>
          <w:tcPr>
            <w:tcW w:w="1661" w:type="dxa"/>
            <w:vAlign w:val="center"/>
          </w:tcPr>
          <w:p w:rsidR="00E812DE" w:rsidRPr="00E812DE" w:rsidRDefault="00E812DE" w:rsidP="00E812DE">
            <w:pPr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63 (1.4)</w:t>
            </w:r>
          </w:p>
        </w:tc>
        <w:tc>
          <w:tcPr>
            <w:tcW w:w="1742" w:type="dxa"/>
            <w:vAlign w:val="center"/>
          </w:tcPr>
          <w:p w:rsidR="00E812DE" w:rsidRPr="00E812DE" w:rsidRDefault="00E812DE" w:rsidP="00E812DE">
            <w:pPr>
              <w:spacing w:line="312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812DE">
              <w:rPr>
                <w:rFonts w:ascii="Arial" w:hAnsi="Arial" w:cs="Arial"/>
                <w:color w:val="000000"/>
                <w:sz w:val="16"/>
                <w:szCs w:val="16"/>
              </w:rPr>
              <w:t>1.91 (1.49-2.44)</w:t>
            </w:r>
          </w:p>
        </w:tc>
        <w:tc>
          <w:tcPr>
            <w:tcW w:w="1675" w:type="dxa"/>
            <w:vAlign w:val="center"/>
          </w:tcPr>
          <w:p w:rsidR="00E812DE" w:rsidRPr="00E812DE" w:rsidRDefault="00E812DE" w:rsidP="00E812DE">
            <w:pPr>
              <w:spacing w:line="312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812DE">
              <w:rPr>
                <w:rFonts w:ascii="Arial" w:hAnsi="Arial" w:cs="Arial"/>
                <w:color w:val="000000"/>
                <w:sz w:val="16"/>
                <w:szCs w:val="16"/>
              </w:rPr>
              <w:t>36 (0.9)</w:t>
            </w:r>
          </w:p>
        </w:tc>
        <w:tc>
          <w:tcPr>
            <w:tcW w:w="1680" w:type="dxa"/>
            <w:vAlign w:val="center"/>
          </w:tcPr>
          <w:p w:rsidR="00E812DE" w:rsidRPr="00E812DE" w:rsidRDefault="00E812DE" w:rsidP="00E812DE">
            <w:pPr>
              <w:spacing w:line="312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812DE">
              <w:rPr>
                <w:rFonts w:ascii="Arial" w:hAnsi="Arial" w:cs="Arial"/>
                <w:color w:val="000000"/>
                <w:sz w:val="16"/>
                <w:szCs w:val="16"/>
              </w:rPr>
              <w:t>2.16 (1.56-3.00)</w:t>
            </w:r>
          </w:p>
        </w:tc>
      </w:tr>
      <w:tr w:rsidR="00E812DE" w:rsidRPr="00E812DE" w:rsidTr="00E812DE">
        <w:trPr>
          <w:trHeight w:val="433"/>
        </w:trPr>
        <w:tc>
          <w:tcPr>
            <w:tcW w:w="3434" w:type="dxa"/>
            <w:vAlign w:val="center"/>
          </w:tcPr>
          <w:p w:rsidR="00E812DE" w:rsidRPr="00997710" w:rsidRDefault="00997710" w:rsidP="00E812DE">
            <w:pPr>
              <w:spacing w:line="312" w:lineRule="auto"/>
              <w:rPr>
                <w:rFonts w:ascii="Arial" w:hAnsi="Arial" w:cs="Arial"/>
                <w:sz w:val="16"/>
                <w:szCs w:val="16"/>
                <w:vertAlign w:val="superscript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Unknown </w:t>
            </w:r>
            <w:r>
              <w:rPr>
                <w:rFonts w:ascii="Arial" w:hAnsi="Arial" w:cs="Arial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661" w:type="dxa"/>
            <w:vAlign w:val="center"/>
          </w:tcPr>
          <w:p w:rsidR="00E812DE" w:rsidRPr="00E812DE" w:rsidRDefault="00E812DE" w:rsidP="00E812DE">
            <w:pPr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E812DE">
              <w:rPr>
                <w:rFonts w:ascii="Arial" w:hAnsi="Arial" w:cs="Arial"/>
                <w:sz w:val="16"/>
                <w:szCs w:val="16"/>
              </w:rPr>
              <w:t>83 (1.8)</w:t>
            </w:r>
          </w:p>
        </w:tc>
        <w:tc>
          <w:tcPr>
            <w:tcW w:w="1742" w:type="dxa"/>
            <w:vAlign w:val="center"/>
          </w:tcPr>
          <w:p w:rsidR="00E812DE" w:rsidRPr="00E812DE" w:rsidRDefault="00E812DE" w:rsidP="00E812DE">
            <w:pPr>
              <w:spacing w:line="312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812DE">
              <w:rPr>
                <w:rFonts w:ascii="Arial" w:hAnsi="Arial" w:cs="Arial"/>
                <w:color w:val="000000"/>
                <w:sz w:val="16"/>
                <w:szCs w:val="16"/>
              </w:rPr>
              <w:t>-</w:t>
            </w:r>
          </w:p>
        </w:tc>
        <w:tc>
          <w:tcPr>
            <w:tcW w:w="1675" w:type="dxa"/>
            <w:vAlign w:val="center"/>
          </w:tcPr>
          <w:p w:rsidR="00E812DE" w:rsidRPr="00E812DE" w:rsidRDefault="00E812DE" w:rsidP="00E812DE">
            <w:pPr>
              <w:spacing w:line="312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812DE">
              <w:rPr>
                <w:rFonts w:ascii="Arial" w:hAnsi="Arial" w:cs="Arial"/>
                <w:color w:val="000000"/>
                <w:sz w:val="16"/>
                <w:szCs w:val="16"/>
              </w:rPr>
              <w:t>47 (1.2)</w:t>
            </w:r>
          </w:p>
        </w:tc>
        <w:tc>
          <w:tcPr>
            <w:tcW w:w="1680" w:type="dxa"/>
            <w:vAlign w:val="center"/>
          </w:tcPr>
          <w:p w:rsidR="00E812DE" w:rsidRPr="00E812DE" w:rsidRDefault="00E812DE" w:rsidP="00E812DE">
            <w:pPr>
              <w:spacing w:line="312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812DE">
              <w:rPr>
                <w:rFonts w:ascii="Arial" w:hAnsi="Arial" w:cs="Arial"/>
                <w:color w:val="000000"/>
                <w:sz w:val="16"/>
                <w:szCs w:val="16"/>
              </w:rPr>
              <w:t>-</w:t>
            </w:r>
          </w:p>
        </w:tc>
      </w:tr>
    </w:tbl>
    <w:p w:rsidR="00997710" w:rsidRPr="00E812DE" w:rsidRDefault="00E812DE" w:rsidP="00E812DE">
      <w:pPr>
        <w:rPr>
          <w:rFonts w:ascii="Arial" w:hAnsi="Arial" w:cs="Arial"/>
          <w:lang w:val="en-US"/>
        </w:rPr>
      </w:pPr>
      <w:r w:rsidRPr="00E812DE">
        <w:rPr>
          <w:rFonts w:ascii="Arial" w:hAnsi="Arial" w:cs="Arial"/>
          <w:lang w:val="en-US"/>
        </w:rPr>
        <w:t xml:space="preserve">Selected causes of death by ICD-10 chapter among </w:t>
      </w:r>
      <w:r w:rsidR="00D6272D">
        <w:rPr>
          <w:rFonts w:ascii="Arial" w:hAnsi="Arial" w:cs="Arial"/>
          <w:lang w:val="en-US"/>
        </w:rPr>
        <w:t xml:space="preserve">patients with multiple myeloma, </w:t>
      </w:r>
      <w:r w:rsidR="00822BEE">
        <w:rPr>
          <w:rFonts w:ascii="Arial" w:hAnsi="Arial" w:cs="Arial"/>
          <w:lang w:val="en-US"/>
        </w:rPr>
        <w:t>stratified by sex</w:t>
      </w:r>
      <w:bookmarkStart w:id="0" w:name="_GoBack"/>
      <w:bookmarkEnd w:id="0"/>
    </w:p>
    <w:p w:rsidR="00E812DE" w:rsidRPr="00E812DE" w:rsidRDefault="00E812DE" w:rsidP="00E812DE">
      <w:pPr>
        <w:rPr>
          <w:rFonts w:ascii="Arial" w:hAnsi="Arial" w:cs="Arial"/>
          <w:lang w:val="en-US"/>
        </w:rPr>
      </w:pPr>
    </w:p>
    <w:p w:rsidR="00E812DE" w:rsidRPr="00E812DE" w:rsidRDefault="00997710" w:rsidP="00E812DE">
      <w:pPr>
        <w:rPr>
          <w:rFonts w:ascii="Arial" w:hAnsi="Arial" w:cs="Arial"/>
          <w:lang w:val="en-US"/>
        </w:rPr>
      </w:pPr>
      <w:proofErr w:type="gramStart"/>
      <w:r>
        <w:rPr>
          <w:rFonts w:ascii="Arial" w:hAnsi="Arial" w:cs="Arial"/>
          <w:vertAlign w:val="superscript"/>
          <w:lang w:val="en-US"/>
        </w:rPr>
        <w:t xml:space="preserve">a </w:t>
      </w:r>
      <w:r w:rsidR="00E812DE" w:rsidRPr="00E812DE">
        <w:rPr>
          <w:rFonts w:ascii="Arial" w:hAnsi="Arial" w:cs="Arial"/>
          <w:lang w:val="en-US"/>
        </w:rPr>
        <w:t>Confirmed deaths</w:t>
      </w:r>
      <w:proofErr w:type="gramEnd"/>
      <w:r w:rsidR="00E812DE" w:rsidRPr="00E812DE">
        <w:rPr>
          <w:rFonts w:ascii="Arial" w:hAnsi="Arial" w:cs="Arial"/>
          <w:lang w:val="en-US"/>
        </w:rPr>
        <w:t xml:space="preserve"> </w:t>
      </w:r>
      <w:r w:rsidR="005D5094">
        <w:rPr>
          <w:rFonts w:ascii="Arial" w:hAnsi="Arial" w:cs="Arial"/>
          <w:lang w:val="en-US"/>
        </w:rPr>
        <w:t>which</w:t>
      </w:r>
      <w:r w:rsidR="00E812DE" w:rsidRPr="00E812DE">
        <w:rPr>
          <w:rFonts w:ascii="Arial" w:hAnsi="Arial" w:cs="Arial"/>
          <w:lang w:val="en-US"/>
        </w:rPr>
        <w:t xml:space="preserve"> could not be assigned to a cause of death</w:t>
      </w:r>
    </w:p>
    <w:p w:rsidR="00E812DE" w:rsidRPr="00E812DE" w:rsidRDefault="00D6272D" w:rsidP="00E812DE">
      <w:pPr>
        <w:rPr>
          <w:rFonts w:ascii="Arial" w:hAnsi="Arial" w:cs="Arial"/>
          <w:lang w:val="en-US"/>
        </w:rPr>
      </w:pPr>
      <w:r w:rsidRPr="00D6272D">
        <w:rPr>
          <w:rFonts w:ascii="Arial" w:hAnsi="Arial" w:cs="Arial"/>
          <w:lang w:val="en-US"/>
        </w:rPr>
        <w:t xml:space="preserve">Patients diagnosed 2010-2019 living in North Rhine-Westphalia were included. </w:t>
      </w:r>
      <w:r w:rsidR="00E812DE" w:rsidRPr="00E812DE">
        <w:rPr>
          <w:rFonts w:ascii="Arial" w:hAnsi="Arial" w:cs="Arial"/>
          <w:lang w:val="en-US"/>
        </w:rPr>
        <w:t>Abbrev</w:t>
      </w:r>
      <w:r w:rsidR="003B7279">
        <w:rPr>
          <w:rFonts w:ascii="Arial" w:hAnsi="Arial" w:cs="Arial"/>
          <w:lang w:val="en-US"/>
        </w:rPr>
        <w:t>i</w:t>
      </w:r>
      <w:r w:rsidR="00E812DE" w:rsidRPr="00E812DE">
        <w:rPr>
          <w:rFonts w:ascii="Arial" w:hAnsi="Arial" w:cs="Arial"/>
          <w:lang w:val="en-US"/>
        </w:rPr>
        <w:t xml:space="preserve">ations: SMR, age-standardised mortality ratio; CI, confidence interval; DCO, death certificate only </w:t>
      </w:r>
    </w:p>
    <w:p w:rsidR="00E812DE" w:rsidRDefault="00E812DE"/>
    <w:sectPr w:rsidR="00E812DE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35A4"/>
    <w:rsid w:val="003B7279"/>
    <w:rsid w:val="003D0D4F"/>
    <w:rsid w:val="00455D95"/>
    <w:rsid w:val="005D5094"/>
    <w:rsid w:val="00804BF8"/>
    <w:rsid w:val="00822BEE"/>
    <w:rsid w:val="00885EE9"/>
    <w:rsid w:val="00997710"/>
    <w:rsid w:val="00B435A4"/>
    <w:rsid w:val="00D6272D"/>
    <w:rsid w:val="00E812DE"/>
    <w:rsid w:val="00F82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461B7F"/>
  <w15:chartTrackingRefBased/>
  <w15:docId w15:val="{14ED3885-344A-46DB-B732-12DE5B6343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B435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421</Words>
  <Characters>2659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Eisfeld, Christine</dc:creator>
  <cp:keywords/>
  <dc:description/>
  <cp:lastModifiedBy>Eisfeld, Christine</cp:lastModifiedBy>
  <cp:revision>4</cp:revision>
  <dcterms:created xsi:type="dcterms:W3CDTF">2023-01-02T16:16:00Z</dcterms:created>
  <dcterms:modified xsi:type="dcterms:W3CDTF">2023-01-02T16:48:00Z</dcterms:modified>
</cp:coreProperties>
</file>