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D0" w:rsidRDefault="005820D0" w:rsidP="005820D0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information</w:t>
      </w:r>
    </w:p>
    <w:p w:rsidR="005820D0" w:rsidRDefault="005820D0" w:rsidP="005820D0">
      <w:pPr>
        <w:spacing w:after="0" w:line="360" w:lineRule="auto"/>
        <w:rPr>
          <w:rFonts w:ascii="Arial" w:hAnsi="Arial" w:cs="Arial"/>
        </w:rPr>
      </w:pPr>
      <w:bookmarkStart w:id="0" w:name="_Hlk108704559"/>
      <w:r w:rsidRPr="0039031D">
        <w:rPr>
          <w:rFonts w:ascii="Arial" w:hAnsi="Arial" w:cs="Arial"/>
          <w:b/>
          <w:bCs/>
        </w:rPr>
        <w:t>Supplementary Table 1.</w:t>
      </w:r>
      <w:r w:rsidRPr="00FF320F">
        <w:rPr>
          <w:rFonts w:ascii="Arial" w:hAnsi="Arial" w:cs="Arial"/>
        </w:rPr>
        <w:t xml:space="preserve"> Neuropathological characteristics of </w:t>
      </w:r>
      <w:r>
        <w:rPr>
          <w:rFonts w:ascii="Arial" w:hAnsi="Arial" w:cs="Arial"/>
        </w:rPr>
        <w:t xml:space="preserve">all included </w:t>
      </w:r>
      <w:r w:rsidRPr="00FF320F">
        <w:rPr>
          <w:rFonts w:ascii="Arial" w:hAnsi="Arial" w:cs="Arial"/>
        </w:rPr>
        <w:t>donors</w:t>
      </w:r>
      <w:r>
        <w:rPr>
          <w:rFonts w:ascii="Arial" w:hAnsi="Arial" w:cs="Arial"/>
        </w:rPr>
        <w:t>.</w:t>
      </w:r>
    </w:p>
    <w:tbl>
      <w:tblPr>
        <w:tblStyle w:val="Tabelraster"/>
        <w:tblW w:w="11058" w:type="dxa"/>
        <w:tblInd w:w="-998" w:type="dxa"/>
        <w:tblLook w:val="04A0" w:firstRow="1" w:lastRow="0" w:firstColumn="1" w:lastColumn="0" w:noHBand="0" w:noVBand="1"/>
      </w:tblPr>
      <w:tblGrid>
        <w:gridCol w:w="773"/>
        <w:gridCol w:w="1040"/>
        <w:gridCol w:w="1058"/>
        <w:gridCol w:w="823"/>
        <w:gridCol w:w="2969"/>
        <w:gridCol w:w="1276"/>
        <w:gridCol w:w="851"/>
        <w:gridCol w:w="992"/>
        <w:gridCol w:w="1276"/>
      </w:tblGrid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Case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Group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Gender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Age of death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Cause of death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PMD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C6FB1">
              <w:rPr>
                <w:rFonts w:ascii="Arial" w:hAnsi="Arial" w:cs="Arial"/>
                <w:sz w:val="18"/>
                <w:szCs w:val="18"/>
              </w:rPr>
              <w:t>Braak</w:t>
            </w:r>
            <w:proofErr w:type="spellEnd"/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Amyloid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pH liquor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Suicide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&gt;12:00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Cachexia / dehydration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5:15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6.38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Natural death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5:50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6.40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severe MDD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6:05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Cachexia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5:00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6.20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chronic MDD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4:30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6.80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multiple psychiatric disorders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7:30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6.93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treatment-resistant bipolar disorder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5:45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multiple psychiatric disorders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8:35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refractory MDD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12:45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6.76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progressive MS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9:05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ECT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multiple psychiatric disorders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8:55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6.73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Acute abdomen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4:00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Cachexia by gall bladder carcinoma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5:00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6.11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Dehydration and cachexia. Lithium intoxication.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4:35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6.40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multiple psychiatric disorders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7:55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lastRenderedPageBreak/>
              <w:t>17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Infection, dehydration, cachexia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8:05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6.37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Renal insufficiency, termination dialysis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7:20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5.61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physical and mental impairments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6:15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6.79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Terminal kidney failure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6:00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6.95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Respiratory insufficiency, metastatic prostate cancer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5:30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6.18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Myocardial infarction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6:40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6.51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ovary carcinoma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6:50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6.50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Respiratory failure after acute subdural hematoma with cerebral entrapment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6:40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Metastasized large cell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bronchocarcinoma</w:t>
            </w:r>
            <w:proofErr w:type="spellEnd"/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4:10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6.98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Myelodysplasia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6:55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Infection from unknown causes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7:30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6.8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Suicide by refusing food and water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7:45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7.05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esophageal cancer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7:30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6.88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Ileus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5:00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6.64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Urinary tract infection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4:10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6.09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e</w:t>
            </w:r>
            <w:r w:rsidRPr="000C6FB1">
              <w:rPr>
                <w:rFonts w:ascii="Arial" w:hAnsi="Arial" w:cs="Arial"/>
                <w:sz w:val="18"/>
                <w:szCs w:val="18"/>
              </w:rPr>
              <w:t>uthanasia due to metastatic mammary carcinoma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5:30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7.07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Metastatic pancreatic cancer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3:30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7.37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Myocardial infarction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&lt;12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Myocardial infarction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&lt;10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Dissection aorta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&lt;12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20D0" w:rsidRPr="000C6FB1" w:rsidTr="00A84737">
        <w:tc>
          <w:tcPr>
            <w:tcW w:w="77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lastRenderedPageBreak/>
              <w:t>37</w:t>
            </w:r>
          </w:p>
        </w:tc>
        <w:tc>
          <w:tcPr>
            <w:tcW w:w="1040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1058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823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2969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Myocardial infarction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&lt;12</w:t>
            </w:r>
          </w:p>
        </w:tc>
        <w:tc>
          <w:tcPr>
            <w:tcW w:w="851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C6FB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76" w:type="dxa"/>
          </w:tcPr>
          <w:p w:rsidR="005820D0" w:rsidRPr="000C6FB1" w:rsidRDefault="005820D0" w:rsidP="00A8473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:rsidR="005820D0" w:rsidRDefault="005820D0" w:rsidP="001B2AD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The </w:t>
      </w:r>
      <w:proofErr w:type="spellStart"/>
      <w:r>
        <w:rPr>
          <w:rFonts w:ascii="Arial" w:hAnsi="Arial" w:cs="Arial"/>
          <w:sz w:val="18"/>
          <w:szCs w:val="18"/>
        </w:rPr>
        <w:t>Braak</w:t>
      </w:r>
      <w:proofErr w:type="spellEnd"/>
      <w:r>
        <w:rPr>
          <w:rFonts w:ascii="Arial" w:hAnsi="Arial" w:cs="Arial"/>
          <w:sz w:val="18"/>
          <w:szCs w:val="18"/>
        </w:rPr>
        <w:t xml:space="preserve"> stage is a score for Alzheimer’s disease pathology referring to tau pathology</w:t>
      </w:r>
      <w:r w:rsidR="008C547A">
        <w:rPr>
          <w:rFonts w:ascii="Arial" w:hAnsi="Arial" w:cs="Arial"/>
          <w:sz w:val="18"/>
          <w:szCs w:val="18"/>
        </w:rPr>
        <w:t xml:space="preserve"> </w:t>
      </w:r>
      <w:r w:rsidR="001B2AD2">
        <w:rPr>
          <w:rFonts w:ascii="Arial" w:hAnsi="Arial" w:cs="Arial"/>
          <w:sz w:val="18"/>
          <w:szCs w:val="18"/>
        </w:rPr>
        <w:fldChar w:fldCharType="begin"/>
      </w:r>
      <w:r w:rsidR="001B2AD2">
        <w:rPr>
          <w:rFonts w:ascii="Arial" w:hAnsi="Arial" w:cs="Arial"/>
          <w:sz w:val="18"/>
          <w:szCs w:val="18"/>
        </w:rPr>
        <w:instrText xml:space="preserve"> ADDIN EN.CITE &lt;EndNote&gt;&lt;Cite&gt;&lt;Author&gt;Braak&lt;/Author&gt;&lt;Year&gt;1991&lt;/Year&gt;&lt;RecNum&gt;100&lt;/RecNum&gt;&lt;DisplayText&gt;(1)&lt;/DisplayText&gt;&lt;record&gt;&lt;rec-number&gt;100&lt;/rec-number&gt;&lt;foreign-keys&gt;&lt;key app="EN" db-id="wzwrdw2wbpssdxewawzxwet4r2a9x9vzatzf" timestamp="1670601763"&gt;100&lt;/key&gt;&lt;/foreign-keys&gt;&lt;ref-type name="Journal Article"&gt;17&lt;/ref-type&gt;&lt;contributors&gt;&lt;authors&gt;&lt;author&gt;Braak, H.&lt;/author&gt;&lt;author&gt;Braak, E.&lt;/author&gt;&lt;/authors&gt;&lt;/contributors&gt;&lt;auth-address&gt;Zentrum der Morphologie, Frankfurt/Main, Federal Republic of Germany.&lt;/auth-address&gt;&lt;titles&gt;&lt;title&gt;Neuropathological stageing of Alzheimer-related changes&lt;/title&gt;&lt;secondary-title&gt;Acta Neuropathol&lt;/secondary-title&gt;&lt;/titles&gt;&lt;periodical&gt;&lt;full-title&gt;Acta Neuropathol&lt;/full-title&gt;&lt;/periodical&gt;&lt;pages&gt;239-59&lt;/pages&gt;&lt;volume&gt;82&lt;/volume&gt;&lt;number&gt;4&lt;/number&gt;&lt;keywords&gt;&lt;keyword&gt;Aged&lt;/keyword&gt;&lt;keyword&gt;Aged, 80 and over&lt;/keyword&gt;&lt;keyword&gt;Alzheimer Disease/metabolism/*pathology&lt;/keyword&gt;&lt;keyword&gt;Amyloid/metabolism&lt;/keyword&gt;&lt;keyword&gt;Brain/pathology&lt;/keyword&gt;&lt;keyword&gt;Female&lt;/keyword&gt;&lt;keyword&gt;Histocytochemistry&lt;/keyword&gt;&lt;keyword&gt;Humans&lt;/keyword&gt;&lt;keyword&gt;Male&lt;/keyword&gt;&lt;keyword&gt;Middle Aged&lt;/keyword&gt;&lt;keyword&gt;Neurites/metabolism/ultrastructure&lt;/keyword&gt;&lt;keyword&gt;Neurofibrillary Tangles/metabolism/ultrastructure&lt;/keyword&gt;&lt;/keywords&gt;&lt;dates&gt;&lt;year&gt;1991&lt;/year&gt;&lt;/dates&gt;&lt;isbn&gt;0001-6322 (Print)&amp;#xD;0001-6322&lt;/isbn&gt;&lt;accession-num&gt;1759558&lt;/accession-num&gt;&lt;urls&gt;&lt;/urls&gt;&lt;electronic-resource-num&gt;10.1007/bf00308809&lt;/electronic-resource-num&gt;&lt;remote-database-provider&gt;NLM&lt;/remote-database-provider&gt;&lt;language&gt;eng&lt;/language&gt;&lt;/record&gt;&lt;/Cite&gt;&lt;/EndNote&gt;</w:instrText>
      </w:r>
      <w:r w:rsidR="001B2AD2">
        <w:rPr>
          <w:rFonts w:ascii="Arial" w:hAnsi="Arial" w:cs="Arial"/>
          <w:sz w:val="18"/>
          <w:szCs w:val="18"/>
        </w:rPr>
        <w:fldChar w:fldCharType="separate"/>
      </w:r>
      <w:r w:rsidR="001B2AD2">
        <w:rPr>
          <w:rFonts w:ascii="Arial" w:hAnsi="Arial" w:cs="Arial"/>
          <w:noProof/>
          <w:sz w:val="18"/>
          <w:szCs w:val="18"/>
        </w:rPr>
        <w:t>(1)</w:t>
      </w:r>
      <w:r w:rsidR="001B2AD2">
        <w:rPr>
          <w:rFonts w:ascii="Arial" w:hAnsi="Arial" w:cs="Arial"/>
          <w:sz w:val="18"/>
          <w:szCs w:val="18"/>
        </w:rPr>
        <w:fldChar w:fldCharType="end"/>
      </w:r>
      <w:r w:rsidR="008C54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(0 = no pathology up to 6 = severe pathology), amyloid stands for amyloid pathology (O = no amyloid deposits; A, B, and C represent increasing amyloid deposits). </w:t>
      </w:r>
      <w:r w:rsidRPr="000C6FB1">
        <w:rPr>
          <w:rFonts w:ascii="Arial" w:hAnsi="Arial" w:cs="Arial"/>
          <w:sz w:val="18"/>
          <w:szCs w:val="18"/>
        </w:rPr>
        <w:t>Abbreviations: PMD = post-mortem delay (in hours); ECT = donors who received electroconvulsive therapy; DC = control donors with a</w:t>
      </w:r>
      <w:r>
        <w:rPr>
          <w:rFonts w:ascii="Arial" w:hAnsi="Arial" w:cs="Arial"/>
          <w:sz w:val="18"/>
          <w:szCs w:val="18"/>
        </w:rPr>
        <w:t>n established</w:t>
      </w:r>
      <w:r w:rsidRPr="000C6FB1">
        <w:rPr>
          <w:rFonts w:ascii="Arial" w:hAnsi="Arial" w:cs="Arial"/>
          <w:sz w:val="18"/>
          <w:szCs w:val="18"/>
        </w:rPr>
        <w:t xml:space="preserve"> depressive disorder; HC = neurologically and psychiatrically healthy control donors</w:t>
      </w:r>
      <w:r>
        <w:rPr>
          <w:rFonts w:ascii="Arial" w:hAnsi="Arial" w:cs="Arial"/>
          <w:sz w:val="18"/>
          <w:szCs w:val="18"/>
        </w:rPr>
        <w:t>; n/a = not available</w:t>
      </w:r>
      <w:r w:rsidRPr="000C6FB1">
        <w:rPr>
          <w:rFonts w:ascii="Arial" w:hAnsi="Arial" w:cs="Arial"/>
          <w:sz w:val="18"/>
          <w:szCs w:val="18"/>
        </w:rPr>
        <w:t>.</w:t>
      </w:r>
      <w:bookmarkEnd w:id="0"/>
      <w:r>
        <w:rPr>
          <w:rFonts w:ascii="Arial" w:hAnsi="Arial" w:cs="Arial"/>
        </w:rPr>
        <w:br w:type="page"/>
      </w:r>
    </w:p>
    <w:p w:rsidR="005820D0" w:rsidRDefault="005820D0" w:rsidP="005820D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Supplementary Table 2. </w:t>
      </w:r>
      <w:r>
        <w:rPr>
          <w:rFonts w:ascii="Arial" w:hAnsi="Arial" w:cs="Arial"/>
        </w:rPr>
        <w:t xml:space="preserve">Linear regression analyses of the association between ECT-related characteristics and expression of </w:t>
      </w:r>
      <w:proofErr w:type="spellStart"/>
      <w:r>
        <w:rPr>
          <w:rFonts w:ascii="Arial" w:hAnsi="Arial" w:cs="Arial"/>
        </w:rPr>
        <w:t>doublecortin</w:t>
      </w:r>
      <w:proofErr w:type="spellEnd"/>
      <w:r>
        <w:rPr>
          <w:rFonts w:ascii="Arial" w:hAnsi="Arial" w:cs="Arial"/>
        </w:rPr>
        <w:t xml:space="preserve"> (DCX) and Ki-67.</w:t>
      </w:r>
    </w:p>
    <w:tbl>
      <w:tblPr>
        <w:tblStyle w:val="Tabelraster"/>
        <w:tblW w:w="10065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40"/>
        <w:gridCol w:w="1881"/>
        <w:gridCol w:w="1881"/>
        <w:gridCol w:w="1881"/>
        <w:gridCol w:w="1882"/>
      </w:tblGrid>
      <w:tr w:rsidR="005820D0" w:rsidRPr="00CC1C91" w:rsidTr="00A84737">
        <w:tc>
          <w:tcPr>
            <w:tcW w:w="2540" w:type="dxa"/>
            <w:vMerge w:val="restart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2" w:type="dxa"/>
            <w:gridSpan w:val="2"/>
            <w:tcBorders>
              <w:bottom w:val="single" w:sz="4" w:space="0" w:color="auto"/>
            </w:tcBorders>
          </w:tcPr>
          <w:p w:rsidR="005820D0" w:rsidRPr="00CC1C91" w:rsidRDefault="005820D0" w:rsidP="00A847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DCX</w:t>
            </w:r>
          </w:p>
        </w:tc>
        <w:tc>
          <w:tcPr>
            <w:tcW w:w="3763" w:type="dxa"/>
            <w:gridSpan w:val="2"/>
            <w:tcBorders>
              <w:bottom w:val="single" w:sz="4" w:space="0" w:color="auto"/>
            </w:tcBorders>
          </w:tcPr>
          <w:p w:rsidR="005820D0" w:rsidRPr="00CC1C91" w:rsidRDefault="005820D0" w:rsidP="00A847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Ki-67</w:t>
            </w:r>
          </w:p>
        </w:tc>
      </w:tr>
      <w:tr w:rsidR="005820D0" w:rsidRPr="00CC1C91" w:rsidTr="00A84737"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5820D0" w:rsidRPr="00CC1C91" w:rsidRDefault="005820D0" w:rsidP="00A847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GCL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5820D0" w:rsidRPr="00CC1C91" w:rsidRDefault="005820D0" w:rsidP="00A847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SGZ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5820D0" w:rsidRPr="00CC1C91" w:rsidRDefault="005820D0" w:rsidP="00A847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GCL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</w:tcPr>
          <w:p w:rsidR="005820D0" w:rsidRPr="00CC1C91" w:rsidRDefault="005820D0" w:rsidP="00A847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SGZ</w:t>
            </w:r>
          </w:p>
        </w:tc>
      </w:tr>
      <w:tr w:rsidR="005820D0" w:rsidRPr="00CC1C91" w:rsidTr="00A84737">
        <w:tc>
          <w:tcPr>
            <w:tcW w:w="2540" w:type="dxa"/>
            <w:tcBorders>
              <w:top w:val="single" w:sz="4" w:space="0" w:color="auto"/>
            </w:tcBorders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Remission status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5820D0" w:rsidRPr="006D3E90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6D3E90">
              <w:rPr>
                <w:rFonts w:ascii="Arial" w:hAnsi="Arial" w:cs="Arial"/>
                <w:sz w:val="18"/>
                <w:szCs w:val="18"/>
              </w:rPr>
              <w:t>β = -0.15, SE = 0.28, p = 0.766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-0.1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61</w:t>
            </w:r>
            <w:r w:rsidRPr="00CC1C91">
              <w:rPr>
                <w:rFonts w:ascii="Arial" w:hAnsi="Arial" w:cs="Arial"/>
                <w:sz w:val="18"/>
                <w:szCs w:val="18"/>
              </w:rPr>
              <w:t>, p = 0.7</w:t>
            </w: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0.</w:t>
            </w:r>
            <w:r>
              <w:rPr>
                <w:rFonts w:ascii="Arial" w:hAnsi="Arial" w:cs="Arial"/>
                <w:sz w:val="18"/>
                <w:szCs w:val="18"/>
              </w:rPr>
              <w:t>52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CC1C91">
              <w:rPr>
                <w:rFonts w:ascii="Arial" w:hAnsi="Arial" w:cs="Arial"/>
                <w:sz w:val="18"/>
                <w:szCs w:val="18"/>
              </w:rPr>
              <w:t>, p = 0.</w:t>
            </w: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-0.</w:t>
            </w: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Pr="00CC1C91">
              <w:rPr>
                <w:rFonts w:ascii="Arial" w:hAnsi="Arial" w:cs="Arial"/>
                <w:sz w:val="18"/>
                <w:szCs w:val="18"/>
              </w:rPr>
              <w:t>, p = 0.</w:t>
            </w:r>
            <w:r>
              <w:rPr>
                <w:rFonts w:ascii="Arial" w:hAnsi="Arial" w:cs="Arial"/>
                <w:sz w:val="18"/>
                <w:szCs w:val="18"/>
              </w:rPr>
              <w:t>596</w:t>
            </w:r>
          </w:p>
        </w:tc>
      </w:tr>
      <w:tr w:rsidR="005820D0" w:rsidRPr="00CC1C91" w:rsidTr="00A84737">
        <w:tc>
          <w:tcPr>
            <w:tcW w:w="2540" w:type="dxa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Number of ECT sessions</w:t>
            </w:r>
          </w:p>
        </w:tc>
        <w:tc>
          <w:tcPr>
            <w:tcW w:w="1881" w:type="dxa"/>
          </w:tcPr>
          <w:p w:rsidR="005820D0" w:rsidRPr="006D3E90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6D3E90">
              <w:rPr>
                <w:rFonts w:ascii="Arial" w:hAnsi="Arial" w:cs="Arial"/>
                <w:sz w:val="18"/>
                <w:szCs w:val="18"/>
              </w:rPr>
              <w:t>β = 0.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6D3E90">
              <w:rPr>
                <w:rFonts w:ascii="Arial" w:hAnsi="Arial" w:cs="Arial"/>
                <w:sz w:val="18"/>
                <w:szCs w:val="18"/>
              </w:rPr>
              <w:t>5, SE = 0.</w:t>
            </w: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Pr="006D3E90">
              <w:rPr>
                <w:rFonts w:ascii="Arial" w:hAnsi="Arial" w:cs="Arial"/>
                <w:sz w:val="18"/>
                <w:szCs w:val="18"/>
              </w:rPr>
              <w:t>, p = 0.</w:t>
            </w:r>
            <w:r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881" w:type="dxa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0.</w:t>
            </w: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CC1C91">
              <w:rPr>
                <w:rFonts w:ascii="Arial" w:hAnsi="Arial" w:cs="Arial"/>
                <w:sz w:val="18"/>
                <w:szCs w:val="18"/>
              </w:rPr>
              <w:t>2, p = 0.</w:t>
            </w:r>
            <w:r>
              <w:rPr>
                <w:rFonts w:ascii="Arial" w:hAnsi="Arial" w:cs="Arial"/>
                <w:sz w:val="18"/>
                <w:szCs w:val="18"/>
              </w:rPr>
              <w:t>326</w:t>
            </w:r>
          </w:p>
        </w:tc>
        <w:tc>
          <w:tcPr>
            <w:tcW w:w="1881" w:type="dxa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0.</w:t>
            </w: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CC1C91">
              <w:rPr>
                <w:rFonts w:ascii="Arial" w:hAnsi="Arial" w:cs="Arial"/>
                <w:sz w:val="18"/>
                <w:szCs w:val="18"/>
              </w:rPr>
              <w:t>, p = 0.</w:t>
            </w:r>
            <w:r>
              <w:rPr>
                <w:rFonts w:ascii="Arial" w:hAnsi="Arial" w:cs="Arial"/>
                <w:sz w:val="18"/>
                <w:szCs w:val="18"/>
              </w:rPr>
              <w:t>974</w:t>
            </w:r>
          </w:p>
        </w:tc>
        <w:tc>
          <w:tcPr>
            <w:tcW w:w="1882" w:type="dxa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-0.</w:t>
            </w:r>
            <w:r>
              <w:rPr>
                <w:rFonts w:ascii="Arial" w:hAnsi="Arial" w:cs="Arial"/>
                <w:sz w:val="18"/>
                <w:szCs w:val="18"/>
              </w:rPr>
              <w:t>61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CC1C91">
              <w:rPr>
                <w:rFonts w:ascii="Arial" w:hAnsi="Arial" w:cs="Arial"/>
                <w:sz w:val="18"/>
                <w:szCs w:val="18"/>
              </w:rPr>
              <w:t>, p = 0.</w:t>
            </w:r>
            <w:r>
              <w:rPr>
                <w:rFonts w:ascii="Arial" w:hAnsi="Arial" w:cs="Arial"/>
                <w:sz w:val="18"/>
                <w:szCs w:val="18"/>
              </w:rPr>
              <w:t>256</w:t>
            </w:r>
          </w:p>
        </w:tc>
      </w:tr>
      <w:tr w:rsidR="005820D0" w:rsidRPr="00CC1C91" w:rsidTr="00A84737">
        <w:tc>
          <w:tcPr>
            <w:tcW w:w="2540" w:type="dxa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Time interval between las</w:t>
            </w:r>
            <w:r>
              <w:rPr>
                <w:rFonts w:ascii="Arial" w:hAnsi="Arial" w:cs="Arial"/>
                <w:sz w:val="18"/>
                <w:szCs w:val="18"/>
              </w:rPr>
              <w:t>t ECT and death</w:t>
            </w:r>
          </w:p>
        </w:tc>
        <w:tc>
          <w:tcPr>
            <w:tcW w:w="1881" w:type="dxa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-0.1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CC1C91">
              <w:rPr>
                <w:rFonts w:ascii="Arial" w:hAnsi="Arial" w:cs="Arial"/>
                <w:sz w:val="18"/>
                <w:szCs w:val="18"/>
              </w:rPr>
              <w:t>2, p = 0.</w:t>
            </w:r>
            <w:r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1881" w:type="dxa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-0.1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Pr="00CC1C91">
              <w:rPr>
                <w:rFonts w:ascii="Arial" w:hAnsi="Arial" w:cs="Arial"/>
                <w:sz w:val="18"/>
                <w:szCs w:val="18"/>
              </w:rPr>
              <w:t>, p = 0.7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881" w:type="dxa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0.</w:t>
            </w:r>
            <w:r>
              <w:rPr>
                <w:rFonts w:ascii="Arial" w:hAnsi="Arial" w:cs="Arial"/>
                <w:sz w:val="18"/>
                <w:szCs w:val="18"/>
              </w:rPr>
              <w:t>56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CC1C91">
              <w:rPr>
                <w:rFonts w:ascii="Arial" w:hAnsi="Arial" w:cs="Arial"/>
                <w:sz w:val="18"/>
                <w:szCs w:val="18"/>
              </w:rPr>
              <w:t>, p = 0.</w:t>
            </w: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882" w:type="dxa"/>
          </w:tcPr>
          <w:p w:rsidR="005820D0" w:rsidRPr="00CC1C91" w:rsidRDefault="005820D0" w:rsidP="00A84737">
            <w:pPr>
              <w:rPr>
                <w:rFonts w:ascii="Arial" w:hAnsi="Arial" w:cs="Arial"/>
                <w:sz w:val="18"/>
                <w:szCs w:val="18"/>
              </w:rPr>
            </w:pPr>
            <w:r w:rsidRPr="00CC1C91">
              <w:rPr>
                <w:rFonts w:ascii="Arial" w:hAnsi="Arial" w:cs="Arial"/>
                <w:sz w:val="18"/>
                <w:szCs w:val="18"/>
              </w:rPr>
              <w:t>β = -0.1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C1C91">
              <w:rPr>
                <w:rFonts w:ascii="Arial" w:hAnsi="Arial" w:cs="Arial"/>
                <w:sz w:val="18"/>
                <w:szCs w:val="18"/>
              </w:rPr>
              <w:t>, SE = 0.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CC1C91">
              <w:rPr>
                <w:rFonts w:ascii="Arial" w:hAnsi="Arial" w:cs="Arial"/>
                <w:sz w:val="18"/>
                <w:szCs w:val="18"/>
              </w:rPr>
              <w:t>, p = 0.</w:t>
            </w:r>
            <w:r>
              <w:rPr>
                <w:rFonts w:ascii="Arial" w:hAnsi="Arial" w:cs="Arial"/>
                <w:sz w:val="18"/>
                <w:szCs w:val="18"/>
              </w:rPr>
              <w:t>825</w:t>
            </w:r>
          </w:p>
        </w:tc>
      </w:tr>
    </w:tbl>
    <w:p w:rsidR="005820D0" w:rsidRDefault="005820D0" w:rsidP="005820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Only the results of the linear regression analyses with remission status as independent variable are displayed, since the results without remission status were similar. Abbreviations: ECT = electroconvulsive therapy; GCL = granule cell layer; SGZ = </w:t>
      </w:r>
      <w:proofErr w:type="spellStart"/>
      <w:r>
        <w:rPr>
          <w:rFonts w:ascii="Arial" w:hAnsi="Arial" w:cs="Arial"/>
          <w:sz w:val="18"/>
          <w:szCs w:val="18"/>
        </w:rPr>
        <w:t>subgranular</w:t>
      </w:r>
      <w:proofErr w:type="spellEnd"/>
      <w:r>
        <w:rPr>
          <w:rFonts w:ascii="Arial" w:hAnsi="Arial" w:cs="Arial"/>
          <w:sz w:val="18"/>
          <w:szCs w:val="18"/>
        </w:rPr>
        <w:t xml:space="preserve"> zone.</w:t>
      </w:r>
      <w:r>
        <w:rPr>
          <w:rFonts w:ascii="Arial" w:hAnsi="Arial" w:cs="Arial"/>
          <w:sz w:val="18"/>
          <w:szCs w:val="18"/>
        </w:rPr>
        <w:br w:type="page"/>
      </w:r>
    </w:p>
    <w:p w:rsidR="005820D0" w:rsidRPr="00BE063C" w:rsidRDefault="005820D0" w:rsidP="005820D0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Supplementary Figure 1</w:t>
      </w:r>
    </w:p>
    <w:p w:rsidR="005820D0" w:rsidRPr="00FF320F" w:rsidRDefault="005820D0" w:rsidP="005820D0">
      <w:pPr>
        <w:spacing w:line="360" w:lineRule="auto"/>
        <w:rPr>
          <w:rFonts w:ascii="Arial" w:hAnsi="Arial" w:cs="Arial"/>
          <w:b/>
          <w:bCs/>
        </w:rPr>
      </w:pPr>
    </w:p>
    <w:p w:rsidR="005820D0" w:rsidRDefault="005820D0" w:rsidP="005820D0">
      <w:pPr>
        <w:spacing w:line="480" w:lineRule="auto"/>
        <w:jc w:val="both"/>
        <w:rPr>
          <w:rFonts w:ascii="Arial" w:hAnsi="Arial" w:cs="Arial"/>
        </w:rPr>
      </w:pPr>
      <w:r w:rsidRPr="00FF320F">
        <w:rPr>
          <w:rFonts w:ascii="Arial" w:hAnsi="Arial" w:cs="Arial"/>
        </w:rPr>
        <w:t xml:space="preserve">Ionized calcium binding adaptor molecule 1 (Iba1) </w:t>
      </w:r>
      <w:r>
        <w:rPr>
          <w:rFonts w:ascii="Arial" w:hAnsi="Arial" w:cs="Arial"/>
        </w:rPr>
        <w:t>expression</w:t>
      </w:r>
      <w:r w:rsidRPr="00FF32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 10x magnification </w:t>
      </w:r>
      <w:r w:rsidRPr="00FF320F">
        <w:rPr>
          <w:rFonts w:ascii="Arial" w:hAnsi="Arial" w:cs="Arial"/>
        </w:rPr>
        <w:t>in the granule cell layer (</w:t>
      </w:r>
      <w:r>
        <w:rPr>
          <w:rFonts w:ascii="Arial" w:hAnsi="Arial" w:cs="Arial"/>
        </w:rPr>
        <w:t>GCL</w:t>
      </w:r>
      <w:r w:rsidRPr="00FF320F">
        <w:rPr>
          <w:rFonts w:ascii="Arial" w:hAnsi="Arial" w:cs="Arial"/>
        </w:rPr>
        <w:t xml:space="preserve">), </w:t>
      </w:r>
      <w:proofErr w:type="spellStart"/>
      <w:r w:rsidRPr="00FF320F">
        <w:rPr>
          <w:rFonts w:ascii="Arial" w:hAnsi="Arial" w:cs="Arial"/>
        </w:rPr>
        <w:t>subgranular</w:t>
      </w:r>
      <w:proofErr w:type="spellEnd"/>
      <w:r w:rsidRPr="00FF320F">
        <w:rPr>
          <w:rFonts w:ascii="Arial" w:hAnsi="Arial" w:cs="Arial"/>
        </w:rPr>
        <w:t xml:space="preserve"> zone (</w:t>
      </w:r>
      <w:r>
        <w:rPr>
          <w:rFonts w:ascii="Arial" w:hAnsi="Arial" w:cs="Arial"/>
        </w:rPr>
        <w:t xml:space="preserve">SGZ) and </w:t>
      </w:r>
      <w:proofErr w:type="spellStart"/>
      <w:r>
        <w:rPr>
          <w:rFonts w:ascii="Arial" w:hAnsi="Arial" w:cs="Arial"/>
        </w:rPr>
        <w:t>cornu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ammonis</w:t>
      </w:r>
      <w:proofErr w:type="spellEnd"/>
      <w:r>
        <w:rPr>
          <w:rFonts w:ascii="Arial" w:hAnsi="Arial" w:cs="Arial"/>
        </w:rPr>
        <w:t xml:space="preserve"> 4 (CA4) in a healthy control donor (HC; A), a control donor with a depressive disorder (DC; B), and </w:t>
      </w:r>
      <w:r w:rsidRPr="00FF320F">
        <w:rPr>
          <w:rFonts w:ascii="Arial" w:hAnsi="Arial" w:cs="Arial"/>
        </w:rPr>
        <w:t>a donor who received electroconvulsive therapy during life (</w:t>
      </w:r>
      <w:r>
        <w:rPr>
          <w:rFonts w:ascii="Arial" w:hAnsi="Arial" w:cs="Arial"/>
        </w:rPr>
        <w:t xml:space="preserve">ECT; C). </w:t>
      </w:r>
      <w:r w:rsidRPr="00FF320F">
        <w:rPr>
          <w:rFonts w:ascii="Arial" w:hAnsi="Arial" w:cs="Arial"/>
        </w:rPr>
        <w:t xml:space="preserve">The distribution of the </w:t>
      </w:r>
      <w:r>
        <w:rPr>
          <w:rFonts w:ascii="Arial" w:hAnsi="Arial" w:cs="Arial"/>
        </w:rPr>
        <w:t>groups</w:t>
      </w:r>
      <w:r w:rsidRPr="00FF320F">
        <w:rPr>
          <w:rFonts w:ascii="Arial" w:hAnsi="Arial" w:cs="Arial"/>
        </w:rPr>
        <w:t xml:space="preserve"> is shown in percentages of cell area occupied (%AO) by Iba1 in</w:t>
      </w:r>
      <w:r>
        <w:rPr>
          <w:rFonts w:ascii="Arial" w:hAnsi="Arial" w:cs="Arial"/>
        </w:rPr>
        <w:t xml:space="preserve"> the GCL (D)</w:t>
      </w:r>
      <w:r w:rsidRPr="00FF320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SGZ (E)</w:t>
      </w:r>
      <w:r w:rsidRPr="00FF320F">
        <w:rPr>
          <w:rFonts w:ascii="Arial" w:hAnsi="Arial" w:cs="Arial"/>
        </w:rPr>
        <w:t>, and CA4</w:t>
      </w:r>
      <w:r>
        <w:rPr>
          <w:rFonts w:ascii="Arial" w:hAnsi="Arial" w:cs="Arial"/>
        </w:rPr>
        <w:t xml:space="preserve"> (F)</w:t>
      </w:r>
      <w:r w:rsidRPr="00FF32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 differences in mean %AO by Iba-1 were found between the groups. Scale bar = 50 µm.</w:t>
      </w:r>
      <w:r w:rsidRPr="00FF320F">
        <w:rPr>
          <w:rFonts w:ascii="Arial" w:hAnsi="Arial" w:cs="Arial"/>
        </w:rPr>
        <w:br w:type="page"/>
      </w:r>
    </w:p>
    <w:p w:rsidR="005820D0" w:rsidRPr="00BE063C" w:rsidRDefault="005820D0" w:rsidP="005820D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Supplementary Figure 2</w:t>
      </w:r>
    </w:p>
    <w:p w:rsidR="005820D0" w:rsidRPr="00FF320F" w:rsidRDefault="005820D0" w:rsidP="005820D0">
      <w:pPr>
        <w:spacing w:line="360" w:lineRule="auto"/>
        <w:rPr>
          <w:rFonts w:ascii="Arial" w:hAnsi="Arial" w:cs="Arial"/>
          <w:b/>
          <w:bCs/>
        </w:rPr>
      </w:pPr>
    </w:p>
    <w:p w:rsidR="001B2AD2" w:rsidRDefault="005820D0" w:rsidP="001B2AD2">
      <w:pPr>
        <w:spacing w:line="480" w:lineRule="auto"/>
        <w:jc w:val="both"/>
        <w:rPr>
          <w:rFonts w:ascii="Arial" w:hAnsi="Arial" w:cs="Arial"/>
        </w:rPr>
      </w:pPr>
      <w:r w:rsidRPr="00FF320F">
        <w:rPr>
          <w:rFonts w:ascii="Arial" w:hAnsi="Arial" w:cs="Arial"/>
        </w:rPr>
        <w:t xml:space="preserve">Glial fibrillary acidic protein (GFAP) </w:t>
      </w:r>
      <w:r>
        <w:rPr>
          <w:rFonts w:ascii="Arial" w:hAnsi="Arial" w:cs="Arial"/>
        </w:rPr>
        <w:t>expression</w:t>
      </w:r>
      <w:r w:rsidRPr="00C40C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at 10x magnification</w:t>
      </w:r>
      <w:r w:rsidRPr="00FF320F">
        <w:rPr>
          <w:rFonts w:ascii="Arial" w:hAnsi="Arial" w:cs="Arial"/>
        </w:rPr>
        <w:t xml:space="preserve"> in the granule cell layer (</w:t>
      </w:r>
      <w:r>
        <w:rPr>
          <w:rFonts w:ascii="Arial" w:hAnsi="Arial" w:cs="Arial"/>
        </w:rPr>
        <w:t>GCL</w:t>
      </w:r>
      <w:r w:rsidRPr="00FF320F">
        <w:rPr>
          <w:rFonts w:ascii="Arial" w:hAnsi="Arial" w:cs="Arial"/>
        </w:rPr>
        <w:t xml:space="preserve">), </w:t>
      </w:r>
      <w:proofErr w:type="spellStart"/>
      <w:r w:rsidRPr="00FF320F">
        <w:rPr>
          <w:rFonts w:ascii="Arial" w:hAnsi="Arial" w:cs="Arial"/>
        </w:rPr>
        <w:t>subgranular</w:t>
      </w:r>
      <w:proofErr w:type="spellEnd"/>
      <w:r w:rsidRPr="00FF320F">
        <w:rPr>
          <w:rFonts w:ascii="Arial" w:hAnsi="Arial" w:cs="Arial"/>
        </w:rPr>
        <w:t xml:space="preserve"> zone (</w:t>
      </w:r>
      <w:r>
        <w:rPr>
          <w:rFonts w:ascii="Arial" w:hAnsi="Arial" w:cs="Arial"/>
        </w:rPr>
        <w:t>SGZ</w:t>
      </w:r>
      <w:r w:rsidRPr="00FF320F">
        <w:rPr>
          <w:rFonts w:ascii="Arial" w:hAnsi="Arial" w:cs="Arial"/>
        </w:rPr>
        <w:t>) a</w:t>
      </w:r>
      <w:r>
        <w:rPr>
          <w:rFonts w:ascii="Arial" w:hAnsi="Arial" w:cs="Arial"/>
        </w:rPr>
        <w:t xml:space="preserve">nd </w:t>
      </w:r>
      <w:proofErr w:type="spellStart"/>
      <w:r>
        <w:rPr>
          <w:rFonts w:ascii="Arial" w:hAnsi="Arial" w:cs="Arial"/>
        </w:rPr>
        <w:t>cornu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ammonis</w:t>
      </w:r>
      <w:proofErr w:type="spellEnd"/>
      <w:r>
        <w:rPr>
          <w:rFonts w:ascii="Arial" w:hAnsi="Arial" w:cs="Arial"/>
        </w:rPr>
        <w:t xml:space="preserve"> 4 (CA4) in a healthy control donor (HC; A), a control donor with a depr</w:t>
      </w:r>
      <w:bookmarkStart w:id="1" w:name="_GoBack"/>
      <w:bookmarkEnd w:id="1"/>
      <w:r>
        <w:rPr>
          <w:rFonts w:ascii="Arial" w:hAnsi="Arial" w:cs="Arial"/>
        </w:rPr>
        <w:t xml:space="preserve">essive disorder (DC; B), and </w:t>
      </w:r>
      <w:r w:rsidRPr="00FF320F">
        <w:rPr>
          <w:rFonts w:ascii="Arial" w:hAnsi="Arial" w:cs="Arial"/>
        </w:rPr>
        <w:t>a donor who received electroconvulsive therapy during life (</w:t>
      </w:r>
      <w:r>
        <w:rPr>
          <w:rFonts w:ascii="Arial" w:hAnsi="Arial" w:cs="Arial"/>
        </w:rPr>
        <w:t xml:space="preserve">ECT; C). </w:t>
      </w:r>
      <w:r w:rsidRPr="00FF320F">
        <w:rPr>
          <w:rFonts w:ascii="Arial" w:hAnsi="Arial" w:cs="Arial"/>
        </w:rPr>
        <w:t xml:space="preserve">The distribution of the </w:t>
      </w:r>
      <w:r>
        <w:rPr>
          <w:rFonts w:ascii="Arial" w:hAnsi="Arial" w:cs="Arial"/>
        </w:rPr>
        <w:t>groups</w:t>
      </w:r>
      <w:r w:rsidRPr="00FF320F">
        <w:rPr>
          <w:rFonts w:ascii="Arial" w:hAnsi="Arial" w:cs="Arial"/>
        </w:rPr>
        <w:t xml:space="preserve"> is shown in percentages of cell area occupied (%AO) by </w:t>
      </w:r>
      <w:r>
        <w:rPr>
          <w:rFonts w:ascii="Arial" w:hAnsi="Arial" w:cs="Arial"/>
        </w:rPr>
        <w:t xml:space="preserve">GFAP in </w:t>
      </w:r>
      <w:r w:rsidRPr="00FF320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GCL (D)</w:t>
      </w:r>
      <w:r w:rsidRPr="00FF320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SGZ (E)</w:t>
      </w:r>
      <w:r w:rsidRPr="00FF320F">
        <w:rPr>
          <w:rFonts w:ascii="Arial" w:hAnsi="Arial" w:cs="Arial"/>
        </w:rPr>
        <w:t>, and CA4</w:t>
      </w:r>
      <w:r>
        <w:rPr>
          <w:rFonts w:ascii="Arial" w:hAnsi="Arial" w:cs="Arial"/>
        </w:rPr>
        <w:t xml:space="preserve"> (F). No differences in mean %AO by GFAP were found between the groups. Scale bar = 50 µm.</w:t>
      </w:r>
      <w:r w:rsidR="001B2AD2">
        <w:rPr>
          <w:rFonts w:ascii="Arial" w:hAnsi="Arial" w:cs="Arial"/>
        </w:rPr>
        <w:br w:type="page"/>
      </w:r>
    </w:p>
    <w:p w:rsidR="001B2AD2" w:rsidRPr="000D6BB5" w:rsidRDefault="001B2AD2" w:rsidP="001B2AD2">
      <w:pPr>
        <w:spacing w:line="480" w:lineRule="auto"/>
        <w:jc w:val="both"/>
        <w:rPr>
          <w:rFonts w:ascii="Arial" w:hAnsi="Arial" w:cs="Arial"/>
          <w:b/>
        </w:rPr>
      </w:pPr>
      <w:r w:rsidRPr="000D6BB5">
        <w:rPr>
          <w:rFonts w:ascii="Arial" w:hAnsi="Arial" w:cs="Arial"/>
          <w:b/>
        </w:rPr>
        <w:lastRenderedPageBreak/>
        <w:t>References</w:t>
      </w:r>
    </w:p>
    <w:p w:rsidR="003B250D" w:rsidRPr="000D6BB5" w:rsidRDefault="001B2AD2" w:rsidP="001B2AD2">
      <w:pPr>
        <w:pStyle w:val="EndNoteBibliography"/>
        <w:spacing w:line="480" w:lineRule="auto"/>
        <w:rPr>
          <w:rFonts w:ascii="Arial" w:hAnsi="Arial" w:cs="Arial"/>
        </w:rPr>
      </w:pPr>
      <w:r w:rsidRPr="000D6BB5">
        <w:rPr>
          <w:rFonts w:ascii="Arial" w:hAnsi="Arial" w:cs="Arial"/>
        </w:rPr>
        <w:fldChar w:fldCharType="begin"/>
      </w:r>
      <w:r w:rsidRPr="000D6BB5">
        <w:rPr>
          <w:rFonts w:ascii="Arial" w:hAnsi="Arial" w:cs="Arial"/>
        </w:rPr>
        <w:instrText xml:space="preserve"> ADDIN EN.REFLIST </w:instrText>
      </w:r>
      <w:r w:rsidRPr="000D6BB5">
        <w:rPr>
          <w:rFonts w:ascii="Arial" w:hAnsi="Arial" w:cs="Arial"/>
        </w:rPr>
        <w:fldChar w:fldCharType="separate"/>
      </w:r>
      <w:r w:rsidRPr="000D6BB5">
        <w:rPr>
          <w:rFonts w:ascii="Arial" w:hAnsi="Arial" w:cs="Arial"/>
        </w:rPr>
        <w:t>1.</w:t>
      </w:r>
      <w:r w:rsidRPr="000D6BB5">
        <w:rPr>
          <w:rFonts w:ascii="Arial" w:hAnsi="Arial" w:cs="Arial"/>
        </w:rPr>
        <w:tab/>
        <w:t>Braak H, Braak E. Neuropathological stageing of Alzheimer-related changes. Acta Neuropathol. 1991;82(4):239-59.</w:t>
      </w:r>
      <w:r w:rsidRPr="000D6BB5">
        <w:rPr>
          <w:rFonts w:ascii="Arial" w:hAnsi="Arial" w:cs="Arial"/>
        </w:rPr>
        <w:fldChar w:fldCharType="end"/>
      </w:r>
    </w:p>
    <w:sectPr w:rsidR="003B250D" w:rsidRPr="000D6BB5" w:rsidSect="008C54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lnNumType w:countBy="1" w:restart="continuous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F33" w:rsidRDefault="001B2AD2">
      <w:pPr>
        <w:spacing w:after="0" w:line="240" w:lineRule="auto"/>
      </w:pPr>
      <w:r>
        <w:separator/>
      </w:r>
    </w:p>
  </w:endnote>
  <w:endnote w:type="continuationSeparator" w:id="0">
    <w:p w:rsidR="00000F33" w:rsidRDefault="001B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48071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B7BFE" w:rsidRPr="00F31D78" w:rsidRDefault="008C547A">
        <w:pPr>
          <w:pStyle w:val="Voettekst"/>
          <w:jc w:val="right"/>
          <w:rPr>
            <w:rFonts w:ascii="Arial" w:hAnsi="Arial" w:cs="Arial"/>
          </w:rPr>
        </w:pPr>
        <w:r w:rsidRPr="00F31D78">
          <w:rPr>
            <w:rFonts w:ascii="Arial" w:hAnsi="Arial" w:cs="Arial"/>
          </w:rPr>
          <w:fldChar w:fldCharType="begin"/>
        </w:r>
        <w:r w:rsidRPr="00F31D78">
          <w:rPr>
            <w:rFonts w:ascii="Arial" w:hAnsi="Arial" w:cs="Arial"/>
          </w:rPr>
          <w:instrText>PAGE   \* MERGEFORMAT</w:instrText>
        </w:r>
        <w:r w:rsidRPr="00F31D78">
          <w:rPr>
            <w:rFonts w:ascii="Arial" w:hAnsi="Arial" w:cs="Arial"/>
          </w:rPr>
          <w:fldChar w:fldCharType="separate"/>
        </w:r>
        <w:r w:rsidR="000D6BB5" w:rsidRPr="000D6BB5">
          <w:rPr>
            <w:rFonts w:ascii="Arial" w:hAnsi="Arial" w:cs="Arial"/>
            <w:noProof/>
            <w:lang w:val="nl-NL"/>
          </w:rPr>
          <w:t>7</w:t>
        </w:r>
        <w:r w:rsidRPr="00F31D78">
          <w:rPr>
            <w:rFonts w:ascii="Arial" w:hAnsi="Arial" w:cs="Arial"/>
          </w:rPr>
          <w:fldChar w:fldCharType="end"/>
        </w:r>
      </w:p>
    </w:sdtContent>
  </w:sdt>
  <w:p w:rsidR="008B7BFE" w:rsidRDefault="000D6B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F33" w:rsidRDefault="001B2AD2">
      <w:pPr>
        <w:spacing w:after="0" w:line="240" w:lineRule="auto"/>
      </w:pPr>
      <w:r>
        <w:separator/>
      </w:r>
    </w:p>
  </w:footnote>
  <w:footnote w:type="continuationSeparator" w:id="0">
    <w:p w:rsidR="00000F33" w:rsidRDefault="001B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BFE" w:rsidRDefault="008C547A">
    <w:pPr>
      <w:pStyle w:val="Koptekst"/>
    </w:pPr>
    <w:r>
      <w:rPr>
        <w:rFonts w:ascii="Arial" w:hAnsi="Arial" w:cs="Arial"/>
        <w:bCs/>
      </w:rPr>
      <w:t>Hippocampal neuroplasticity after electroconvulsive therapy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wrdw2wbpssdxewawzxwet4r2a9x9vzatzf&quot;&gt;Endnote_NP_11082021-Converted-Saved&lt;record-ids&gt;&lt;item&gt;100&lt;/item&gt;&lt;/record-ids&gt;&lt;/item&gt;&lt;/Libraries&gt;"/>
  </w:docVars>
  <w:rsids>
    <w:rsidRoot w:val="005820D0"/>
    <w:rsid w:val="00000F33"/>
    <w:rsid w:val="000D6BB5"/>
    <w:rsid w:val="001B2AD2"/>
    <w:rsid w:val="005820D0"/>
    <w:rsid w:val="008C547A"/>
    <w:rsid w:val="00CA23C5"/>
    <w:rsid w:val="00F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FE0781E-A946-4A91-ABAE-84AA3D90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820D0"/>
    <w:pPr>
      <w:spacing w:after="200" w:line="276" w:lineRule="auto"/>
    </w:pPr>
    <w:rPr>
      <w:rFonts w:ascii="Calibri" w:eastAsia="Calibri" w:hAnsi="Calibri" w:cs="Calibri"/>
      <w:lang w:val="en-US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820D0"/>
    <w:pPr>
      <w:spacing w:after="0" w:line="240" w:lineRule="auto"/>
    </w:pPr>
    <w:rPr>
      <w:rFonts w:ascii="Calibri" w:eastAsia="Calibri" w:hAnsi="Calibri" w:cs="Calibri"/>
      <w:lang w:val="en-US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20D0"/>
    <w:rPr>
      <w:rFonts w:ascii="Calibri" w:eastAsia="Calibri" w:hAnsi="Calibri" w:cs="Calibri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58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20D0"/>
    <w:rPr>
      <w:rFonts w:ascii="Calibri" w:eastAsia="Calibri" w:hAnsi="Calibri" w:cs="Calibri"/>
      <w:lang w:val="en-US" w:eastAsia="nl-NL"/>
    </w:rPr>
  </w:style>
  <w:style w:type="character" w:styleId="Regelnummer">
    <w:name w:val="line number"/>
    <w:basedOn w:val="Standaardalinea-lettertype"/>
    <w:uiPriority w:val="99"/>
    <w:semiHidden/>
    <w:unhideWhenUsed/>
    <w:rsid w:val="008C547A"/>
  </w:style>
  <w:style w:type="paragraph" w:customStyle="1" w:styleId="EndNoteBibliographyTitle">
    <w:name w:val="EndNote Bibliography Title"/>
    <w:basedOn w:val="Standaard"/>
    <w:link w:val="EndNoteBibliographyTitleChar"/>
    <w:rsid w:val="001B2AD2"/>
    <w:pPr>
      <w:spacing w:after="0"/>
      <w:jc w:val="center"/>
    </w:pPr>
    <w:rPr>
      <w:noProof/>
      <w:lang w:val="nl-NL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1B2AD2"/>
    <w:rPr>
      <w:rFonts w:ascii="Calibri" w:eastAsia="Calibri" w:hAnsi="Calibri" w:cs="Calibri"/>
      <w:noProof/>
      <w:lang w:eastAsia="nl-NL"/>
    </w:rPr>
  </w:style>
  <w:style w:type="paragraph" w:customStyle="1" w:styleId="EndNoteBibliography">
    <w:name w:val="EndNote Bibliography"/>
    <w:basedOn w:val="Standaard"/>
    <w:link w:val="EndNoteBibliographyChar"/>
    <w:rsid w:val="001B2AD2"/>
    <w:pPr>
      <w:spacing w:line="240" w:lineRule="auto"/>
      <w:jc w:val="both"/>
    </w:pPr>
    <w:rPr>
      <w:noProof/>
      <w:lang w:val="nl-NL"/>
    </w:rPr>
  </w:style>
  <w:style w:type="character" w:customStyle="1" w:styleId="EndNoteBibliographyChar">
    <w:name w:val="EndNote Bibliography Char"/>
    <w:basedOn w:val="Standaardalinea-lettertype"/>
    <w:link w:val="EndNoteBibliography"/>
    <w:rsid w:val="001B2AD2"/>
    <w:rPr>
      <w:rFonts w:ascii="Calibri" w:eastAsia="Calibri" w:hAnsi="Calibri" w:cs="Calibri"/>
      <w:noProof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1050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Loef, D. (Dore)</dc:creator>
  <cp:keywords/>
  <dc:description/>
  <cp:lastModifiedBy>Loef, D. (Dore)</cp:lastModifiedBy>
  <cp:revision>4</cp:revision>
  <dcterms:created xsi:type="dcterms:W3CDTF">2023-01-04T12:24:00Z</dcterms:created>
  <dcterms:modified xsi:type="dcterms:W3CDTF">2023-01-04T12:49:00Z</dcterms:modified>
</cp:coreProperties>
</file>