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14551" w:type="dxa"/>
        <w:jc w:val="left"/>
        <w:tblInd w:w="39" w:type="dxa"/>
        <w:tblLayout w:type="fixed"/>
        <w:tblCellMar>
          <w:top w:w="28" w:type="dxa"/>
          <w:left w:w="28" w:type="dxa"/>
          <w:bottom w:w="28" w:type="dxa"/>
          <w:right w:w="28" w:type="dxa"/>
        </w:tblCellMar>
      </w:tblPr>
      <w:tblGrid>
        <w:gridCol w:w="1919"/>
        <w:gridCol w:w="730"/>
        <w:gridCol w:w="191"/>
        <w:gridCol w:w="404"/>
        <w:gridCol w:w="598"/>
        <w:gridCol w:w="598"/>
        <w:gridCol w:w="599"/>
        <w:gridCol w:w="596"/>
        <w:gridCol w:w="595"/>
        <w:gridCol w:w="598"/>
        <w:gridCol w:w="598"/>
        <w:gridCol w:w="427"/>
        <w:gridCol w:w="168"/>
        <w:gridCol w:w="163"/>
        <w:gridCol w:w="433"/>
        <w:gridCol w:w="596"/>
        <w:gridCol w:w="597"/>
        <w:gridCol w:w="595"/>
        <w:gridCol w:w="598"/>
        <w:gridCol w:w="595"/>
        <w:gridCol w:w="595"/>
        <w:gridCol w:w="598"/>
        <w:gridCol w:w="600"/>
        <w:gridCol w:w="595"/>
        <w:gridCol w:w="483"/>
        <w:gridCol w:w="77"/>
      </w:tblGrid>
      <w:tr>
        <w:trPr>
          <w:trHeight w:val="409" w:hRule="atLeast"/>
        </w:trPr>
        <w:tc>
          <w:tcPr>
            <w:tcW w:w="1919" w:type="dxa"/>
            <w:tcBorders>
              <w:top w:val="single" w:sz="8" w:space="0" w:color="000000"/>
            </w:tcBorders>
            <w:vAlign w:val="bottom"/>
          </w:tcPr>
          <w:p>
            <w:pPr>
              <w:pStyle w:val="TextBody"/>
              <w:widowControl w:val="false"/>
              <w:numPr>
                <w:ilvl w:val="1"/>
                <w:numId w:val="2"/>
              </w:numPr>
              <w:spacing w:before="0" w:after="0"/>
              <w:rPr>
                <w:rFonts w:ascii="Arial" w:hAnsi="Arial"/>
                <w:b/>
                <w:b/>
                <w:bCs/>
                <w:sz w:val="18"/>
                <w:szCs w:val="18"/>
              </w:rPr>
            </w:pPr>
            <w:r>
              <w:rPr>
                <w:rFonts w:ascii="Arial" w:hAnsi="Arial"/>
                <w:b/>
                <w:bCs/>
                <w:sz w:val="18"/>
                <w:szCs w:val="18"/>
              </w:rPr>
            </w:r>
          </w:p>
        </w:tc>
        <w:tc>
          <w:tcPr>
            <w:tcW w:w="730" w:type="dxa"/>
            <w:tcBorders>
              <w:top w:val="single" w:sz="8" w:space="0" w:color="000000"/>
            </w:tcBorders>
            <w:vAlign w:val="bottom"/>
          </w:tcPr>
          <w:p>
            <w:pPr>
              <w:pStyle w:val="TextBody"/>
              <w:widowControl w:val="false"/>
              <w:numPr>
                <w:ilvl w:val="1"/>
                <w:numId w:val="2"/>
              </w:numPr>
              <w:tabs>
                <w:tab w:val="clear" w:pos="408"/>
              </w:tabs>
              <w:spacing w:before="0" w:after="0"/>
              <w:jc w:val="center"/>
              <w:rPr>
                <w:rFonts w:ascii="Arial" w:hAnsi="Arial" w:eastAsia="Noto Serif CJK SC" w:cs="Lohit Devanagari"/>
                <w:b/>
                <w:b/>
                <w:bCs/>
                <w:i/>
                <w:i/>
                <w:iCs/>
                <w:color w:val="auto"/>
                <w:kern w:val="2"/>
                <w:sz w:val="18"/>
                <w:szCs w:val="18"/>
                <w:lang w:val="en-US" w:eastAsia="zh-CN" w:bidi="hi-IN"/>
              </w:rPr>
            </w:pPr>
            <w:r>
              <w:rPr>
                <w:rFonts w:eastAsia="Noto Serif CJK SC" w:cs="Lohit Devanagari" w:ascii="Arial" w:hAnsi="Arial"/>
                <w:b/>
                <w:bCs/>
                <w:i/>
                <w:iCs/>
                <w:color w:val="auto"/>
                <w:kern w:val="2"/>
                <w:sz w:val="18"/>
                <w:szCs w:val="18"/>
                <w:lang w:val="en-US" w:eastAsia="zh-CN" w:bidi="hi-IN"/>
              </w:rPr>
            </w:r>
          </w:p>
        </w:tc>
        <w:tc>
          <w:tcPr>
            <w:tcW w:w="191" w:type="dxa"/>
            <w:tcBorders>
              <w:top w:val="single" w:sz="8" w:space="0" w:color="000000"/>
              <w:bottom w:val="single" w:sz="4" w:space="0" w:color="000000"/>
            </w:tcBorders>
            <w:shd w:fill="DDDDDD" w:val="clear"/>
            <w:vAlign w:val="center"/>
          </w:tcPr>
          <w:p>
            <w:pPr>
              <w:pStyle w:val="TextBody"/>
              <w:widowControl w:val="false"/>
              <w:numPr>
                <w:ilvl w:val="1"/>
                <w:numId w:val="2"/>
              </w:numPr>
              <w:tabs>
                <w:tab w:val="clear" w:pos="408"/>
              </w:tabs>
              <w:suppressAutoHyphens w:val="false"/>
              <w:overflowPunct w:val="false"/>
              <w:bidi w:val="0"/>
              <w:spacing w:lineRule="auto" w:line="276" w:before="0" w:after="0"/>
              <w:ind w:left="-198" w:right="-28" w:hanging="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r>
          </w:p>
        </w:tc>
        <w:tc>
          <w:tcPr>
            <w:tcW w:w="404" w:type="dxa"/>
            <w:tcBorders>
              <w:top w:val="single" w:sz="8" w:space="0" w:color="000000"/>
              <w:bottom w:val="single" w:sz="4" w:space="0" w:color="000000"/>
            </w:tcBorders>
            <w:shd w:fill="DDDDDD" w:val="clear"/>
            <w:vAlign w:val="center"/>
          </w:tcPr>
          <w:p>
            <w:pPr>
              <w:pStyle w:val="TextBody"/>
              <w:widowControl w:val="false"/>
              <w:numPr>
                <w:ilvl w:val="1"/>
                <w:numId w:val="2"/>
              </w:numPr>
              <w:tabs>
                <w:tab w:val="clear" w:pos="408"/>
              </w:tabs>
              <w:suppressAutoHyphens w:val="false"/>
              <w:overflowPunct w:val="false"/>
              <w:bidi w:val="0"/>
              <w:spacing w:lineRule="auto" w:line="276" w:before="0" w:after="0"/>
              <w:ind w:left="-198" w:right="-28" w:hanging="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r>
          </w:p>
        </w:tc>
        <w:tc>
          <w:tcPr>
            <w:tcW w:w="4182" w:type="dxa"/>
            <w:gridSpan w:val="7"/>
            <w:tcBorders>
              <w:top w:val="single" w:sz="8" w:space="0" w:color="000000"/>
              <w:bottom w:val="single" w:sz="4" w:space="0" w:color="000000"/>
            </w:tcBorders>
            <w:shd w:fill="DDDDDD" w:val="clear"/>
            <w:vAlign w:val="bottom"/>
          </w:tcPr>
          <w:p>
            <w:pPr>
              <w:pStyle w:val="TextBody"/>
              <w:widowControl w:val="false"/>
              <w:numPr>
                <w:ilvl w:val="1"/>
                <w:numId w:val="2"/>
              </w:numPr>
              <w:tabs>
                <w:tab w:val="clear" w:pos="408"/>
              </w:tabs>
              <w:spacing w:before="0" w:after="0"/>
              <w:jc w:val="center"/>
              <w:rPr>
                <w:rFonts w:ascii="Arial" w:hAnsi="Arial" w:eastAsia="Noto Serif CJK SC" w:cs="Lohit Devanagari"/>
                <w:b/>
                <w:b/>
                <w:bCs/>
                <w:i w:val="false"/>
                <w:i w:val="false"/>
                <w:iCs w:val="false"/>
                <w:color w:val="auto"/>
                <w:kern w:val="2"/>
                <w:sz w:val="18"/>
                <w:szCs w:val="18"/>
                <w:lang w:val="en-US" w:eastAsia="zh-CN" w:bidi="hi-IN"/>
              </w:rPr>
            </w:pPr>
            <w:r>
              <w:rPr>
                <w:rFonts w:eastAsia="Noto Serif CJK SC" w:cs="Lohit Devanagari" w:ascii="Arial" w:hAnsi="Arial"/>
                <w:b/>
                <w:bCs/>
                <w:i w:val="false"/>
                <w:iCs w:val="false"/>
                <w:color w:val="auto"/>
                <w:kern w:val="2"/>
                <w:sz w:val="18"/>
                <w:szCs w:val="18"/>
                <w:lang w:val="en-US" w:eastAsia="zh-CN" w:bidi="hi-IN"/>
              </w:rPr>
              <w:t>Forest owner goals and activities</w:t>
            </w:r>
          </w:p>
        </w:tc>
        <w:tc>
          <w:tcPr>
            <w:tcW w:w="427" w:type="dxa"/>
            <w:tcBorders>
              <w:top w:val="single" w:sz="8" w:space="0" w:color="000000"/>
              <w:bottom w:val="single" w:sz="4" w:space="0" w:color="000000"/>
            </w:tcBorders>
            <w:shd w:fill="DDDDDD" w:val="clear"/>
            <w:vAlign w:val="bottom"/>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r>
          </w:p>
        </w:tc>
        <w:tc>
          <w:tcPr>
            <w:tcW w:w="168" w:type="dxa"/>
            <w:tcBorders>
              <w:top w:val="single" w:sz="8" w:space="0" w:color="000000"/>
            </w:tcBorders>
            <w:vAlign w:val="bottom"/>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r>
          </w:p>
        </w:tc>
        <w:tc>
          <w:tcPr>
            <w:tcW w:w="163" w:type="dxa"/>
            <w:tcBorders>
              <w:top w:val="single" w:sz="8" w:space="0" w:color="000000"/>
            </w:tcBorders>
            <w:vAlign w:val="bottom"/>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r>
          </w:p>
        </w:tc>
        <w:tc>
          <w:tcPr>
            <w:tcW w:w="433" w:type="dxa"/>
            <w:tcBorders>
              <w:top w:val="single" w:sz="8" w:space="0" w:color="000000"/>
              <w:bottom w:val="single" w:sz="4" w:space="0" w:color="000000"/>
            </w:tcBorders>
            <w:shd w:fill="DDDDDD" w:val="clear"/>
            <w:vAlign w:val="bottom"/>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r>
          </w:p>
        </w:tc>
        <w:tc>
          <w:tcPr>
            <w:tcW w:w="5369" w:type="dxa"/>
            <w:gridSpan w:val="9"/>
            <w:tcBorders>
              <w:top w:val="single" w:sz="8" w:space="0" w:color="000000"/>
              <w:bottom w:val="single" w:sz="4" w:space="0" w:color="000000"/>
            </w:tcBorders>
            <w:shd w:fill="DDDDDD" w:val="clear"/>
            <w:vAlign w:val="bottom"/>
          </w:tcPr>
          <w:p>
            <w:pPr>
              <w:pStyle w:val="TextBody"/>
              <w:widowControl w:val="false"/>
              <w:numPr>
                <w:ilvl w:val="1"/>
                <w:numId w:val="2"/>
              </w:numPr>
              <w:tabs>
                <w:tab w:val="clear" w:pos="408"/>
              </w:tabs>
              <w:spacing w:before="0" w:after="0"/>
              <w:jc w:val="center"/>
              <w:rPr>
                <w:rFonts w:ascii="Arial" w:hAnsi="Arial" w:eastAsia="Noto Serif CJK SC" w:cs="Lohit Devanagari"/>
                <w:b/>
                <w:b/>
                <w:bCs/>
                <w:i w:val="false"/>
                <w:i w:val="false"/>
                <w:iCs w:val="false"/>
                <w:color w:val="auto"/>
                <w:kern w:val="2"/>
                <w:sz w:val="18"/>
                <w:szCs w:val="18"/>
                <w:lang w:val="en-US" w:eastAsia="zh-CN" w:bidi="hi-IN"/>
              </w:rPr>
            </w:pPr>
            <w:r>
              <w:rPr>
                <w:rFonts w:eastAsia="Noto Serif CJK SC" w:cs="Lohit Devanagari" w:ascii="Arial" w:hAnsi="Arial"/>
                <w:b/>
                <w:bCs/>
                <w:i w:val="false"/>
                <w:iCs w:val="false"/>
                <w:color w:val="auto"/>
                <w:kern w:val="2"/>
                <w:sz w:val="18"/>
                <w:szCs w:val="18"/>
                <w:lang w:val="en-US" w:eastAsia="zh-CN" w:bidi="hi-IN"/>
              </w:rPr>
              <w:t>Topographical parameters</w:t>
            </w:r>
          </w:p>
        </w:tc>
        <w:tc>
          <w:tcPr>
            <w:tcW w:w="483" w:type="dxa"/>
            <w:tcBorders>
              <w:top w:val="single" w:sz="8" w:space="0" w:color="000000"/>
              <w:bottom w:val="single" w:sz="4" w:space="0" w:color="000000"/>
            </w:tcBorders>
            <w:shd w:fill="DDDDDD" w:val="clear"/>
            <w:vAlign w:val="center"/>
          </w:tcPr>
          <w:p>
            <w:pPr>
              <w:pStyle w:val="Normal"/>
              <w:widowControl w:val="false"/>
              <w:rPr/>
            </w:pPr>
            <w:r>
              <w:rPr/>
            </w:r>
          </w:p>
        </w:tc>
        <w:tc>
          <w:tcPr>
            <w:tcW w:w="77" w:type="dxa"/>
            <w:tcBorders>
              <w:top w:val="single" w:sz="8" w:space="0" w:color="000000"/>
              <w:bottom w:val="single" w:sz="4" w:space="0" w:color="000000"/>
            </w:tcBorders>
            <w:shd w:fill="DDDDDD" w:val="clear"/>
            <w:vAlign w:val="center"/>
          </w:tcPr>
          <w:p>
            <w:pPr>
              <w:pStyle w:val="Normal"/>
              <w:widowControl w:val="false"/>
              <w:rPr/>
            </w:pPr>
            <w:r>
              <w:rPr/>
            </w:r>
          </w:p>
        </w:tc>
      </w:tr>
      <w:tr>
        <w:trPr>
          <w:trHeight w:val="1906" w:hRule="atLeast"/>
        </w:trPr>
        <w:tc>
          <w:tcPr>
            <w:tcW w:w="1919" w:type="dxa"/>
            <w:tcBorders>
              <w:bottom w:val="single" w:sz="4" w:space="0" w:color="000000"/>
            </w:tcBorders>
            <w:tcMar>
              <w:top w:w="0" w:type="dxa"/>
              <w:left w:w="0" w:type="dxa"/>
              <w:bottom w:w="0" w:type="dxa"/>
              <w:right w:w="0" w:type="dxa"/>
            </w:tcMar>
            <w:vAlign w:val="bottom"/>
          </w:tcPr>
          <w:p>
            <w:pPr>
              <w:pStyle w:val="TextBody"/>
              <w:widowControl w:val="false"/>
              <w:numPr>
                <w:ilvl w:val="1"/>
                <w:numId w:val="2"/>
              </w:numPr>
              <w:spacing w:before="0" w:after="0"/>
              <w:rPr>
                <w:i/>
                <w:i/>
                <w:iCs/>
              </w:rPr>
            </w:pPr>
            <w:r>
              <w:rPr>
                <w:rFonts w:ascii="Arial" w:hAnsi="Arial"/>
                <w:b/>
                <w:bCs/>
                <w:i/>
                <w:iCs/>
                <w:sz w:val="18"/>
                <w:szCs w:val="18"/>
              </w:rPr>
              <w:t>Answer variable</w:t>
            </w:r>
          </w:p>
        </w:tc>
        <w:tc>
          <w:tcPr>
            <w:tcW w:w="730" w:type="dxa"/>
            <w:tcBorders>
              <w:bottom w:val="single" w:sz="4" w:space="0" w:color="000000"/>
            </w:tcBorders>
            <w:tcMar>
              <w:top w:w="0" w:type="dxa"/>
              <w:left w:w="0" w:type="dxa"/>
              <w:bottom w:w="0" w:type="dxa"/>
              <w:right w:w="0" w:type="dxa"/>
            </w:tcMar>
            <w:vAlign w:val="bottom"/>
          </w:tcPr>
          <w:p>
            <w:pPr>
              <w:pStyle w:val="TextBody"/>
              <w:widowControl w:val="false"/>
              <w:numPr>
                <w:ilvl w:val="1"/>
                <w:numId w:val="2"/>
              </w:numPr>
              <w:tabs>
                <w:tab w:val="clear" w:pos="408"/>
              </w:tabs>
              <w:spacing w:before="0" w:after="0"/>
              <w:jc w:val="center"/>
              <w:rPr>
                <w:i/>
                <w:i/>
                <w:iCs/>
              </w:rPr>
            </w:pPr>
            <w:r>
              <w:rPr>
                <w:rFonts w:eastAsia="Noto Serif CJK SC" w:cs="Lohit Devanagari" w:ascii="Arial" w:hAnsi="Arial"/>
                <w:b/>
                <w:bCs/>
                <w:i/>
                <w:iCs/>
                <w:color w:val="auto"/>
                <w:kern w:val="2"/>
                <w:sz w:val="18"/>
                <w:szCs w:val="18"/>
                <w:u w:val="none"/>
                <w:lang w:val="en-US" w:eastAsia="zh-CN" w:bidi="hi-IN"/>
              </w:rPr>
              <w:t xml:space="preserve">adj. </w:t>
            </w:r>
            <w:r>
              <w:rPr>
                <w:rFonts w:eastAsia="Noto Serif CJK SC" w:cs="Lohit Devanagari" w:ascii="Arial" w:hAnsi="Arial"/>
                <w:b/>
                <w:bCs/>
                <w:i/>
                <w:iCs/>
                <w:color w:val="auto"/>
                <w:kern w:val="2"/>
                <w:sz w:val="18"/>
                <w:szCs w:val="18"/>
                <w:lang w:val="en-US" w:eastAsia="zh-CN" w:bidi="hi-IN"/>
              </w:rPr>
              <w:t>R</w:t>
            </w:r>
            <w:r>
              <w:rPr>
                <w:rFonts w:eastAsia="Noto Serif CJK SC" w:cs="Lohit Devanagari" w:ascii="Arial" w:hAnsi="Arial"/>
                <w:b/>
                <w:bCs/>
                <w:i/>
                <w:iCs/>
                <w:color w:val="auto"/>
                <w:kern w:val="2"/>
                <w:sz w:val="18"/>
                <w:szCs w:val="18"/>
                <w:vertAlign w:val="superscript"/>
                <w:lang w:val="en-US" w:eastAsia="zh-CN" w:bidi="hi-IN"/>
              </w:rPr>
              <w:t>2</w:t>
            </w:r>
          </w:p>
        </w:tc>
        <w:tc>
          <w:tcPr>
            <w:tcW w:w="595" w:type="dxa"/>
            <w:gridSpan w:val="2"/>
            <w:tcBorders>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regulating goals</w:t>
            </w:r>
          </w:p>
        </w:tc>
        <w:tc>
          <w:tcPr>
            <w:tcW w:w="598" w:type="dxa"/>
            <w:tcBorders>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cultural goals</w:t>
            </w:r>
          </w:p>
        </w:tc>
        <w:tc>
          <w:tcPr>
            <w:tcW w:w="598" w:type="dxa"/>
            <w:tcBorders>
              <w:top w:val="single" w:sz="4" w:space="0" w:color="000000"/>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provisioning goals</w:t>
            </w:r>
          </w:p>
        </w:tc>
        <w:tc>
          <w:tcPr>
            <w:tcW w:w="599" w:type="dxa"/>
            <w:tcBorders>
              <w:top w:val="single" w:sz="4" w:space="0" w:color="000000"/>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finandial goals</w:t>
            </w:r>
          </w:p>
        </w:tc>
        <w:tc>
          <w:tcPr>
            <w:tcW w:w="596" w:type="dxa"/>
            <w:tcBorders>
              <w:top w:val="single" w:sz="4" w:space="0" w:color="000000"/>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classical silviculture</w:t>
            </w:r>
          </w:p>
        </w:tc>
        <w:tc>
          <w:tcPr>
            <w:tcW w:w="595" w:type="dxa"/>
            <w:tcBorders>
              <w:top w:val="single" w:sz="4" w:space="0" w:color="000000"/>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close-to-nature silvi.</w:t>
            </w:r>
          </w:p>
        </w:tc>
        <w:tc>
          <w:tcPr>
            <w:tcW w:w="598" w:type="dxa"/>
            <w:tcBorders>
              <w:top w:val="single" w:sz="4" w:space="0" w:color="000000"/>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traditional silviculture</w:t>
            </w:r>
          </w:p>
        </w:tc>
        <w:tc>
          <w:tcPr>
            <w:tcW w:w="598" w:type="dxa"/>
            <w:tcBorders>
              <w:top w:val="single" w:sz="4" w:space="0" w:color="000000"/>
              <w:bottom w:val="single" w:sz="4" w:space="0" w:color="000000"/>
            </w:tcBorders>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active conservation</w:t>
            </w:r>
          </w:p>
        </w:tc>
        <w:tc>
          <w:tcPr>
            <w:tcW w:w="595" w:type="dxa"/>
            <w:gridSpan w:val="2"/>
            <w:tcBorders>
              <w:bottom w:val="single" w:sz="4" w:space="0" w:color="000000"/>
            </w:tcBorders>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passive conservation</w:t>
            </w:r>
          </w:p>
        </w:tc>
        <w:tc>
          <w:tcPr>
            <w:tcW w:w="596" w:type="dxa"/>
            <w:gridSpan w:val="2"/>
            <w:tcBorders>
              <w:bottom w:val="single" w:sz="4" w:space="0" w:color="000000"/>
            </w:tcBorders>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parcel size</w:t>
            </w:r>
          </w:p>
        </w:tc>
        <w:tc>
          <w:tcPr>
            <w:tcW w:w="596" w:type="dxa"/>
            <w:tcBorders>
              <w:top w:val="single" w:sz="4" w:space="0" w:color="000000"/>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elevation</w:t>
            </w:r>
          </w:p>
        </w:tc>
        <w:tc>
          <w:tcPr>
            <w:tcW w:w="597" w:type="dxa"/>
            <w:tcBorders>
              <w:top w:val="single" w:sz="4" w:space="0" w:color="000000"/>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slope</w:t>
            </w:r>
          </w:p>
        </w:tc>
        <w:tc>
          <w:tcPr>
            <w:tcW w:w="595" w:type="dxa"/>
            <w:tcBorders>
              <w:top w:val="single" w:sz="4" w:space="0" w:color="000000"/>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water availability</w:t>
            </w:r>
          </w:p>
        </w:tc>
        <w:tc>
          <w:tcPr>
            <w:tcW w:w="598" w:type="dxa"/>
            <w:tcBorders>
              <w:top w:val="single" w:sz="4" w:space="0" w:color="000000"/>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nutrient availability</w:t>
            </w:r>
          </w:p>
        </w:tc>
        <w:tc>
          <w:tcPr>
            <w:tcW w:w="595" w:type="dxa"/>
            <w:tcBorders>
              <w:top w:val="single" w:sz="4" w:space="0" w:color="000000"/>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distance to road</w:t>
            </w:r>
          </w:p>
        </w:tc>
        <w:tc>
          <w:tcPr>
            <w:tcW w:w="595" w:type="dxa"/>
            <w:tcBorders>
              <w:top w:val="single" w:sz="4" w:space="0" w:color="000000"/>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ancient broadleaf</w:t>
            </w:r>
          </w:p>
        </w:tc>
        <w:tc>
          <w:tcPr>
            <w:tcW w:w="598" w:type="dxa"/>
            <w:tcBorders>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ancient mixed</w:t>
            </w:r>
          </w:p>
        </w:tc>
        <w:tc>
          <w:tcPr>
            <w:tcW w:w="600" w:type="dxa"/>
            <w:tcBorders>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pPr>
            <w:r>
              <w:rPr>
                <w:rFonts w:eastAsia="Noto Serif CJK SC" w:cs="Lohit Devanagari" w:ascii="Arial" w:hAnsi="Arial"/>
                <w:b/>
                <w:bCs/>
                <w:i/>
                <w:iCs/>
                <w:color w:val="auto"/>
                <w:kern w:val="2"/>
                <w:sz w:val="16"/>
                <w:szCs w:val="16"/>
                <w:lang w:val="en-US" w:eastAsia="zh-CN" w:bidi="hi-IN"/>
              </w:rPr>
              <w:t>ancient conifer</w:t>
            </w:r>
          </w:p>
        </w:tc>
        <w:tc>
          <w:tcPr>
            <w:tcW w:w="595" w:type="dxa"/>
            <w:tcBorders>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open land within 2km</w:t>
            </w:r>
          </w:p>
        </w:tc>
        <w:tc>
          <w:tcPr>
            <w:tcW w:w="560" w:type="dxa"/>
            <w:gridSpan w:val="2"/>
            <w:tcBorders>
              <w:bottom w:val="single" w:sz="4" w:space="0" w:color="000000"/>
            </w:tcBorders>
            <w:tcMar>
              <w:top w:w="0" w:type="dxa"/>
              <w:left w:w="0" w:type="dxa"/>
              <w:bottom w:w="0" w:type="dxa"/>
              <w:right w:w="0" w:type="dxa"/>
            </w:tcMar>
            <w:textDirection w:val="btLr"/>
            <w:vAlign w:val="center"/>
          </w:tcPr>
          <w:p>
            <w:pPr>
              <w:pStyle w:val="TextBody"/>
              <w:widowControl w:val="false"/>
              <w:numPr>
                <w:ilvl w:val="1"/>
                <w:numId w:val="2"/>
              </w:numPr>
              <w:tabs>
                <w:tab w:val="clear" w:pos="408"/>
              </w:tabs>
              <w:spacing w:before="0" w:after="0"/>
              <w:jc w:val="left"/>
              <w:rPr>
                <w:rFonts w:ascii="Arial" w:hAnsi="Arial" w:eastAsia="Noto Serif CJK SC" w:cs="Lohit Devanagari"/>
                <w:b/>
                <w:b/>
                <w:bCs/>
                <w:i/>
                <w:i/>
                <w:iCs/>
                <w:color w:val="auto"/>
                <w:kern w:val="2"/>
                <w:sz w:val="16"/>
                <w:szCs w:val="16"/>
                <w:lang w:val="en-US" w:eastAsia="zh-CN" w:bidi="hi-IN"/>
              </w:rPr>
            </w:pPr>
            <w:r>
              <w:rPr>
                <w:rFonts w:eastAsia="Noto Serif CJK SC" w:cs="Lohit Devanagari" w:ascii="Arial" w:hAnsi="Arial"/>
                <w:b/>
                <w:bCs/>
                <w:i/>
                <w:iCs/>
                <w:color w:val="auto"/>
                <w:kern w:val="2"/>
                <w:sz w:val="16"/>
                <w:szCs w:val="16"/>
                <w:lang w:val="en-US" w:eastAsia="zh-CN" w:bidi="hi-IN"/>
              </w:rPr>
              <w:t>border with open land</w:t>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227" w:after="0"/>
              <w:rPr>
                <w:rFonts w:ascii="Arial" w:hAnsi="Arial" w:eastAsia="Noto Serif CJK SC" w:cs="Lohit Devanagari"/>
                <w:b/>
                <w:b/>
                <w:bCs/>
                <w:color w:val="auto"/>
                <w:kern w:val="2"/>
                <w:sz w:val="18"/>
                <w:szCs w:val="18"/>
                <w:lang w:val="en-US" w:eastAsia="zh-CN" w:bidi="hi-IN"/>
              </w:rPr>
            </w:pPr>
            <w:r>
              <w:rPr>
                <w:rFonts w:eastAsia="Noto Serif CJK SC" w:cs="Lohit Devanagari" w:ascii="Arial" w:hAnsi="Arial"/>
                <w:b/>
                <w:bCs/>
                <w:color w:val="auto"/>
                <w:kern w:val="2"/>
                <w:sz w:val="18"/>
                <w:szCs w:val="18"/>
                <w:lang w:val="en-US" w:eastAsia="zh-CN" w:bidi="hi-IN"/>
              </w:rPr>
              <w:t>Living wood volumes</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pPr>
            <w:r>
              <w:rPr/>
            </w:r>
          </w:p>
        </w:tc>
        <w:tc>
          <w:tcPr>
            <w:tcW w:w="595" w:type="dxa"/>
            <w:gridSpan w:val="2"/>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9"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r>
          </w:p>
        </w:tc>
        <w:tc>
          <w:tcPr>
            <w:tcW w:w="595"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gridSpan w:val="2"/>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6" w:type="dxa"/>
            <w:gridSpan w:val="2"/>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600" w:type="dxa"/>
            <w:tcBorders/>
            <w:shd w:fill="FFFFFF" w:val="clear"/>
            <w:tcMar>
              <w:top w:w="0" w:type="dxa"/>
              <w:left w:w="0" w:type="dxa"/>
              <w:bottom w:w="0" w:type="dxa"/>
              <w:right w:w="0" w:type="dxa"/>
            </w:tcMar>
            <w:vAlign w:val="center"/>
          </w:tcPr>
          <w:p>
            <w:pPr>
              <w:pStyle w:val="Table"/>
              <w:widowControl w:val="false"/>
              <w:numPr>
                <w:ilvl w:val="0"/>
                <w:numId w:val="2"/>
              </w:numPr>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iCs/>
                <w:color w:val="auto"/>
                <w:kern w:val="2"/>
                <w:sz w:val="20"/>
                <w:szCs w:val="20"/>
                <w:lang w:val="en-US" w:eastAsia="zh-CN" w:bidi="hi-IN"/>
              </w:rPr>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60" w:type="dxa"/>
            <w:gridSpan w:val="2"/>
            <w:tcBorders/>
            <w:shd w:fill="FFFFFF" w:val="clear"/>
            <w:tcMar>
              <w:top w:w="0" w:type="dxa"/>
              <w:left w:w="0" w:type="dxa"/>
              <w:bottom w:w="0" w:type="dxa"/>
              <w:right w:w="0" w:type="dxa"/>
            </w:tcMar>
            <w:vAlign w:val="center"/>
          </w:tcPr>
          <w:p>
            <w:pPr>
              <w:pStyle w:val="Table"/>
              <w:widowControl w:val="false"/>
              <w:numPr>
                <w:ilvl w:val="0"/>
                <w:numId w:val="2"/>
              </w:numPr>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iCs/>
                <w:color w:val="auto"/>
                <w:kern w:val="2"/>
                <w:sz w:val="20"/>
                <w:szCs w:val="20"/>
                <w:lang w:val="en-US" w:eastAsia="zh-CN" w:bidi="hi-IN"/>
              </w:rPr>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eastAsia="Noto Serif CJK SC" w:cs="Lohit Devanagari"/>
                <w:color w:val="auto"/>
                <w:kern w:val="2"/>
                <w:sz w:val="18"/>
                <w:szCs w:val="18"/>
                <w:lang w:val="en-US" w:eastAsia="zh-CN" w:bidi="hi-IN"/>
              </w:rPr>
            </w:pPr>
            <w:r>
              <w:rPr>
                <w:rFonts w:eastAsia="Noto Serif CJK SC" w:cs="Lohit Devanagari" w:ascii="Arial" w:hAnsi="Arial"/>
                <w:color w:val="auto"/>
                <w:kern w:val="2"/>
                <w:sz w:val="18"/>
                <w:szCs w:val="18"/>
                <w:lang w:val="en-US" w:eastAsia="zh-CN" w:bidi="hi-IN"/>
              </w:rPr>
              <w:t xml:space="preserve">   – </w:t>
            </w:r>
            <w:r>
              <w:rPr>
                <w:rFonts w:eastAsia="Noto Serif CJK SC" w:cs="Lohit Devanagari" w:ascii="Arial" w:hAnsi="Arial"/>
                <w:color w:val="auto"/>
                <w:kern w:val="2"/>
                <w:sz w:val="18"/>
                <w:szCs w:val="18"/>
                <w:lang w:val="en-US" w:eastAsia="zh-CN" w:bidi="hi-IN"/>
              </w:rPr>
              <w:t>total</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pPr>
            <w:r>
              <w:rPr>
                <w:rFonts w:ascii="Arial" w:hAnsi="Arial"/>
                <w:sz w:val="18"/>
                <w:szCs w:val="18"/>
              </w:rPr>
              <w:t>0.</w:t>
            </w:r>
            <w:r>
              <w:rPr>
                <w:rFonts w:eastAsia="Noto Serif CJK SC" w:cs="Lohit Devanagari" w:ascii="Arial" w:hAnsi="Arial"/>
                <w:color w:val="auto"/>
                <w:kern w:val="2"/>
                <w:sz w:val="18"/>
                <w:szCs w:val="18"/>
                <w:lang w:val="en-US" w:eastAsia="zh-CN" w:bidi="hi-IN"/>
              </w:rPr>
              <w:t>32</w:t>
            </w:r>
          </w:p>
        </w:tc>
        <w:tc>
          <w:tcPr>
            <w:tcW w:w="595" w:type="dxa"/>
            <w:gridSpan w:val="2"/>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9"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5"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gridSpan w:val="2"/>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6" w:type="dxa"/>
            <w:gridSpan w:val="2"/>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t>++</w:t>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t>+++</w:t>
            </w:r>
          </w:p>
        </w:tc>
        <w:tc>
          <w:tcPr>
            <w:tcW w:w="600" w:type="dxa"/>
            <w:tcBorders/>
            <w:shd w:fill="FFFFFF" w:val="clear"/>
            <w:tcMar>
              <w:top w:w="0" w:type="dxa"/>
              <w:left w:w="0" w:type="dxa"/>
              <w:bottom w:w="0" w:type="dxa"/>
              <w:right w:w="0" w:type="dxa"/>
            </w:tcMar>
            <w:vAlign w:val="center"/>
          </w:tcPr>
          <w:p>
            <w:pPr>
              <w:pStyle w:val="Table"/>
              <w:widowControl w:val="false"/>
              <w:numPr>
                <w:ilvl w:val="0"/>
                <w:numId w:val="2"/>
              </w:numPr>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60" w:type="dxa"/>
            <w:gridSpan w:val="2"/>
            <w:tcBorders/>
            <w:shd w:fill="FFFFFF" w:val="clear"/>
            <w:tcMar>
              <w:top w:w="0" w:type="dxa"/>
              <w:left w:w="0" w:type="dxa"/>
              <w:bottom w:w="0" w:type="dxa"/>
              <w:right w:w="0" w:type="dxa"/>
            </w:tcMar>
            <w:vAlign w:val="center"/>
          </w:tcPr>
          <w:p>
            <w:pPr>
              <w:pStyle w:val="Table"/>
              <w:widowControl w:val="false"/>
              <w:numPr>
                <w:ilvl w:val="0"/>
                <w:numId w:val="2"/>
              </w:numPr>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 xml:space="preserve">   – </w:t>
            </w:r>
            <w:r>
              <w:rPr>
                <w:rFonts w:ascii="Arial" w:hAnsi="Arial"/>
                <w:sz w:val="18"/>
                <w:szCs w:val="18"/>
              </w:rPr>
              <w:t>only broadleaf</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0.32</w:t>
            </w:r>
          </w:p>
        </w:tc>
        <w:tc>
          <w:tcPr>
            <w:tcW w:w="595" w:type="dxa"/>
            <w:gridSpan w:val="2"/>
            <w:tcBorders/>
            <w:shd w:fill="DDDDDD" w:val="clear"/>
            <w:tcMar>
              <w:top w:w="0" w:type="dxa"/>
              <w:left w:w="0" w:type="dxa"/>
              <w:bottom w:w="0" w:type="dxa"/>
              <w:right w:w="0" w:type="dxa"/>
            </w:tcMar>
            <w:vAlign w:val="center"/>
          </w:tcPr>
          <w:p>
            <w:pPr>
              <w:pStyle w:val="Table"/>
              <w:widowControl w:val="false"/>
              <w:numPr>
                <w:ilvl w:val="0"/>
                <w:numId w:val="2"/>
              </w:numPr>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strike w:val="false"/>
                <w:dstrike w:val="false"/>
                <w:outline w:val="false"/>
                <w:shadow w:val="false"/>
                <w:color w:val="auto"/>
                <w:kern w:val="2"/>
                <w:sz w:val="20"/>
                <w:szCs w:val="20"/>
                <w:u w:val="none"/>
                <w:em w:val="none"/>
                <w:lang w:val="en-US" w:eastAsia="zh-CN" w:bidi="hi-IN"/>
              </w:rPr>
              <w:t>−</w:t>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9"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gridSpan w:val="2"/>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6" w:type="dxa"/>
            <w:gridSpan w:val="2"/>
            <w:tcBorders/>
            <w:tcMar>
              <w:top w:w="0" w:type="dxa"/>
              <w:left w:w="0" w:type="dxa"/>
              <w:bottom w:w="0" w:type="dxa"/>
              <w:right w:w="0" w:type="dxa"/>
            </w:tcMar>
            <w:vAlign w:val="center"/>
          </w:tcPr>
          <w:p>
            <w:pPr>
              <w:pStyle w:val="Table"/>
              <w:widowControl w:val="false"/>
              <w:numPr>
                <w:ilvl w:val="0"/>
                <w:numId w:val="2"/>
              </w:numPr>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6"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t>+++</w:t>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t>++</w:t>
            </w:r>
          </w:p>
        </w:tc>
        <w:tc>
          <w:tcPr>
            <w:tcW w:w="600" w:type="dxa"/>
            <w:tcBorders/>
            <w:shd w:fill="FFFFFF"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t>+</w:t>
            </w:r>
          </w:p>
        </w:tc>
        <w:tc>
          <w:tcPr>
            <w:tcW w:w="560" w:type="dxa"/>
            <w:gridSpan w:val="2"/>
            <w:tcBorders/>
            <w:shd w:fill="FFFFFF" w:val="clear"/>
            <w:tcMar>
              <w:top w:w="0" w:type="dxa"/>
              <w:left w:w="0" w:type="dxa"/>
              <w:bottom w:w="0" w:type="dxa"/>
              <w:right w:w="0" w:type="dxa"/>
            </w:tcMar>
            <w:vAlign w:val="center"/>
          </w:tcPr>
          <w:p>
            <w:pPr>
              <w:pStyle w:val="Table"/>
              <w:widowControl w:val="false"/>
              <w:numPr>
                <w:ilvl w:val="0"/>
                <w:numId w:val="2"/>
              </w:numPr>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r>
      <w:tr>
        <w:trPr>
          <w:trHeight w:val="309" w:hRule="atLeast"/>
        </w:trPr>
        <w:tc>
          <w:tcPr>
            <w:tcW w:w="1919" w:type="dxa"/>
            <w:tcBorders>
              <w:bottom w:val="single" w:sz="4" w:space="0" w:color="000000"/>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 xml:space="preserve">   – </w:t>
            </w:r>
            <w:r>
              <w:rPr>
                <w:rFonts w:ascii="Arial" w:hAnsi="Arial"/>
                <w:sz w:val="18"/>
                <w:szCs w:val="18"/>
              </w:rPr>
              <w:t>only conifer</w:t>
            </w:r>
          </w:p>
        </w:tc>
        <w:tc>
          <w:tcPr>
            <w:tcW w:w="730" w:type="dxa"/>
            <w:tcBorders>
              <w:bottom w:val="single" w:sz="4" w:space="0" w:color="000000"/>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0.29</w:t>
            </w:r>
          </w:p>
        </w:tc>
        <w:tc>
          <w:tcPr>
            <w:tcW w:w="595" w:type="dxa"/>
            <w:gridSpan w:val="2"/>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9"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bottom w:val="single" w:sz="4" w:space="0" w:color="000000"/>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8"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gridSpan w:val="2"/>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gridSpan w:val="2"/>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6"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bottom w:val="single" w:sz="4" w:space="0" w:color="000000"/>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5"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bottom w:val="single" w:sz="4" w:space="0" w:color="000000"/>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600" w:type="dxa"/>
            <w:tcBorders>
              <w:bottom w:val="single" w:sz="4" w:space="0" w:color="000000"/>
            </w:tcBorders>
            <w:shd w:fill="FFFFFF"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5" w:type="dxa"/>
            <w:tcBorders>
              <w:bottom w:val="single" w:sz="4" w:space="0" w:color="000000"/>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60" w:type="dxa"/>
            <w:gridSpan w:val="2"/>
            <w:tcBorders>
              <w:bottom w:val="single" w:sz="4" w:space="0" w:color="000000"/>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227" w:after="0"/>
              <w:rPr>
                <w:rFonts w:ascii="Arial" w:hAnsi="Arial"/>
                <w:b/>
                <w:b/>
                <w:bCs/>
                <w:sz w:val="18"/>
                <w:szCs w:val="18"/>
              </w:rPr>
            </w:pPr>
            <w:r>
              <w:rPr>
                <w:rFonts w:ascii="Arial" w:hAnsi="Arial"/>
                <w:b/>
                <w:bCs/>
                <w:sz w:val="18"/>
                <w:szCs w:val="18"/>
              </w:rPr>
              <w:t>Deadwood volumes</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9"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iCs/>
                <w:color w:val="auto"/>
                <w:kern w:val="2"/>
                <w:sz w:val="20"/>
                <w:szCs w:val="20"/>
                <w:lang w:val="en-US" w:eastAsia="zh-CN" w:bidi="hi-IN"/>
              </w:rPr>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gridSpan w:val="2"/>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600" w:type="dxa"/>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60" w:type="dxa"/>
            <w:gridSpan w:val="2"/>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 xml:space="preserve">   – </w:t>
            </w:r>
            <w:r>
              <w:rPr>
                <w:rFonts w:ascii="Arial" w:hAnsi="Arial"/>
                <w:sz w:val="18"/>
                <w:szCs w:val="18"/>
              </w:rPr>
              <w:t>total</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0.24</w:t>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9"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gridSpan w:val="2"/>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600" w:type="dxa"/>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60" w:type="dxa"/>
            <w:gridSpan w:val="2"/>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 xml:space="preserve">   – </w:t>
            </w:r>
            <w:r>
              <w:rPr>
                <w:rFonts w:ascii="Arial" w:hAnsi="Arial"/>
                <w:sz w:val="18"/>
                <w:szCs w:val="18"/>
              </w:rPr>
              <w:t>broadleaf</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0.17</w:t>
            </w:r>
          </w:p>
        </w:tc>
        <w:tc>
          <w:tcPr>
            <w:tcW w:w="595" w:type="dxa"/>
            <w:gridSpan w:val="2"/>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9"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6"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gridSpan w:val="2"/>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6" w:type="dxa"/>
            <w:gridSpan w:val="2"/>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6"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7"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600" w:type="dxa"/>
            <w:tcBorders/>
            <w:shd w:fill="FFFFFF"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60" w:type="dxa"/>
            <w:gridSpan w:val="2"/>
            <w:tcBorders/>
            <w:shd w:fill="FFFFFF"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 xml:space="preserve">   – </w:t>
            </w:r>
            <w:r>
              <w:rPr>
                <w:rFonts w:ascii="Arial" w:hAnsi="Arial"/>
                <w:sz w:val="18"/>
                <w:szCs w:val="18"/>
              </w:rPr>
              <w:t>conifer</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0.21</w:t>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9"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gridSpan w:val="2"/>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600" w:type="dxa"/>
            <w:tcBorders/>
            <w:shd w:fill="FFFFFF"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60" w:type="dxa"/>
            <w:gridSpan w:val="2"/>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 xml:space="preserve">   – </w:t>
            </w:r>
            <w:r>
              <w:rPr>
                <w:rFonts w:ascii="Arial" w:hAnsi="Arial"/>
                <w:sz w:val="18"/>
                <w:szCs w:val="18"/>
              </w:rPr>
              <w:t>sawn</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0.30</w:t>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9"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8" w:type="dxa"/>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r>
              <w:rPr>
                <w:rFonts w:eastAsia="Noto Serif CJK SC" w:cs="Lohit Devanagari"/>
                <w:b w:val="false"/>
                <w:bCs/>
                <w:i w:val="false"/>
                <w:iCs/>
                <w:strike w:val="false"/>
                <w:dstrike w:val="false"/>
                <w:outline w:val="false"/>
                <w:shadow w:val="false"/>
                <w:color w:val="auto"/>
                <w:kern w:val="2"/>
                <w:sz w:val="12"/>
                <w:szCs w:val="12"/>
                <w:u w:val="none"/>
                <w:em w:val="none"/>
                <w:lang w:val="en-US" w:eastAsia="zh-CN" w:bidi="hi-IN"/>
              </w:rPr>
              <w:t>−</w:t>
            </w: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gridSpan w:val="2"/>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6"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r>
          </w:p>
        </w:tc>
        <w:tc>
          <w:tcPr>
            <w:tcW w:w="595" w:type="dxa"/>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600" w:type="dxa"/>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60" w:type="dxa"/>
            <w:gridSpan w:val="2"/>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r>
      <w:tr>
        <w:trPr>
          <w:trHeight w:val="309" w:hRule="atLeast"/>
        </w:trPr>
        <w:tc>
          <w:tcPr>
            <w:tcW w:w="1919" w:type="dxa"/>
            <w:tcBorders>
              <w:bottom w:val="single" w:sz="4" w:space="0" w:color="000000"/>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 xml:space="preserve">   – </w:t>
            </w:r>
            <w:r>
              <w:rPr>
                <w:rFonts w:ascii="Arial" w:hAnsi="Arial"/>
                <w:sz w:val="18"/>
                <w:szCs w:val="18"/>
              </w:rPr>
              <w:t>non-sawn</w:t>
            </w:r>
          </w:p>
        </w:tc>
        <w:tc>
          <w:tcPr>
            <w:tcW w:w="730" w:type="dxa"/>
            <w:tcBorders>
              <w:bottom w:val="single" w:sz="4" w:space="0" w:color="000000"/>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0.20</w:t>
            </w:r>
          </w:p>
        </w:tc>
        <w:tc>
          <w:tcPr>
            <w:tcW w:w="595" w:type="dxa"/>
            <w:gridSpan w:val="2"/>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9" w:type="dxa"/>
            <w:tcBorders>
              <w:bottom w:val="single" w:sz="4" w:space="0" w:color="000000"/>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6" w:type="dxa"/>
            <w:tcBorders>
              <w:bottom w:val="single" w:sz="4" w:space="0" w:color="000000"/>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r>
              <w:rPr>
                <w:rFonts w:eastAsia="Noto Serif CJK SC" w:cs="Lohit Devanagari"/>
                <w:b w:val="false"/>
                <w:bCs/>
                <w:i w:val="false"/>
                <w:iCs/>
                <w:strike w:val="false"/>
                <w:dstrike w:val="false"/>
                <w:outline w:val="false"/>
                <w:shadow w:val="false"/>
                <w:color w:val="auto"/>
                <w:kern w:val="2"/>
                <w:sz w:val="12"/>
                <w:szCs w:val="12"/>
                <w:u w:val="none"/>
                <w:em w:val="none"/>
                <w:lang w:val="en-US" w:eastAsia="zh-CN" w:bidi="hi-IN"/>
              </w:rPr>
              <w:t>−</w:t>
            </w: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5" w:type="dxa"/>
            <w:tcBorders>
              <w:bottom w:val="single" w:sz="4" w:space="0" w:color="000000"/>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8" w:type="dxa"/>
            <w:tcBorders>
              <w:bottom w:val="single" w:sz="4" w:space="0" w:color="000000"/>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bottom w:val="single" w:sz="4" w:space="0" w:color="000000"/>
            </w:tcBorders>
            <w:tcMar>
              <w:top w:w="0" w:type="dxa"/>
              <w:left w:w="0" w:type="dxa"/>
              <w:bottom w:w="0" w:type="dxa"/>
              <w:right w:w="0" w:type="dxa"/>
            </w:tcMar>
            <w:vAlign w:val="center"/>
          </w:tcPr>
          <w:p>
            <w:pPr>
              <w:pStyle w:val="Table"/>
              <w:widowControl w:val="false"/>
              <w:numPr>
                <w:ilvl w:val="0"/>
                <w:numId w:val="2"/>
              </w:numPr>
              <w:tabs>
                <w:tab w:val="clear" w:pos="408"/>
              </w:tabs>
              <w:spacing w:before="0" w:after="0"/>
              <w:jc w:val="center"/>
              <w:rPr>
                <w:rFonts w:ascii="Arial" w:hAnsi="Arial" w:eastAsia="Noto Serif CJK SC" w:cs="Lohit Devanagari"/>
                <w:b/>
                <w:b/>
                <w:bCs/>
                <w:i/>
                <w:i/>
                <w:iCs/>
                <w:strike w:val="false"/>
                <w:dstrike w:val="false"/>
                <w:outline w:val="false"/>
                <w:shadow w:val="false"/>
                <w:color w:val="auto"/>
                <w:kern w:val="2"/>
                <w:sz w:val="20"/>
                <w:szCs w:val="20"/>
                <w:u w:val="none"/>
                <w:em w:val="none"/>
                <w:lang w:val="en-US" w:eastAsia="zh-CN" w:bidi="hi-IN"/>
              </w:rPr>
            </w:pPr>
            <w:r>
              <w:rPr>
                <w:rFonts w:eastAsia="Noto Serif CJK SC" w:cs="Lohit Devanagari"/>
                <w:b/>
                <w:bCs/>
                <w:i w:val="false"/>
                <w:iCs/>
                <w:strike w:val="false"/>
                <w:dstrike w:val="false"/>
                <w:outline w:val="false"/>
                <w:shadow w:val="false"/>
                <w:color w:val="auto"/>
                <w:kern w:val="2"/>
                <w:sz w:val="20"/>
                <w:szCs w:val="20"/>
                <w:u w:val="none"/>
                <w:em w:val="none"/>
                <w:lang w:val="en-US" w:eastAsia="zh-CN" w:bidi="hi-IN"/>
              </w:rPr>
              <w:t>−</w:t>
            </w:r>
          </w:p>
        </w:tc>
        <w:tc>
          <w:tcPr>
            <w:tcW w:w="595" w:type="dxa"/>
            <w:gridSpan w:val="2"/>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gridSpan w:val="2"/>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5"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bottom w:val="single" w:sz="4" w:space="0" w:color="000000"/>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600" w:type="dxa"/>
            <w:tcBorders>
              <w:bottom w:val="single" w:sz="4" w:space="0" w:color="000000"/>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bottom w:val="single" w:sz="4" w:space="0" w:color="000000"/>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60" w:type="dxa"/>
            <w:gridSpan w:val="2"/>
            <w:tcBorders>
              <w:bottom w:val="single" w:sz="4" w:space="0" w:color="000000"/>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r>
      <w:tr>
        <w:trPr>
          <w:trHeight w:val="281" w:hRule="atLeast"/>
        </w:trPr>
        <w:tc>
          <w:tcPr>
            <w:tcW w:w="2649" w:type="dxa"/>
            <w:gridSpan w:val="2"/>
            <w:tcBorders/>
            <w:tcMar>
              <w:top w:w="0" w:type="dxa"/>
              <w:left w:w="0" w:type="dxa"/>
              <w:bottom w:w="0" w:type="dxa"/>
              <w:right w:w="0" w:type="dxa"/>
            </w:tcMar>
            <w:vAlign w:val="bottom"/>
          </w:tcPr>
          <w:p>
            <w:pPr>
              <w:pStyle w:val="TextBody"/>
              <w:widowControl w:val="false"/>
              <w:numPr>
                <w:ilvl w:val="1"/>
                <w:numId w:val="2"/>
              </w:numPr>
              <w:spacing w:before="227" w:after="0"/>
              <w:rPr>
                <w:rFonts w:ascii="Arial" w:hAnsi="Arial"/>
                <w:b/>
                <w:b/>
                <w:bCs/>
                <w:sz w:val="18"/>
                <w:szCs w:val="18"/>
              </w:rPr>
            </w:pPr>
            <w:r>
              <w:rPr>
                <w:rFonts w:ascii="Arial" w:hAnsi="Arial"/>
                <w:b/>
                <w:bCs/>
                <w:sz w:val="18"/>
                <w:szCs w:val="18"/>
              </w:rPr>
              <w:t>Harvested wood volumes</w:t>
            </w:r>
          </w:p>
        </w:tc>
        <w:tc>
          <w:tcPr>
            <w:tcW w:w="595" w:type="dxa"/>
            <w:gridSpan w:val="2"/>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r>
          </w:p>
        </w:tc>
        <w:tc>
          <w:tcPr>
            <w:tcW w:w="598" w:type="dxa"/>
            <w:tcBorders/>
            <w:shd w:fill="DDDDDD" w:val="clear"/>
            <w:tcMar>
              <w:top w:w="0" w:type="dxa"/>
              <w:left w:w="0" w:type="dxa"/>
              <w:bottom w:w="0" w:type="dxa"/>
              <w:right w:w="0" w:type="dxa"/>
            </w:tcMar>
            <w:vAlign w:val="center"/>
          </w:tcPr>
          <w:p>
            <w:pPr>
              <w:pStyle w:val="Table"/>
              <w:widowControl w:val="false"/>
              <w:numPr>
                <w:ilvl w:val="0"/>
                <w:numId w:val="2"/>
              </w:numPr>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iCs/>
                <w:color w:val="auto"/>
                <w:kern w:val="2"/>
                <w:sz w:val="20"/>
                <w:szCs w:val="20"/>
                <w:lang w:val="en-US" w:eastAsia="zh-CN" w:bidi="hi-IN"/>
              </w:rPr>
            </w:r>
          </w:p>
        </w:tc>
        <w:tc>
          <w:tcPr>
            <w:tcW w:w="599"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val="false"/>
                <w:b w:val="false"/>
                <w:bCs w:val="false"/>
                <w:sz w:val="12"/>
                <w:szCs w:val="12"/>
              </w:rPr>
            </w:pPr>
            <w:r>
              <w:rPr>
                <w:rFonts w:ascii="Arial" w:hAnsi="Arial"/>
                <w:b w:val="false"/>
                <w:bCs w:val="false"/>
                <w:sz w:val="12"/>
                <w:szCs w:val="12"/>
              </w:rPr>
            </w:r>
          </w:p>
        </w:tc>
        <w:tc>
          <w:tcPr>
            <w:tcW w:w="596"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r>
          </w:p>
        </w:tc>
        <w:tc>
          <w:tcPr>
            <w:tcW w:w="595" w:type="dxa"/>
            <w:gridSpan w:val="2"/>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r>
          </w:p>
        </w:tc>
        <w:tc>
          <w:tcPr>
            <w:tcW w:w="596" w:type="dxa"/>
            <w:gridSpan w:val="2"/>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iCs/>
                <w:color w:val="auto"/>
                <w:kern w:val="2"/>
                <w:sz w:val="20"/>
                <w:szCs w:val="20"/>
                <w:lang w:val="en-US" w:eastAsia="zh-CN" w:bidi="hi-IN"/>
              </w:rPr>
            </w:r>
          </w:p>
        </w:tc>
        <w:tc>
          <w:tcPr>
            <w:tcW w:w="596"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7"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r>
          </w:p>
        </w:tc>
        <w:tc>
          <w:tcPr>
            <w:tcW w:w="595"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val="false"/>
                <w:b w:val="false"/>
                <w:bCs w:val="false"/>
                <w:sz w:val="12"/>
                <w:szCs w:val="12"/>
              </w:rPr>
            </w:pPr>
            <w:r>
              <w:rPr>
                <w:rFonts w:ascii="Arial" w:hAnsi="Arial"/>
                <w:b w:val="false"/>
                <w:bCs w:val="false"/>
                <w:sz w:val="12"/>
                <w:szCs w:val="12"/>
              </w:rPr>
            </w:r>
          </w:p>
        </w:tc>
        <w:tc>
          <w:tcPr>
            <w:tcW w:w="600" w:type="dxa"/>
            <w:tcBorders/>
            <w:shd w:fill="FFFFFF"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r>
          </w:p>
        </w:tc>
        <w:tc>
          <w:tcPr>
            <w:tcW w:w="560" w:type="dxa"/>
            <w:gridSpan w:val="2"/>
            <w:tcBorders/>
            <w:shd w:fill="FFFFFF"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r>
      <w:tr>
        <w:trPr>
          <w:trHeight w:val="280"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 xml:space="preserve">   – </w:t>
            </w:r>
            <w:r>
              <w:rPr>
                <w:rFonts w:ascii="Arial" w:hAnsi="Arial"/>
                <w:sz w:val="18"/>
                <w:szCs w:val="18"/>
              </w:rPr>
              <w:t>total</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0.35</w:t>
            </w:r>
          </w:p>
        </w:tc>
        <w:tc>
          <w:tcPr>
            <w:tcW w:w="595" w:type="dxa"/>
            <w:gridSpan w:val="2"/>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r>
          </w:p>
        </w:tc>
        <w:tc>
          <w:tcPr>
            <w:tcW w:w="598" w:type="dxa"/>
            <w:tcBorders/>
            <w:shd w:fill="DDDDDD" w:val="clear"/>
            <w:tcMar>
              <w:top w:w="0" w:type="dxa"/>
              <w:left w:w="0" w:type="dxa"/>
              <w:bottom w:w="0" w:type="dxa"/>
              <w:right w:w="0" w:type="dxa"/>
            </w:tcMar>
            <w:vAlign w:val="center"/>
          </w:tcPr>
          <w:p>
            <w:pPr>
              <w:pStyle w:val="Table"/>
              <w:widowControl w:val="false"/>
              <w:numPr>
                <w:ilvl w:val="0"/>
                <w:numId w:val="2"/>
              </w:numPr>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9"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val="false"/>
                <w:b w:val="false"/>
                <w:bCs w:val="false"/>
                <w:sz w:val="12"/>
                <w:szCs w:val="12"/>
              </w:rPr>
            </w:pPr>
            <w:r>
              <w:rPr>
                <w:rFonts w:ascii="Arial" w:hAnsi="Arial"/>
                <w:b w:val="false"/>
                <w:bCs w:val="false"/>
                <w:sz w:val="12"/>
                <w:szCs w:val="12"/>
              </w:rPr>
              <w:t>(</w:t>
            </w:r>
            <w:r>
              <w:rPr>
                <w:rFonts w:ascii="Arial" w:hAnsi="Arial"/>
                <w:b w:val="false"/>
                <w:bCs w:val="false"/>
                <w:i w:val="false"/>
                <w:iCs/>
                <w:sz w:val="12"/>
                <w:szCs w:val="12"/>
              </w:rPr>
              <w:t>+</w:t>
            </w:r>
            <w:r>
              <w:rPr>
                <w:rFonts w:ascii="Arial" w:hAnsi="Arial"/>
                <w:b w:val="false"/>
                <w:bCs w:val="false"/>
                <w:sz w:val="12"/>
                <w:szCs w:val="12"/>
              </w:rPr>
              <w:t>)</w:t>
            </w:r>
          </w:p>
        </w:tc>
        <w:tc>
          <w:tcPr>
            <w:tcW w:w="596"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595"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5" w:type="dxa"/>
            <w:gridSpan w:val="2"/>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6" w:type="dxa"/>
            <w:gridSpan w:val="2"/>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iCs/>
                <w:color w:val="auto"/>
                <w:kern w:val="2"/>
                <w:sz w:val="20"/>
                <w:szCs w:val="20"/>
                <w:lang w:val="en-US" w:eastAsia="zh-CN" w:bidi="hi-IN"/>
              </w:rPr>
            </w:r>
          </w:p>
        </w:tc>
        <w:tc>
          <w:tcPr>
            <w:tcW w:w="596"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7"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5"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val="false"/>
                <w:b w:val="false"/>
                <w:bCs w:val="false"/>
                <w:sz w:val="12"/>
                <w:szCs w:val="12"/>
              </w:rPr>
            </w:pPr>
            <w:r>
              <w:rPr>
                <w:rFonts w:ascii="Arial" w:hAnsi="Arial"/>
                <w:b w:val="false"/>
                <w:bCs w:val="false"/>
                <w:sz w:val="12"/>
                <w:szCs w:val="12"/>
              </w:rPr>
              <w:t>(</w:t>
            </w:r>
            <w:r>
              <w:rPr>
                <w:rFonts w:ascii="Arial" w:hAnsi="Arial"/>
                <w:b w:val="false"/>
                <w:bCs w:val="false"/>
                <w:i w:val="false"/>
                <w:iCs/>
                <w:sz w:val="12"/>
                <w:szCs w:val="12"/>
              </w:rPr>
              <w:t>+</w:t>
            </w:r>
            <w:r>
              <w:rPr>
                <w:rFonts w:ascii="Arial" w:hAnsi="Arial"/>
                <w:b w:val="false"/>
                <w:bCs w:val="false"/>
                <w:sz w:val="12"/>
                <w:szCs w:val="12"/>
              </w:rPr>
              <w:t>)</w:t>
            </w:r>
          </w:p>
        </w:tc>
        <w:tc>
          <w:tcPr>
            <w:tcW w:w="600" w:type="dxa"/>
            <w:tcBorders/>
            <w:shd w:fill="FFFFFF"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r>
          </w:p>
        </w:tc>
        <w:tc>
          <w:tcPr>
            <w:tcW w:w="560" w:type="dxa"/>
            <w:gridSpan w:val="2"/>
            <w:tcBorders/>
            <w:shd w:fill="FFFFFF"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r>
      <w:tr>
        <w:trPr>
          <w:trHeight w:val="280"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eastAsia="Noto Serif CJK SC" w:cs="Lohit Devanagari" w:ascii="Arial" w:hAnsi="Arial"/>
                <w:color w:val="auto"/>
                <w:kern w:val="2"/>
                <w:sz w:val="18"/>
                <w:szCs w:val="18"/>
                <w:lang w:val="en-US" w:eastAsia="zh-CN" w:bidi="hi-IN"/>
              </w:rPr>
              <w:t xml:space="preserve">   – </w:t>
            </w:r>
            <w:r>
              <w:rPr>
                <w:rFonts w:ascii="Arial" w:hAnsi="Arial"/>
                <w:sz w:val="18"/>
                <w:szCs w:val="18"/>
              </w:rPr>
              <w:t>broadleaf</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0.26</w:t>
            </w:r>
          </w:p>
        </w:tc>
        <w:tc>
          <w:tcPr>
            <w:tcW w:w="595" w:type="dxa"/>
            <w:gridSpan w:val="2"/>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9"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gridSpan w:val="2"/>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6" w:type="dxa"/>
            <w:gridSpan w:val="2"/>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6"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7"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595" w:type="dxa"/>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600" w:type="dxa"/>
            <w:tcBorders/>
            <w:shd w:fill="FFFFFF"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60" w:type="dxa"/>
            <w:gridSpan w:val="2"/>
            <w:tcBorders/>
            <w:shd w:fill="FFFFFF"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 xml:space="preserve">   – </w:t>
            </w:r>
            <w:r>
              <w:rPr>
                <w:rFonts w:ascii="Arial" w:hAnsi="Arial"/>
                <w:sz w:val="18"/>
                <w:szCs w:val="18"/>
              </w:rPr>
              <w:t>conifer</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0.44</w:t>
            </w:r>
          </w:p>
        </w:tc>
        <w:tc>
          <w:tcPr>
            <w:tcW w:w="595" w:type="dxa"/>
            <w:gridSpan w:val="2"/>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8" w:type="dxa"/>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9"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gridSpan w:val="2"/>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6" w:type="dxa"/>
            <w:gridSpan w:val="2"/>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600" w:type="dxa"/>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60" w:type="dxa"/>
            <w:gridSpan w:val="2"/>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b/>
                <w:b/>
                <w:bCs/>
              </w:rPr>
            </w:pPr>
            <w:r>
              <w:rPr>
                <w:rFonts w:ascii="Arial" w:hAnsi="Arial"/>
                <w:b/>
                <w:bCs/>
                <w:sz w:val="18"/>
                <w:szCs w:val="18"/>
              </w:rPr>
              <w:t>Management intensity</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0.38</w:t>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9"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5" w:type="dxa"/>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gridSpan w:val="2"/>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6" w:type="dxa"/>
            <w:gridSpan w:val="2"/>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600" w:type="dxa"/>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60" w:type="dxa"/>
            <w:gridSpan w:val="2"/>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 xml:space="preserve">   – </w:t>
            </w:r>
            <w:r>
              <w:rPr>
                <w:rFonts w:ascii="Arial" w:hAnsi="Arial"/>
                <w:sz w:val="18"/>
                <w:szCs w:val="18"/>
              </w:rPr>
              <w:t>Iharv</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0.41</w:t>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9"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gridSpan w:val="2"/>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6" w:type="dxa"/>
            <w:gridSpan w:val="2"/>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600" w:type="dxa"/>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60" w:type="dxa"/>
            <w:gridSpan w:val="2"/>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 xml:space="preserve">   – </w:t>
            </w:r>
            <w:r>
              <w:rPr>
                <w:rFonts w:ascii="Arial" w:hAnsi="Arial"/>
                <w:sz w:val="18"/>
                <w:szCs w:val="18"/>
              </w:rPr>
              <w:t>Inonat</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0.39</w:t>
            </w:r>
          </w:p>
        </w:tc>
        <w:tc>
          <w:tcPr>
            <w:tcW w:w="595" w:type="dxa"/>
            <w:gridSpan w:val="2"/>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9"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gridSpan w:val="2"/>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6" w:type="dxa"/>
            <w:gridSpan w:val="2"/>
            <w:tcBorders/>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600" w:type="dxa"/>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60" w:type="dxa"/>
            <w:gridSpan w:val="2"/>
            <w:tcBorders/>
            <w:shd w:fill="FFFFFF"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r>
          </w:p>
        </w:tc>
      </w:tr>
      <w:tr>
        <w:trPr>
          <w:trHeight w:val="309" w:hRule="atLeast"/>
        </w:trPr>
        <w:tc>
          <w:tcPr>
            <w:tcW w:w="1919" w:type="dxa"/>
            <w:tcBorders>
              <w:bottom w:val="single" w:sz="2" w:space="0" w:color="000000"/>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 xml:space="preserve">   – </w:t>
            </w:r>
            <w:r>
              <w:rPr>
                <w:rFonts w:ascii="Arial" w:hAnsi="Arial"/>
                <w:sz w:val="18"/>
                <w:szCs w:val="18"/>
              </w:rPr>
              <w:t>Idwcut</w:t>
            </w:r>
          </w:p>
        </w:tc>
        <w:tc>
          <w:tcPr>
            <w:tcW w:w="730" w:type="dxa"/>
            <w:tcBorders>
              <w:bottom w:val="single" w:sz="4" w:space="0" w:color="000000"/>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0.15</w:t>
            </w:r>
          </w:p>
        </w:tc>
        <w:tc>
          <w:tcPr>
            <w:tcW w:w="595" w:type="dxa"/>
            <w:gridSpan w:val="2"/>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8"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9"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5"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gridSpan w:val="2"/>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gridSpan w:val="2"/>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bottom w:val="single" w:sz="4" w:space="0" w:color="000000"/>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5" w:type="dxa"/>
            <w:tcBorders>
              <w:bottom w:val="single" w:sz="4" w:space="0" w:color="000000"/>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8"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bottom w:val="single" w:sz="4" w:space="0" w:color="000000"/>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bottom w:val="single" w:sz="4" w:space="0" w:color="000000"/>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600" w:type="dxa"/>
            <w:tcBorders>
              <w:bottom w:val="single" w:sz="4" w:space="0" w:color="000000"/>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bottom w:val="single" w:sz="4" w:space="0" w:color="000000"/>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sz w:val="12"/>
                <w:szCs w:val="12"/>
              </w:rPr>
            </w:pPr>
            <w:r>
              <w:rPr>
                <w:rFonts w:ascii="Arial" w:hAnsi="Arial"/>
                <w:b/>
                <w:bCs/>
                <w:sz w:val="12"/>
                <w:szCs w:val="12"/>
              </w:rPr>
              <w:t>(</w:t>
            </w:r>
            <w:r>
              <w:rPr>
                <w:rFonts w:ascii="Arial" w:hAnsi="Arial"/>
                <w:b/>
                <w:bCs/>
                <w:i w:val="false"/>
                <w:iCs/>
                <w:sz w:val="12"/>
                <w:szCs w:val="12"/>
              </w:rPr>
              <w:t>−</w:t>
            </w:r>
            <w:r>
              <w:rPr>
                <w:rFonts w:ascii="Arial" w:hAnsi="Arial"/>
                <w:b/>
                <w:bCs/>
                <w:sz w:val="12"/>
                <w:szCs w:val="12"/>
              </w:rPr>
              <w:t>)</w:t>
            </w:r>
          </w:p>
        </w:tc>
        <w:tc>
          <w:tcPr>
            <w:tcW w:w="560" w:type="dxa"/>
            <w:gridSpan w:val="2"/>
            <w:tcBorders>
              <w:bottom w:val="single" w:sz="4" w:space="0" w:color="000000"/>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r>
      <w:tr>
        <w:trPr>
          <w:trHeight w:val="309" w:hRule="atLeast"/>
        </w:trPr>
        <w:tc>
          <w:tcPr>
            <w:tcW w:w="2649" w:type="dxa"/>
            <w:gridSpan w:val="2"/>
            <w:tcBorders/>
            <w:tcMar>
              <w:top w:w="0" w:type="dxa"/>
              <w:left w:w="0" w:type="dxa"/>
              <w:bottom w:w="0" w:type="dxa"/>
              <w:right w:w="0" w:type="dxa"/>
            </w:tcMar>
            <w:vAlign w:val="bottom"/>
          </w:tcPr>
          <w:p>
            <w:pPr>
              <w:pStyle w:val="TextBody"/>
              <w:widowControl w:val="false"/>
              <w:numPr>
                <w:ilvl w:val="1"/>
                <w:numId w:val="2"/>
              </w:numPr>
              <w:spacing w:before="227" w:after="0"/>
              <w:rPr>
                <w:rFonts w:ascii="Arial" w:hAnsi="Arial"/>
                <w:b/>
                <w:b/>
                <w:bCs/>
                <w:sz w:val="18"/>
                <w:szCs w:val="18"/>
              </w:rPr>
            </w:pPr>
            <w:r>
              <w:rPr>
                <w:rFonts w:ascii="Arial" w:hAnsi="Arial"/>
                <w:b/>
                <w:bCs/>
                <w:sz w:val="18"/>
                <w:szCs w:val="18"/>
              </w:rPr>
              <w:t>Other nature conserv. values</w:t>
            </w:r>
          </w:p>
        </w:tc>
        <w:tc>
          <w:tcPr>
            <w:tcW w:w="595" w:type="dxa"/>
            <w:gridSpan w:val="2"/>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9"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gridSpan w:val="2"/>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able"/>
              <w:widowControl w:val="false"/>
              <w:numPr>
                <w:ilvl w:val="0"/>
                <w:numId w:val="2"/>
              </w:numPr>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iCs/>
                <w:color w:val="auto"/>
                <w:kern w:val="2"/>
                <w:sz w:val="20"/>
                <w:szCs w:val="20"/>
                <w:lang w:val="en-US" w:eastAsia="zh-CN" w:bidi="hi-IN"/>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r>
          </w:p>
        </w:tc>
        <w:tc>
          <w:tcPr>
            <w:tcW w:w="600" w:type="dxa"/>
            <w:tcBorders/>
            <w:shd w:fill="FFFFFF"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iCs/>
                <w:color w:val="auto"/>
                <w:kern w:val="2"/>
                <w:sz w:val="20"/>
                <w:szCs w:val="20"/>
                <w:lang w:val="en-US" w:eastAsia="zh-CN" w:bidi="hi-IN"/>
              </w:rPr>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60" w:type="dxa"/>
            <w:gridSpan w:val="2"/>
            <w:tcBorders/>
            <w:shd w:fill="FFFFFF"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iCs/>
                <w:color w:val="auto"/>
                <w:kern w:val="2"/>
                <w:sz w:val="20"/>
                <w:szCs w:val="20"/>
                <w:lang w:val="en-US" w:eastAsia="zh-CN" w:bidi="hi-IN"/>
              </w:rPr>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eastAsia="Noto Serif CJK SC" w:cs="Lohit Devanagari" w:ascii="Arial" w:hAnsi="Arial"/>
                <w:color w:val="auto"/>
                <w:kern w:val="2"/>
                <w:sz w:val="18"/>
                <w:szCs w:val="18"/>
                <w:lang w:val="en-US" w:eastAsia="zh-CN" w:bidi="hi-IN"/>
              </w:rPr>
              <w:t>B</w:t>
            </w:r>
            <w:r>
              <w:rPr>
                <w:rFonts w:ascii="Arial" w:hAnsi="Arial"/>
                <w:sz w:val="18"/>
                <w:szCs w:val="18"/>
              </w:rPr>
              <w:t>iotope value</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0.39</w:t>
            </w:r>
          </w:p>
        </w:tc>
        <w:tc>
          <w:tcPr>
            <w:tcW w:w="595" w:type="dxa"/>
            <w:gridSpan w:val="2"/>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9"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gridSpan w:val="2"/>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able"/>
              <w:widowControl w:val="false"/>
              <w:numPr>
                <w:ilvl w:val="0"/>
                <w:numId w:val="2"/>
              </w:numPr>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8"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600" w:type="dxa"/>
            <w:tcBorders/>
            <w:shd w:fill="FFFFFF"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560" w:type="dxa"/>
            <w:gridSpan w:val="2"/>
            <w:tcBorders/>
            <w:shd w:fill="FFFFFF"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iCs/>
                <w:color w:val="auto"/>
                <w:kern w:val="2"/>
                <w:sz w:val="20"/>
                <w:szCs w:val="20"/>
                <w:lang w:val="en-US" w:eastAsia="zh-CN" w:bidi="hi-IN"/>
              </w:rPr>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eastAsia="Noto Serif CJK SC" w:cs="Lohit Devanagari" w:ascii="Arial" w:hAnsi="Arial"/>
                <w:color w:val="auto"/>
                <w:kern w:val="2"/>
                <w:sz w:val="18"/>
                <w:szCs w:val="18"/>
                <w:lang w:val="en-US" w:eastAsia="zh-CN" w:bidi="hi-IN"/>
              </w:rPr>
              <w:t>N</w:t>
            </w:r>
            <w:r>
              <w:rPr>
                <w:rFonts w:ascii="Arial" w:hAnsi="Arial"/>
                <w:sz w:val="18"/>
                <w:szCs w:val="18"/>
              </w:rPr>
              <w:t>umber of tree species</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0.16</w:t>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9"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t>+</w:t>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5" w:type="dxa"/>
            <w:gridSpan w:val="2"/>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gridSpan w:val="2"/>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6"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t>(</w:t>
            </w:r>
            <w:r>
              <w:rPr>
                <w:rFonts w:ascii="Arial" w:hAnsi="Arial"/>
                <w:i w:val="false"/>
                <w:iCs/>
                <w:sz w:val="12"/>
                <w:szCs w:val="12"/>
              </w:rPr>
              <w:t>+</w:t>
            </w:r>
            <w:r>
              <w:rPr>
                <w:rFonts w:ascii="Arial" w:hAnsi="Arial"/>
                <w:sz w:val="12"/>
                <w:szCs w:val="12"/>
              </w:rPr>
              <w:t>)</w:t>
            </w:r>
          </w:p>
        </w:tc>
        <w:tc>
          <w:tcPr>
            <w:tcW w:w="595"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600" w:type="dxa"/>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60" w:type="dxa"/>
            <w:gridSpan w:val="2"/>
            <w:tcBorders/>
            <w:shd w:fill="FFFFFF"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TreMs</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0.23</w:t>
            </w:r>
          </w:p>
        </w:tc>
        <w:tc>
          <w:tcPr>
            <w:tcW w:w="595" w:type="dxa"/>
            <w:gridSpan w:val="2"/>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9"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6"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5" w:type="dxa"/>
            <w:gridSpan w:val="2"/>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6" w:type="dxa"/>
            <w:gridSpan w:val="2"/>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6" w:type="dxa"/>
            <w:tcBorders/>
            <w:shd w:fill="DDDDDD"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sz w:val="12"/>
                <w:szCs w:val="12"/>
              </w:rPr>
            </w:pPr>
            <w:r>
              <w:rPr>
                <w:rFonts w:ascii="Arial" w:hAnsi="Arial"/>
                <w:sz w:val="12"/>
                <w:szCs w:val="12"/>
              </w:rPr>
            </w:r>
          </w:p>
        </w:tc>
        <w:tc>
          <w:tcPr>
            <w:tcW w:w="597" w:type="dxa"/>
            <w:tcBorders/>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598" w:type="dxa"/>
            <w:tcBorders/>
            <w:shd w:fill="DDDDDD" w:val="clear"/>
            <w:tcMar>
              <w:top w:w="0" w:type="dxa"/>
              <w:left w:w="0" w:type="dxa"/>
              <w:bottom w:w="0" w:type="dxa"/>
              <w:right w:w="0" w:type="dxa"/>
            </w:tcMar>
            <w:vAlign w:val="center"/>
          </w:tcPr>
          <w:p>
            <w:pPr>
              <w:pStyle w:val="Table"/>
              <w:widowControl w:val="false"/>
              <w:numPr>
                <w:ilvl w:val="0"/>
                <w:numId w:val="2"/>
              </w:numPr>
              <w:tabs>
                <w:tab w:val="clear" w:pos="408"/>
              </w:tabs>
              <w:spacing w:before="0" w:after="0"/>
              <w:jc w:val="center"/>
              <w:rPr>
                <w:rFonts w:ascii="Arial" w:hAnsi="Arial"/>
                <w:b/>
                <w:b/>
                <w:bCs/>
                <w:sz w:val="18"/>
                <w:szCs w:val="18"/>
              </w:rPr>
            </w:pPr>
            <w:r>
              <w:rPr>
                <w:b/>
                <w:bCs/>
                <w:sz w:val="18"/>
                <w:szCs w:val="18"/>
              </w:rPr>
              <w:t>++</w:t>
            </w:r>
          </w:p>
        </w:tc>
        <w:tc>
          <w:tcPr>
            <w:tcW w:w="600" w:type="dxa"/>
            <w:tcBorders/>
            <w:shd w:fill="FFFFFF"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b/>
                <w:bCs/>
              </w:rPr>
            </w:pPr>
            <w:r>
              <w:rPr>
                <w:rFonts w:ascii="Arial" w:hAnsi="Arial"/>
                <w:b/>
                <w:bCs/>
              </w:rPr>
            </w:r>
          </w:p>
        </w:tc>
        <w:tc>
          <w:tcPr>
            <w:tcW w:w="595" w:type="dxa"/>
            <w:tcBorders/>
            <w:shd w:fill="DDDDDD" w:val="clear"/>
            <w:tcMar>
              <w:top w:w="0" w:type="dxa"/>
              <w:left w:w="0" w:type="dxa"/>
              <w:bottom w:w="0" w:type="dxa"/>
              <w:right w:w="0" w:type="dxa"/>
            </w:tcM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60" w:type="dxa"/>
            <w:gridSpan w:val="2"/>
            <w:tcBorders/>
            <w:shd w:fill="FFFFFF" w:val="clear"/>
            <w:tcMar>
              <w:top w:w="0" w:type="dxa"/>
              <w:left w:w="0" w:type="dxa"/>
              <w:bottom w:w="0" w:type="dxa"/>
              <w:right w:w="0" w:type="dxa"/>
            </w:tcMar>
            <w:vAlign w:val="center"/>
          </w:tcPr>
          <w:p>
            <w:pPr>
              <w:pStyle w:val="TextBody"/>
              <w:widowControl w:val="false"/>
              <w:numPr>
                <w:ilvl w:val="0"/>
                <w:numId w:val="2"/>
              </w:numPr>
              <w:tabs>
                <w:tab w:val="clear" w:pos="408"/>
              </w:tabs>
              <w:spacing w:before="0" w:after="0"/>
              <w:jc w:val="center"/>
              <w:rPr>
                <w:rFonts w:ascii="Arial" w:hAnsi="Arial"/>
                <w:b w:val="false"/>
                <w:b w:val="false"/>
                <w:bCs w:val="false"/>
                <w:sz w:val="12"/>
                <w:szCs w:val="12"/>
              </w:rPr>
            </w:pPr>
            <w:r>
              <w:rPr>
                <w:rFonts w:ascii="Arial" w:hAnsi="Arial"/>
                <w:b w:val="false"/>
                <w:bCs w:val="false"/>
                <w:sz w:val="12"/>
                <w:szCs w:val="12"/>
              </w:rPr>
              <w:t>(</w:t>
            </w:r>
            <w:r>
              <w:rPr>
                <w:rFonts w:ascii="Arial" w:hAnsi="Arial"/>
                <w:b w:val="false"/>
                <w:bCs w:val="false"/>
                <w:i w:val="false"/>
                <w:iCs/>
                <w:sz w:val="12"/>
                <w:szCs w:val="12"/>
              </w:rPr>
              <w:t>+</w:t>
            </w:r>
            <w:r>
              <w:rPr>
                <w:rFonts w:ascii="Arial" w:hAnsi="Arial"/>
                <w:b w:val="false"/>
                <w:bCs w:val="false"/>
                <w:sz w:val="12"/>
                <w:szCs w:val="12"/>
              </w:rPr>
              <w:t>)</w:t>
            </w:r>
          </w:p>
        </w:tc>
      </w:tr>
      <w:tr>
        <w:trPr>
          <w:trHeight w:val="309" w:hRule="atLeast"/>
        </w:trPr>
        <w:tc>
          <w:tcPr>
            <w:tcW w:w="1919" w:type="dxa"/>
            <w:tcBorders/>
            <w:tcMar>
              <w:top w:w="0" w:type="dxa"/>
              <w:left w:w="0" w:type="dxa"/>
              <w:bottom w:w="0" w:type="dxa"/>
              <w:right w:w="0" w:type="dxa"/>
            </w:tcMar>
            <w:vAlign w:val="bottom"/>
          </w:tcPr>
          <w:p>
            <w:pPr>
              <w:pStyle w:val="TextBody"/>
              <w:widowControl w:val="false"/>
              <w:numPr>
                <w:ilvl w:val="1"/>
                <w:numId w:val="2"/>
              </w:numPr>
              <w:spacing w:before="0" w:after="0"/>
              <w:rPr>
                <w:rFonts w:ascii="Arial" w:hAnsi="Arial"/>
                <w:sz w:val="18"/>
                <w:szCs w:val="18"/>
              </w:rPr>
            </w:pPr>
            <w:r>
              <w:rPr>
                <w:rFonts w:eastAsia="Noto Serif CJK SC" w:cs="Lohit Devanagari" w:ascii="Arial" w:hAnsi="Arial"/>
                <w:color w:val="auto"/>
                <w:kern w:val="2"/>
                <w:sz w:val="18"/>
                <w:szCs w:val="18"/>
                <w:lang w:val="en-US" w:eastAsia="zh-CN" w:bidi="hi-IN"/>
              </w:rPr>
              <w:t xml:space="preserve">   – </w:t>
            </w:r>
            <w:r>
              <w:rPr>
                <w:rFonts w:eastAsia="Noto Serif CJK SC" w:cs="Lohit Devanagari" w:ascii="Arial" w:hAnsi="Arial"/>
                <w:color w:val="auto"/>
                <w:kern w:val="2"/>
                <w:sz w:val="18"/>
                <w:szCs w:val="18"/>
                <w:lang w:val="en-US" w:eastAsia="zh-CN" w:bidi="hi-IN"/>
              </w:rPr>
              <w:t>TreM</w:t>
            </w:r>
            <w:r>
              <w:rPr>
                <w:rFonts w:ascii="Arial" w:hAnsi="Arial"/>
                <w:sz w:val="18"/>
                <w:szCs w:val="18"/>
              </w:rPr>
              <w:t xml:space="preserve"> trees</w:t>
            </w:r>
          </w:p>
        </w:tc>
        <w:tc>
          <w:tcPr>
            <w:tcW w:w="730" w:type="dxa"/>
            <w:tcBorders/>
            <w:tcMar>
              <w:top w:w="0" w:type="dxa"/>
              <w:left w:w="0" w:type="dxa"/>
              <w:bottom w:w="0" w:type="dxa"/>
              <w:right w:w="0" w:type="dxa"/>
            </w:tcMar>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0.25</w:t>
            </w:r>
          </w:p>
        </w:tc>
        <w:tc>
          <w:tcPr>
            <w:tcW w:w="595" w:type="dxa"/>
            <w:gridSpan w:val="2"/>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9"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6"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gridSpan w:val="2"/>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6" w:type="dxa"/>
            <w:gridSpan w:val="2"/>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6" w:type="dxa"/>
            <w:tcBorders/>
            <w:shd w:fill="DDDDDD"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c>
          <w:tcPr>
            <w:tcW w:w="597"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598"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t>+</w:t>
            </w:r>
          </w:p>
        </w:tc>
        <w:tc>
          <w:tcPr>
            <w:tcW w:w="600" w:type="dxa"/>
            <w:tcBorders/>
            <w:shd w:fill="FFFFFF"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shd w:fill="DDDDDD" w:val="clear"/>
            <w:tcMar>
              <w:top w:w="0" w:type="dxa"/>
              <w:left w:w="0" w:type="dxa"/>
              <w:bottom w:w="0" w:type="dxa"/>
              <w:right w:w="0" w:type="dxa"/>
            </w:tcMar>
            <w:vAlign w:val="center"/>
          </w:tcPr>
          <w:p>
            <w:pPr>
              <w:pStyle w:val="Table"/>
              <w:widowControl w:val="false"/>
              <w:tabs>
                <w:tab w:val="clear" w:pos="408"/>
              </w:tabs>
              <w:spacing w:before="0" w:after="0"/>
              <w:jc w:val="center"/>
              <w:rPr>
                <w:rFonts w:ascii="Arial" w:hAnsi="Arial"/>
                <w:b/>
                <w:b/>
                <w:bCs/>
              </w:rPr>
            </w:pPr>
            <w:r>
              <w:rPr>
                <w:b/>
                <w:bCs/>
              </w:rPr>
            </w:r>
          </w:p>
        </w:tc>
        <w:tc>
          <w:tcPr>
            <w:tcW w:w="560" w:type="dxa"/>
            <w:gridSpan w:val="2"/>
            <w:tcBorders/>
            <w:shd w:fill="FFFFFF" w:val="clear"/>
            <w:tcMar>
              <w:top w:w="0" w:type="dxa"/>
              <w:left w:w="0" w:type="dxa"/>
              <w:bottom w:w="0" w:type="dxa"/>
              <w:right w:w="0" w:type="dxa"/>
            </w:tcMar>
            <w:vAlign w:val="center"/>
          </w:tcPr>
          <w:p>
            <w:pPr>
              <w:pStyle w:val="Normal"/>
              <w:widowControl w:val="false"/>
              <w:numPr>
                <w:ilvl w:val="0"/>
                <w:numId w:val="2"/>
              </w:numPr>
              <w:tabs>
                <w:tab w:val="clear" w:pos="408"/>
              </w:tabs>
              <w:spacing w:before="0" w:after="0"/>
              <w:jc w:val="center"/>
              <w:rPr>
                <w:rFonts w:ascii="Arial" w:hAnsi="Arial" w:eastAsia="Noto Serif CJK SC" w:cs="Lohit Devanagari"/>
                <w:b w:val="false"/>
                <w:b w:val="false"/>
                <w:bCs/>
                <w:i w:val="false"/>
                <w:i w:val="false"/>
                <w:strike w:val="false"/>
                <w:dstrike w:val="false"/>
                <w:outline w:val="false"/>
                <w:shadow w:val="false"/>
                <w:color w:val="auto"/>
                <w:kern w:val="2"/>
                <w:sz w:val="12"/>
                <w:szCs w:val="12"/>
                <w:u w:val="none"/>
                <w:em w:val="none"/>
                <w:lang w:val="en-US" w:eastAsia="zh-CN" w:bidi="hi-IN"/>
              </w:rPr>
            </w:pPr>
            <w:r>
              <w:rPr>
                <w:rFonts w:eastAsia="Noto Serif CJK SC" w:cs="Lohit Devanagari"/>
                <w:b w:val="false"/>
                <w:bCs/>
                <w:i w:val="false"/>
                <w:strike w:val="false"/>
                <w:dstrike w:val="false"/>
                <w:outline w:val="false"/>
                <w:shadow w:val="false"/>
                <w:color w:val="auto"/>
                <w:kern w:val="2"/>
                <w:sz w:val="12"/>
                <w:szCs w:val="12"/>
                <w:u w:val="none"/>
                <w:em w:val="none"/>
                <w:lang w:val="en-US" w:eastAsia="zh-CN" w:bidi="hi-IN"/>
              </w:rPr>
              <w:t>(+)</w:t>
            </w:r>
          </w:p>
        </w:tc>
      </w:tr>
      <w:tr>
        <w:trPr>
          <w:trHeight w:val="309" w:hRule="atLeast"/>
        </w:trPr>
        <w:tc>
          <w:tcPr>
            <w:tcW w:w="1919" w:type="dxa"/>
            <w:tcBorders>
              <w:bottom w:val="single" w:sz="8" w:space="0" w:color="000000"/>
            </w:tcBorders>
            <w:vAlign w:val="bottom"/>
          </w:tcPr>
          <w:p>
            <w:pPr>
              <w:pStyle w:val="TextBody"/>
              <w:widowControl w:val="false"/>
              <w:numPr>
                <w:ilvl w:val="1"/>
                <w:numId w:val="2"/>
              </w:numPr>
              <w:spacing w:before="0" w:after="0"/>
              <w:rPr>
                <w:rFonts w:ascii="Arial" w:hAnsi="Arial"/>
                <w:sz w:val="18"/>
                <w:szCs w:val="18"/>
              </w:rPr>
            </w:pPr>
            <w:r>
              <w:rPr>
                <w:rFonts w:ascii="Arial" w:hAnsi="Arial"/>
                <w:sz w:val="18"/>
                <w:szCs w:val="18"/>
              </w:rPr>
              <w:t xml:space="preserve">   – </w:t>
            </w:r>
            <w:r>
              <w:rPr>
                <w:rFonts w:ascii="Arial" w:hAnsi="Arial"/>
                <w:sz w:val="18"/>
                <w:szCs w:val="18"/>
              </w:rPr>
              <w:t xml:space="preserve">trees dbh </w:t>
            </w:r>
            <w:r>
              <w:rPr>
                <w:rFonts w:eastAsia="rsfs10" w:cs="rsfs10" w:ascii="Arial" w:hAnsi="Arial"/>
                <w:sz w:val="18"/>
                <w:szCs w:val="18"/>
              </w:rPr>
              <w:t>≥</w:t>
            </w:r>
            <w:r>
              <w:rPr>
                <w:rFonts w:ascii="Arial" w:hAnsi="Arial"/>
                <w:sz w:val="18"/>
                <w:szCs w:val="18"/>
              </w:rPr>
              <w:t xml:space="preserve"> 50 cm</w:t>
            </w:r>
          </w:p>
        </w:tc>
        <w:tc>
          <w:tcPr>
            <w:tcW w:w="730" w:type="dxa"/>
            <w:tcBorders>
              <w:bottom w:val="single" w:sz="8" w:space="0" w:color="000000"/>
            </w:tcBorders>
            <w:vAlign w:val="bottom"/>
          </w:tcPr>
          <w:p>
            <w:pPr>
              <w:pStyle w:val="TextBody"/>
              <w:widowControl w:val="false"/>
              <w:numPr>
                <w:ilvl w:val="0"/>
                <w:numId w:val="2"/>
              </w:numPr>
              <w:tabs>
                <w:tab w:val="clear" w:pos="408"/>
              </w:tabs>
              <w:spacing w:before="0" w:after="0"/>
              <w:jc w:val="center"/>
              <w:rPr>
                <w:rFonts w:ascii="Arial" w:hAnsi="Arial"/>
                <w:sz w:val="18"/>
                <w:szCs w:val="18"/>
              </w:rPr>
            </w:pPr>
            <w:r>
              <w:rPr>
                <w:rFonts w:ascii="Arial" w:hAnsi="Arial"/>
                <w:sz w:val="18"/>
                <w:szCs w:val="18"/>
              </w:rPr>
              <w:t>0.23</w:t>
            </w:r>
          </w:p>
        </w:tc>
        <w:tc>
          <w:tcPr>
            <w:tcW w:w="595" w:type="dxa"/>
            <w:gridSpan w:val="2"/>
            <w:tcBorders>
              <w:bottom w:val="single" w:sz="8" w:space="0" w:color="000000"/>
            </w:tcBorders>
            <w:shd w:fill="DDDDDD" w:val="cle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bottom w:val="single" w:sz="8" w:space="0" w:color="000000"/>
            </w:tcBorders>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bottom w:val="single" w:sz="8" w:space="0" w:color="000000"/>
            </w:tcBorders>
            <w:shd w:fill="DDDDDD" w:val="clear"/>
            <w:vAlign w:val="center"/>
          </w:tcPr>
          <w:p>
            <w:pPr>
              <w:pStyle w:val="Table"/>
              <w:widowControl w:val="false"/>
              <w:tabs>
                <w:tab w:val="clear" w:pos="408"/>
              </w:tabs>
              <w:spacing w:before="0" w:after="0"/>
              <w:jc w:val="center"/>
              <w:rPr>
                <w:rFonts w:ascii="Arial" w:hAnsi="Arial"/>
                <w:b/>
                <w:b/>
                <w:bCs/>
              </w:rPr>
            </w:pPr>
            <w:r>
              <w:rPr>
                <w:b/>
                <w:bCs/>
              </w:rPr>
            </w:r>
          </w:p>
        </w:tc>
        <w:tc>
          <w:tcPr>
            <w:tcW w:w="599" w:type="dxa"/>
            <w:tcBorders>
              <w:bottom w:val="single" w:sz="8" w:space="0" w:color="000000"/>
            </w:tcBorders>
            <w:vAlign w:val="center"/>
          </w:tcPr>
          <w:p>
            <w:pPr>
              <w:pStyle w:val="Table"/>
              <w:widowControl w:val="false"/>
              <w:tabs>
                <w:tab w:val="clear" w:pos="408"/>
              </w:tabs>
              <w:spacing w:before="0" w:after="0"/>
              <w:jc w:val="center"/>
              <w:rPr>
                <w:rFonts w:ascii="Arial" w:hAnsi="Arial"/>
                <w:b/>
                <w:b/>
                <w:bCs/>
              </w:rPr>
            </w:pPr>
            <w:r>
              <w:rPr>
                <w:b/>
                <w:bCs/>
              </w:rPr>
            </w:r>
          </w:p>
        </w:tc>
        <w:tc>
          <w:tcPr>
            <w:tcW w:w="596" w:type="dxa"/>
            <w:tcBorders>
              <w:bottom w:val="single" w:sz="8" w:space="0" w:color="000000"/>
            </w:tcBorders>
            <w:shd w:fill="DDDDDD" w:val="cle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bottom w:val="single" w:sz="8" w:space="0" w:color="000000"/>
            </w:tcBorders>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bottom w:val="single" w:sz="8" w:space="0" w:color="000000"/>
            </w:tcBorders>
            <w:shd w:fill="DDDDDD" w:val="cle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bottom w:val="single" w:sz="8" w:space="0" w:color="000000"/>
            </w:tcBorders>
            <w:vAlign w:val="center"/>
          </w:tcPr>
          <w:p>
            <w:pPr>
              <w:pStyle w:val="Table"/>
              <w:widowControl w:val="false"/>
              <w:tabs>
                <w:tab w:val="clear" w:pos="408"/>
              </w:tabs>
              <w:spacing w:before="0" w:after="0"/>
              <w:jc w:val="center"/>
              <w:rPr>
                <w:rFonts w:ascii="Arial" w:hAnsi="Arial"/>
                <w:b/>
                <w:b/>
                <w:bCs/>
              </w:rPr>
            </w:pPr>
            <w:r>
              <w:rPr>
                <w:b/>
                <w:bCs/>
              </w:rPr>
            </w:r>
          </w:p>
        </w:tc>
        <w:tc>
          <w:tcPr>
            <w:tcW w:w="595" w:type="dxa"/>
            <w:gridSpan w:val="2"/>
            <w:tcBorders>
              <w:bottom w:val="single" w:sz="8" w:space="0" w:color="000000"/>
            </w:tcBorders>
            <w:shd w:fill="DDDDDD" w:val="clear"/>
            <w:vAlign w:val="center"/>
          </w:tcPr>
          <w:p>
            <w:pPr>
              <w:pStyle w:val="Table"/>
              <w:widowControl w:val="false"/>
              <w:tabs>
                <w:tab w:val="clear" w:pos="408"/>
              </w:tabs>
              <w:spacing w:before="0" w:after="0"/>
              <w:jc w:val="center"/>
              <w:rPr>
                <w:rFonts w:ascii="Arial" w:hAnsi="Arial"/>
                <w:b/>
                <w:b/>
                <w:bCs/>
              </w:rPr>
            </w:pPr>
            <w:r>
              <w:rPr>
                <w:b/>
                <w:bCs/>
              </w:rPr>
            </w:r>
          </w:p>
        </w:tc>
        <w:tc>
          <w:tcPr>
            <w:tcW w:w="596" w:type="dxa"/>
            <w:gridSpan w:val="2"/>
            <w:tcBorders>
              <w:bottom w:val="single" w:sz="8" w:space="0" w:color="000000"/>
            </w:tcBorders>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c>
          <w:tcPr>
            <w:tcW w:w="596" w:type="dxa"/>
            <w:tcBorders>
              <w:bottom w:val="single" w:sz="8" w:space="0" w:color="000000"/>
            </w:tcBorders>
            <w:shd w:fill="DDDDDD" w:val="clear"/>
            <w:vAlign w:val="center"/>
          </w:tcPr>
          <w:p>
            <w:pPr>
              <w:pStyle w:val="TextBody"/>
              <w:widowControl w:val="false"/>
              <w:tabs>
                <w:tab w:val="clear" w:pos="408"/>
              </w:tabs>
              <w:spacing w:before="0" w:after="0"/>
              <w:jc w:val="center"/>
              <w:rPr>
                <w:rFonts w:ascii="Arial" w:hAnsi="Arial"/>
                <w:b/>
                <w:b/>
                <w:bCs/>
              </w:rPr>
            </w:pPr>
            <w:r>
              <w:rPr>
                <w:rFonts w:ascii="Arial" w:hAnsi="Arial"/>
                <w:b/>
                <w:bCs/>
              </w:rPr>
            </w:r>
          </w:p>
        </w:tc>
        <w:tc>
          <w:tcPr>
            <w:tcW w:w="597" w:type="dxa"/>
            <w:tcBorders>
              <w:bottom w:val="single" w:sz="8" w:space="0" w:color="000000"/>
            </w:tcBorders>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bottom w:val="single" w:sz="8" w:space="0" w:color="000000"/>
            </w:tcBorders>
            <w:shd w:fill="DDDDDD" w:val="clear"/>
            <w:vAlign w:val="center"/>
          </w:tcPr>
          <w:p>
            <w:pPr>
              <w:pStyle w:val="Table"/>
              <w:widowControl w:val="false"/>
              <w:tabs>
                <w:tab w:val="clear" w:pos="408"/>
              </w:tabs>
              <w:spacing w:before="0" w:after="0"/>
              <w:jc w:val="center"/>
              <w:rPr>
                <w:rFonts w:ascii="Arial" w:hAnsi="Arial"/>
                <w:b/>
                <w:b/>
                <w:bCs/>
              </w:rPr>
            </w:pPr>
            <w:r>
              <w:rPr>
                <w:b/>
                <w:bCs/>
              </w:rPr>
            </w:r>
          </w:p>
        </w:tc>
        <w:tc>
          <w:tcPr>
            <w:tcW w:w="598" w:type="dxa"/>
            <w:tcBorders>
              <w:bottom w:val="single" w:sz="8" w:space="0" w:color="000000"/>
            </w:tcBorders>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bottom w:val="single" w:sz="8" w:space="0" w:color="000000"/>
            </w:tcBorders>
            <w:shd w:fill="DDDDDD" w:val="clear"/>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bottom w:val="single" w:sz="8" w:space="0" w:color="000000"/>
            </w:tcBorders>
            <w:vAlign w:val="center"/>
          </w:tcPr>
          <w:p>
            <w:pPr>
              <w:pStyle w:val="Table"/>
              <w:widowControl w:val="false"/>
              <w:tabs>
                <w:tab w:val="clear" w:pos="408"/>
              </w:tabs>
              <w:spacing w:before="0" w:after="0"/>
              <w:jc w:val="center"/>
              <w:rPr>
                <w:rFonts w:ascii="Arial" w:hAnsi="Arial"/>
                <w:b/>
                <w:b/>
                <w:bCs/>
              </w:rPr>
            </w:pPr>
            <w:r>
              <w:rPr>
                <w:b/>
                <w:bCs/>
              </w:rPr>
              <w:t>+++</w:t>
            </w:r>
          </w:p>
        </w:tc>
        <w:tc>
          <w:tcPr>
            <w:tcW w:w="598" w:type="dxa"/>
            <w:tcBorders>
              <w:bottom w:val="single" w:sz="8" w:space="0" w:color="000000"/>
            </w:tcBorders>
            <w:shd w:fill="DDDDDD" w:val="clear"/>
            <w:vAlign w:val="center"/>
          </w:tcPr>
          <w:p>
            <w:pPr>
              <w:pStyle w:val="Table"/>
              <w:widowControl w:val="false"/>
              <w:tabs>
                <w:tab w:val="clear" w:pos="408"/>
              </w:tabs>
              <w:spacing w:before="0" w:after="0"/>
              <w:jc w:val="center"/>
              <w:rPr>
                <w:rFonts w:ascii="Arial" w:hAnsi="Arial"/>
                <w:b/>
                <w:b/>
                <w:bCs/>
              </w:rPr>
            </w:pPr>
            <w:r>
              <w:rPr>
                <w:b/>
                <w:bCs/>
              </w:rPr>
              <w:t>+++</w:t>
            </w:r>
          </w:p>
        </w:tc>
        <w:tc>
          <w:tcPr>
            <w:tcW w:w="600" w:type="dxa"/>
            <w:tcBorders>
              <w:bottom w:val="single" w:sz="8" w:space="0" w:color="000000"/>
            </w:tcBorders>
            <w:vAlign w:val="center"/>
          </w:tcPr>
          <w:p>
            <w:pPr>
              <w:pStyle w:val="Table"/>
              <w:widowControl w:val="false"/>
              <w:tabs>
                <w:tab w:val="clear" w:pos="408"/>
              </w:tabs>
              <w:spacing w:before="0" w:after="0"/>
              <w:jc w:val="center"/>
              <w:rPr>
                <w:rFonts w:ascii="Arial" w:hAnsi="Arial"/>
                <w:b/>
                <w:b/>
                <w:bCs/>
              </w:rPr>
            </w:pPr>
            <w:r>
              <w:rPr>
                <w:b/>
                <w:bCs/>
              </w:rPr>
            </w:r>
          </w:p>
        </w:tc>
        <w:tc>
          <w:tcPr>
            <w:tcW w:w="595" w:type="dxa"/>
            <w:tcBorders>
              <w:bottom w:val="single" w:sz="8" w:space="0" w:color="000000"/>
            </w:tcBorders>
            <w:shd w:fill="DDDDDD" w:val="clear"/>
            <w:vAlign w:val="center"/>
          </w:tcPr>
          <w:p>
            <w:pPr>
              <w:pStyle w:val="Table"/>
              <w:widowControl w:val="false"/>
              <w:tabs>
                <w:tab w:val="clear" w:pos="408"/>
              </w:tabs>
              <w:spacing w:before="0" w:after="0"/>
              <w:jc w:val="center"/>
              <w:rPr>
                <w:rFonts w:ascii="Arial" w:hAnsi="Arial"/>
                <w:b/>
                <w:b/>
                <w:bCs/>
              </w:rPr>
            </w:pPr>
            <w:r>
              <w:rPr>
                <w:b/>
                <w:bCs/>
              </w:rPr>
            </w:r>
          </w:p>
        </w:tc>
        <w:tc>
          <w:tcPr>
            <w:tcW w:w="560" w:type="dxa"/>
            <w:gridSpan w:val="2"/>
            <w:tcBorders>
              <w:bottom w:val="single" w:sz="8" w:space="0" w:color="000000"/>
            </w:tcBorders>
            <w:vAlign w:val="center"/>
          </w:tcPr>
          <w:p>
            <w:pPr>
              <w:pStyle w:val="Table"/>
              <w:widowControl w:val="false"/>
              <w:tabs>
                <w:tab w:val="clear" w:pos="408"/>
              </w:tabs>
              <w:spacing w:before="0" w:after="0"/>
              <w:jc w:val="center"/>
              <w:rPr>
                <w:rFonts w:ascii="Arial" w:hAnsi="Arial" w:eastAsia="Noto Serif CJK SC" w:cs="Lohit Devanagari"/>
                <w:b/>
                <w:b/>
                <w:bCs/>
                <w:i/>
                <w:i/>
                <w:iCs/>
                <w:color w:val="auto"/>
                <w:kern w:val="2"/>
                <w:sz w:val="20"/>
                <w:szCs w:val="20"/>
                <w:lang w:val="en-US" w:eastAsia="zh-CN" w:bidi="hi-IN"/>
              </w:rPr>
            </w:pPr>
            <w:r>
              <w:rPr>
                <w:rFonts w:eastAsia="Noto Serif CJK SC" w:cs="Lohit Devanagari"/>
                <w:b/>
                <w:bCs/>
                <w:i w:val="false"/>
                <w:iCs/>
                <w:color w:val="auto"/>
                <w:kern w:val="2"/>
                <w:sz w:val="20"/>
                <w:szCs w:val="20"/>
                <w:lang w:val="en-US" w:eastAsia="zh-CN" w:bidi="hi-IN"/>
              </w:rPr>
              <w:t>++</w:t>
            </w:r>
          </w:p>
        </w:tc>
      </w:tr>
    </w:tbl>
    <w:p>
      <w:pPr>
        <w:pStyle w:val="Normal"/>
        <w:rPr/>
      </w:pPr>
      <w:r>
        <w:rPr/>
      </w:r>
    </w:p>
    <w:sectPr>
      <w:type w:val="nextPage"/>
      <w:pgSz w:orient="landscape" w:w="16838" w:h="11906"/>
      <w:pgMar w:left="1134" w:right="1134" w:gutter="0" w:header="0" w:top="567" w:footer="0" w:bottom="567"/>
      <w:pgNumType w:fmt="decimal"/>
      <w:formProt w:val="false"/>
      <w:textDirection w:val="lrTb"/>
      <w:docGrid w:type="default" w:linePitch="312" w:charSpace="163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Arial">
    <w:charset w:val="01"/>
    <w:family w:val="swiss"/>
    <w:pitch w:val="default"/>
  </w:font>
  <w:font w:name="OpenSymbol">
    <w:altName w:val="Arial Unicode MS"/>
    <w:charset w:val="01"/>
    <w:family w:val="swiss"/>
    <w:pitch w:val="default"/>
  </w:font>
  <w:font w:name="Times New Roman">
    <w:charset w:val="01"/>
    <w:family w:val="swiss"/>
    <w:pitch w:val="default"/>
  </w:font>
  <w:font w:name="Times">
    <w:altName w:val="Times New Roman"/>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60"/>
  <w:defaultTabStop w:val="4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oto Serif CJK SC" w:cs="Lohit Devanagari"/>
        <w:kern w:val="2"/>
        <w:szCs w:val="24"/>
        <w:lang w:val="en-US"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Arial" w:hAnsi="Arial" w:eastAsia="Noto Serif CJK SC" w:cs="Lohit Devanagari"/>
      <w:color w:val="auto"/>
      <w:kern w:val="2"/>
      <w:sz w:val="20"/>
      <w:szCs w:val="24"/>
      <w:lang w:val="en-US" w:eastAsia="zh-CN" w:bidi="hi-IN"/>
    </w:rPr>
  </w:style>
  <w:style w:type="paragraph" w:styleId="Heading1">
    <w:name w:val="Heading 1"/>
    <w:basedOn w:val="Heading"/>
    <w:next w:val="TextBody"/>
    <w:qFormat/>
    <w:pPr>
      <w:numPr>
        <w:ilvl w:val="0"/>
        <w:numId w:val="1"/>
      </w:numPr>
      <w:tabs>
        <w:tab w:val="clear" w:pos="408"/>
      </w:tabs>
      <w:spacing w:before="410" w:after="234"/>
      <w:outlineLvl w:val="0"/>
    </w:pPr>
    <w:rPr>
      <w:b/>
      <w:bCs/>
      <w:caps/>
      <w:color w:val="auto"/>
      <w:sz w:val="28"/>
      <w:szCs w:val="36"/>
    </w:rPr>
  </w:style>
  <w:style w:type="paragraph" w:styleId="Heading2">
    <w:name w:val="Heading 2"/>
    <w:basedOn w:val="Heading"/>
    <w:next w:val="TextBody"/>
    <w:qFormat/>
    <w:pPr>
      <w:bidi w:val="0"/>
      <w:spacing w:before="200" w:after="120"/>
      <w:jc w:val="left"/>
    </w:pPr>
    <w:rPr>
      <w:rFonts w:ascii="Arial" w:hAnsi="Arial" w:eastAsia="Noto Sans CJK SC" w:cs="Lohit Devanagari"/>
      <w:b/>
      <w:bCs/>
      <w:color w:val="auto"/>
      <w:kern w:val="2"/>
      <w:sz w:val="24"/>
      <w:szCs w:val="32"/>
      <w:lang w:val="en-US" w:eastAsia="zh-CN" w:bidi="hi-IN"/>
    </w:rPr>
  </w:style>
  <w:style w:type="paragraph" w:styleId="Heading3">
    <w:name w:val="Heading 3"/>
    <w:basedOn w:val="Heading"/>
    <w:next w:val="TextBody"/>
    <w:qFormat/>
    <w:pPr>
      <w:bidi w:val="0"/>
      <w:spacing w:before="140" w:after="120"/>
      <w:jc w:val="left"/>
    </w:pPr>
    <w:rPr>
      <w:b/>
      <w:bCs/>
      <w:i w:val="false"/>
      <w:color w:val="auto"/>
      <w:sz w:val="22"/>
      <w:szCs w:val="28"/>
    </w:rPr>
  </w:style>
  <w:style w:type="character" w:styleId="Bullets">
    <w:name w:val="Bullets"/>
    <w:qFormat/>
    <w:rPr>
      <w:rFonts w:ascii="OpenSymbol" w:hAnsi="OpenSymbol" w:eastAsia="OpenSymbol" w:cs="OpenSymbol"/>
    </w:rPr>
  </w:style>
  <w:style w:type="character" w:styleId="StrongEmphasis">
    <w:name w:val="Strong"/>
    <w:qFormat/>
    <w:rPr>
      <w:b/>
      <w:bCs/>
    </w:rPr>
  </w:style>
  <w:style w:type="character" w:styleId="FootnoteCharacters">
    <w:name w:val="Footnote Characters"/>
    <w:qFormat/>
    <w:rPr/>
  </w:style>
  <w:style w:type="character" w:styleId="FootnoteAnchor">
    <w:name w:val="Footnote Reference"/>
    <w:rPr>
      <w:vertAlign w:val="superscript"/>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Arial" w:hAnsi="Arial" w:eastAsia="Noto Sans CJK SC" w:cs="Lohit Devanagari"/>
      <w:sz w:val="26"/>
      <w:szCs w:val="28"/>
    </w:rPr>
  </w:style>
  <w:style w:type="paragraph" w:styleId="TextBody">
    <w:name w:val="Body Text"/>
    <w:basedOn w:val="Normal"/>
    <w:pPr>
      <w:suppressAutoHyphens w:val="false"/>
      <w:spacing w:lineRule="auto" w:line="276" w:before="0" w:after="83"/>
      <w:jc w:val="both"/>
    </w:pPr>
    <w:rPr>
      <w:rFonts w:ascii="Times New Roman" w:hAnsi="Times New Roman"/>
      <w:sz w:val="20"/>
    </w:rPr>
  </w:style>
  <w:style w:type="paragraph" w:styleId="List">
    <w:name w:val="List"/>
    <w:basedOn w:val="TextBody"/>
    <w:pPr/>
    <w:rPr>
      <w:rFonts w:ascii="Arial" w:hAnsi="Arial" w:cs="Lohit Devanagari"/>
      <w:sz w:val="24"/>
    </w:rPr>
  </w:style>
  <w:style w:type="paragraph" w:styleId="Caption">
    <w:name w:val="Caption"/>
    <w:basedOn w:val="Normal"/>
    <w:qFormat/>
    <w:pPr>
      <w:suppressLineNumbers/>
      <w:spacing w:before="120" w:after="120"/>
    </w:pPr>
    <w:rPr>
      <w:rFonts w:ascii="Arial" w:hAnsi="Arial" w:cs="Lohit Devanagari"/>
      <w:i/>
      <w:iCs/>
      <w:sz w:val="24"/>
      <w:szCs w:val="24"/>
    </w:rPr>
  </w:style>
  <w:style w:type="paragraph" w:styleId="Index">
    <w:name w:val="Index"/>
    <w:basedOn w:val="Normal"/>
    <w:qFormat/>
    <w:pPr>
      <w:suppressLineNumbers/>
    </w:pPr>
    <w:rPr>
      <w:rFonts w:ascii="Arial" w:hAnsi="Arial" w:cs="Lohit Devanagari"/>
      <w:sz w:val="24"/>
    </w:rPr>
  </w:style>
  <w:style w:type="paragraph" w:styleId="Bibliography1">
    <w:name w:val="Bibliography 1"/>
    <w:basedOn w:val="Index"/>
    <w:qFormat/>
    <w:pPr>
      <w:tabs>
        <w:tab w:val="clear" w:pos="408"/>
      </w:tabs>
      <w:spacing w:lineRule="atLeast" w:line="240" w:before="0" w:after="0"/>
      <w:ind w:left="720" w:right="0" w:hanging="720"/>
    </w:pPr>
    <w:rPr>
      <w:rFonts w:ascii="Times" w:hAnsi="Times"/>
      <w:sz w:val="20"/>
    </w:rPr>
  </w:style>
  <w:style w:type="paragraph" w:styleId="Title">
    <w:name w:val="Title"/>
    <w:basedOn w:val="Heading"/>
    <w:next w:val="TextBody"/>
    <w:qFormat/>
    <w:pPr>
      <w:spacing w:before="240" w:after="290"/>
      <w:jc w:val="left"/>
    </w:pPr>
    <w:rPr>
      <w:b/>
      <w:bCs/>
      <w:sz w:val="32"/>
      <w:szCs w:val="56"/>
    </w:rPr>
  </w:style>
  <w:style w:type="paragraph" w:styleId="Footnote">
    <w:name w:val="Footnote Text"/>
    <w:basedOn w:val="Normal"/>
    <w:pPr>
      <w:suppressLineNumbers/>
      <w:ind w:left="339" w:right="0" w:hanging="339"/>
    </w:pPr>
    <w:rPr>
      <w:sz w:val="20"/>
      <w:szCs w:val="20"/>
    </w:rPr>
  </w:style>
  <w:style w:type="paragraph" w:styleId="HeaderandFooter">
    <w:name w:val="Header and Footer"/>
    <w:basedOn w:val="Normal"/>
    <w:qFormat/>
    <w:pPr>
      <w:suppressLineNumbers/>
      <w:tabs>
        <w:tab w:val="clear" w:pos="408"/>
        <w:tab w:val="center" w:pos="4819" w:leader="none"/>
        <w:tab w:val="right" w:pos="9638" w:leader="none"/>
      </w:tabs>
    </w:pPr>
    <w:rPr/>
  </w:style>
  <w:style w:type="paragraph" w:styleId="Footer">
    <w:name w:val="Footer"/>
    <w:basedOn w:val="HeaderandFooter"/>
    <w:pPr>
      <w:suppressLineNumbers/>
    </w:pPr>
    <w:rPr>
      <w:rFonts w:ascii="Times" w:hAnsi="Times"/>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TODO">
    <w:name w:val="TODO"/>
    <w:basedOn w:val="TextBody"/>
    <w:qFormat/>
    <w:pPr/>
    <w:rPr>
      <w:b/>
      <w:color w:val="FF0000"/>
    </w:rPr>
  </w:style>
  <w:style w:type="paragraph" w:styleId="Subtitle">
    <w:name w:val="Subtitle"/>
    <w:basedOn w:val="Heading"/>
    <w:next w:val="TextBody"/>
    <w:qFormat/>
    <w:pPr>
      <w:spacing w:before="60" w:after="120"/>
      <w:jc w:val="center"/>
    </w:pPr>
    <w:rPr>
      <w:sz w:val="36"/>
      <w:szCs w:val="36"/>
    </w:rPr>
  </w:style>
  <w:style w:type="paragraph" w:styleId="ListParagraph">
    <w:name w:val="List Paragraph"/>
    <w:basedOn w:val="Normal"/>
    <w:qFormat/>
    <w:pPr>
      <w:spacing w:before="0" w:after="200"/>
      <w:ind w:left="720" w:right="0" w:hanging="0"/>
      <w:contextualSpacing/>
    </w:pPr>
    <w:rPr/>
  </w:style>
  <w:style w:type="paragraph" w:styleId="NoSpacing">
    <w:name w:val="No Spacing"/>
    <w:qFormat/>
    <w:pPr>
      <w:widowControl/>
      <w:suppressAutoHyphens w:val="true"/>
      <w:overflowPunct w:val="true"/>
      <w:bidi w:val="0"/>
      <w:spacing w:lineRule="auto" w:line="240" w:before="0" w:after="0"/>
      <w:jc w:val="left"/>
    </w:pPr>
    <w:rPr>
      <w:rFonts w:ascii="Calibri" w:hAnsi="Calibri" w:eastAsia="Noto Serif CJK SC" w:cs="Lohit Devanagari"/>
      <w:color w:val="auto"/>
      <w:kern w:val="2"/>
      <w:sz w:val="20"/>
      <w:szCs w:val="24"/>
      <w:lang w:val="en-US" w:eastAsia="zh-CN" w:bidi="hi-IN"/>
    </w:rPr>
  </w:style>
  <w:style w:type="paragraph" w:styleId="Table">
    <w:name w:val="Table"/>
    <w:basedOn w:val="Caption"/>
    <w:qFormat/>
    <w:pPr>
      <w:keepNext w:val="true"/>
    </w:pPr>
    <w:rPr>
      <w:rFonts w:ascii="Arial" w:hAnsi="Arial"/>
      <w:b/>
      <w:i w:val="false"/>
      <w:sz w:val="18"/>
    </w:rPr>
  </w:style>
  <w:style w:type="paragraph" w:styleId="Figure">
    <w:name w:val="Figure"/>
    <w:basedOn w:val="Caption"/>
    <w:qFormat/>
    <w:pPr/>
    <w:rPr>
      <w:b/>
      <w:i w:val="false"/>
      <w:sz w:val="18"/>
    </w:rPr>
  </w:style>
  <w:style w:type="paragraph" w:styleId="FrameContents">
    <w:name w:val="Frame Contents"/>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30402</TotalTime>
  <Application>LibreOffice/7.4.2.3$Linux_X86_64 LibreOffice_project/382eef1f22670f7f4118c8c2dd222ec7ad009daf</Application>
  <AppVersion>15.0000</AppVersion>
  <Pages>1</Pages>
  <Words>245</Words>
  <Characters>994</Characters>
  <CharactersWithSpaces>1108</CharactersWithSpaces>
  <Paragraphs>195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2022-01-24T09:41:24Z</dcterms:created>
  <dc:creator>Peter Hansen</dc:creator>
  <dc:description/>
  <dc:language>en-GB</dc:language>
  <cp:lastModifiedBy>Peter Hansen</cp:lastModifiedBy>
  <dcterms:modified xsi:type="dcterms:W3CDTF">2022-12-30T08:52:34Z</dcterms:modified>
  <cp:revision>176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BREF_1DvLxyYLleRW_1">
    <vt:lpwstr>ZOTERO_ITEM CSL_CITATION {"citationID":"v2kzjEkI","properties":{"formattedCitation":"(Johann and Schaich, 2016; Schaich and Plieninger, 2013)","plainCitation":"(Johann and Schaich, 2016; Schaich and Plieninger, 2013)","noteIndex":0},"citationItems":[{"id"</vt:lpwstr>
  </property>
  <property fmtid="{D5CDD505-2E9C-101B-9397-08002B2CF9AE}" pid="3" name="ZOTERO_BREF_1DvLxyYLleRW_10">
    <vt:lpwstr>lands threatens forest sustainability. The importance of small-scale private forests, e.g. for the conservation of old-growth and dead wood dependent species, seems due to less intensive and more diverse forest management. The role of such forests for bio</vt:lpwstr>
  </property>
  <property fmtid="{D5CDD505-2E9C-101B-9397-08002B2CF9AE}" pid="4" name="ZOTERO_BREF_1DvLxyYLleRW_11">
    <vt:lpwstr>diversity conservation and carbon regulation may be jeopardized through forest conversion and wood mobilization initiatives accompanying rising natural resource prices. To safeguard forest biodiversity and ecosystem services, ownership-specific incentive </vt:lpwstr>
  </property>
  <property fmtid="{D5CDD505-2E9C-101B-9397-08002B2CF9AE}" pid="5" name="ZOTERO_BREF_1DvLxyYLleRW_12">
    <vt:lpwstr>schemes should be coordinated and refined. In public forests, close-to-nature management approaches should be complemented with binding goals aimed at promoting old-growth forest attributes and allowing site-specific variation in management practices. To </vt:lpwstr>
  </property>
  <property fmtid="{D5CDD505-2E9C-101B-9397-08002B2CF9AE}" pid="6" name="ZOTERO_BREF_1DvLxyYLleRW_13">
    <vt:lpwstr>conserve diversity in small-scale private forests, financial incentives and remuneration schemes for the provisioning of forest biodiversity and ecosystem services should be developed. Moreover, consulting and the provision of information on sustainable f</vt:lpwstr>
  </property>
  <property fmtid="{D5CDD505-2E9C-101B-9397-08002B2CF9AE}" pid="7" name="ZOTERO_BREF_1DvLxyYLleRW_14">
    <vt:lpwstr>orest and conservation management should be intensified.","container-title":"Forest Ecology and Management","DOI":"10.1016/j.foreco.2013.05.013","ISSN":"0378-1127","journalAbbreviation":"Forest Ecology and Management","language":"en","page":"146-157","sou</vt:lpwstr>
  </property>
  <property fmtid="{D5CDD505-2E9C-101B-9397-08002B2CF9AE}" pid="8" name="ZOTERO_BREF_1DvLxyYLleRW_15">
    <vt:lpwstr>rce":"ScienceDirect","title":"Land ownership drives stand structure and carbon storage of deciduous temperate forests","volume":"305","author":[{"family":"Schaich","given":"Harald"},{"family":"Plieninger","given":"Tobias"}],"issued":{"date-parts":[["2013"</vt:lpwstr>
  </property>
  <property fmtid="{D5CDD505-2E9C-101B-9397-08002B2CF9AE}" pid="9" name="ZOTERO_BREF_1DvLxyYLleRW_16">
    <vt:lpwstr>]]}}}],"schema":"https://github.com/citation-style-language/schema/raw/master/csl-citation.json"}</vt:lpwstr>
  </property>
  <property fmtid="{D5CDD505-2E9C-101B-9397-08002B2CF9AE}" pid="10" name="ZOTERO_BREF_1DvLxyYLleRW_2">
    <vt:lpwstr>:18604,"uris":["http://zotero.org/users/6808267/items/YPDGNN8G"],"itemData":{"id":18604,"type":"article-journal","container-title":"Forest Ecology and Management","DOI":"10.1016/j.foreco.2016.08.037","ISSN":"03781127","journalAbbreviation":"Forest Ecology</vt:lpwstr>
  </property>
  <property fmtid="{D5CDD505-2E9C-101B-9397-08002B2CF9AE}" pid="11" name="ZOTERO_BREF_1DvLxyYLleRW_3">
    <vt:lpwstr> and Management","language":"en","page":"70-81","source":"DOI.org (Crossref)","title":"Land ownership affects diversity and abundance of tree microhabitats in deciduous temperate forests","volume":"380","author":[{"family":"Johann","given":"Franz"},{"fami</vt:lpwstr>
  </property>
  <property fmtid="{D5CDD505-2E9C-101B-9397-08002B2CF9AE}" pid="12" name="ZOTERO_BREF_1DvLxyYLleRW_4">
    <vt:lpwstr>ly":"Schaich","given":"Harald"}],"issued":{"date-parts":[["2016",11]]}}},{"id":17309,"uris":["http://zotero.org/users/6808267/items/TSITA24M"],"itemData":{"id":17309,"type":"article-journal","abstract":"In European cultural landscapes, forest area is subd</vt:lpwstr>
  </property>
  <property fmtid="{D5CDD505-2E9C-101B-9397-08002B2CF9AE}" pid="13" name="ZOTERO_BREF_1DvLxyYLleRW_5">
    <vt:lpwstr>ivided into a mosaic of stands of different ownership types and sizes. Differences in ownership and different goals of the owners have a potentially decisive influence on the provision of forest ecosystem services and the implementation of instruments for</vt:lpwstr>
  </property>
  <property fmtid="{D5CDD505-2E9C-101B-9397-08002B2CF9AE}" pid="14" name="ZOTERO_BREF_1DvLxyYLleRW_6">
    <vt:lpwstr> the conservation of biodiversity. This study hypothesizes that forest ownership is an indirect determinant of forest management approaches and is thereby relevant for biodiversity conservation and carbon sequestration. We compared structure and species c</vt:lpwstr>
  </property>
  <property fmtid="{D5CDD505-2E9C-101B-9397-08002B2CF9AE}" pid="15" name="ZOTERO_BREF_1DvLxyYLleRW_7">
    <vt:lpwstr>omposition of forest stands in clusters of different ownership types, namely state-owned, municipal and small-scale private forests, in southwestern Germany. Although close-to-nature management has been practiced in public forests for some time, our study</vt:lpwstr>
  </property>
  <property fmtid="{D5CDD505-2E9C-101B-9397-08002B2CF9AE}" pid="16" name="ZOTERO_BREF_1DvLxyYLleRW_8">
    <vt:lpwstr> demonstrates that tree species diversity does not vary significantly between ownership types but is correlated with biogeographical factors. However, small-scale private forests comprise significantly higher levels of structural diversity, more dead wood</vt:lpwstr>
  </property>
  <property fmtid="{D5CDD505-2E9C-101B-9397-08002B2CF9AE}" pid="17" name="ZOTERO_BREF_1DvLxyYLleRW_9">
    <vt:lpwstr> and greater carbon storage capacity than both categories of public forests. This is contrary to other studies, where publicly owned lands were found to host higher biodiversity, and differs from the global trend, where continued fragmentation of private </vt:lpwstr>
  </property>
  <property fmtid="{D5CDD505-2E9C-101B-9397-08002B2CF9AE}" pid="18" name="ZOTERO_BREF_3EUrHibIvnyb_1">
    <vt:lpwstr>ZOTERO_ITEM CSL_CITATION {"citationID":"sCBrJt6D","properties":{"formattedCitation":"(2014)","plainCitation":"(2014)","noteIndex":0},"citationItems":[{"id":19976,"uris":["http://zotero.org/users/6808267/items/Z5383BAS"],"itemData":{"id":19976,"type":"arti</vt:lpwstr>
  </property>
  <property fmtid="{D5CDD505-2E9C-101B-9397-08002B2CF9AE}" pid="19" name="ZOTERO_BREF_3EUrHibIvnyb_2">
    <vt:lpwstr>cle-journal","container-title":"Nature Conservation","DOI":"10.3897/natureconservation.7.7281","ISSN":"1314-3301, 1314-6947","journalAbbreviation":"NC","page":"15-27","source":"DOI.org (Crossref)","title":"An index of forest management intensity based on </vt:lpwstr>
  </property>
  <property fmtid="{D5CDD505-2E9C-101B-9397-08002B2CF9AE}" pid="20" name="ZOTERO_BREF_3EUrHibIvnyb_3">
    <vt:lpwstr>assessment of harvested tree volume, tree species composition and dead wood origin","volume":"7","author":[{"family":"Kahl","given":"Tiemo"},{"family":"Bauhus","given":"Jürgen"}],"issued":{"date-parts":[["2014",4,9]]}},"suppress-author":true}],"schema":"h</vt:lpwstr>
  </property>
  <property fmtid="{D5CDD505-2E9C-101B-9397-08002B2CF9AE}" pid="21" name="ZOTERO_BREF_3EUrHibIvnyb_4">
    <vt:lpwstr>ttps://github.com/citation-style-language/schema/raw/master/csl-citation.json"}</vt:lpwstr>
  </property>
  <property fmtid="{D5CDD505-2E9C-101B-9397-08002B2CF9AE}" pid="22" name="ZOTERO_BREF_5ekZYkqw9xSO_1">
    <vt:lpwstr>ZOTERO_ITEM CSL_CITATION {"citationID":"OmPMGU7L","properties":{"formattedCitation":"(2021)","plainCitation":"(2021)","dontUpdate":true,"noteIndex":0},"citationItems":[{"id":21278,"uris":["http://zotero.org/users/6808267/items/EPPHZIKR"],"itemData":{"id":</vt:lpwstr>
  </property>
  <property fmtid="{D5CDD505-2E9C-101B-9397-08002B2CF9AE}" pid="23" name="ZOTERO_BREF_5ekZYkqw9xSO_10">
    <vt:lpwstr>ystem services, management practices, and nature conservation attitudes","title-short":"Small-scale private forest owners and the European Natura 2000 conservation network","URL":"https://link.springer.com/10.1007/s10342-021-01415-7","author":[{"family":"</vt:lpwstr>
  </property>
  <property fmtid="{D5CDD505-2E9C-101B-9397-08002B2CF9AE}" pid="24" name="ZOTERO_BREF_5ekZYkqw9xSO_11">
    <vt:lpwstr>Tiebel","given":"Malin"},{"family":"Mölder","given":"Andreas"},{"family":"Plieninger","given":"Tobias"}],"accessed":{"date-parts":[["2021",11,9]]},"issued":{"date-parts":[["2021",10,2]]}},"suppress-author":true}],"schema":"https://github.com/citation-styl</vt:lpwstr>
  </property>
  <property fmtid="{D5CDD505-2E9C-101B-9397-08002B2CF9AE}" pid="25" name="ZOTERO_BREF_5ekZYkqw9xSO_12">
    <vt:lpwstr>e-language/schema/raw/master/csl-citation.json"}</vt:lpwstr>
  </property>
  <property fmtid="{D5CDD505-2E9C-101B-9397-08002B2CF9AE}" pid="26" name="ZOTERO_BREF_5ekZYkqw9xSO_2">
    <vt:lpwstr>21278,"type":"article-journal","abstract":"Abstract\n            \n              The systematic designation of protected areas is a key strategy in modern biodiversity conservation. As for now, the Natura 2000 system of the European Union (EU) is the larg</vt:lpwstr>
  </property>
  <property fmtid="{D5CDD505-2E9C-101B-9397-08002B2CF9AE}" pid="27" name="ZOTERO_BREF_5ekZYkqw9xSO_3">
    <vt:lpwstr>est coordinated network of conservation areas worldwide. Since this scheme has a focus on forests, its effectiveness substantially depends on small-scale private forest owners who represent the largest forest ownership group in Europe. We conducted a quan</vt:lpwstr>
  </property>
  <property fmtid="{D5CDD505-2E9C-101B-9397-08002B2CF9AE}" pid="28" name="ZOTERO_BREF_5ekZYkqw9xSO_4">
    <vt:lpwstr>titative survey (\n              n\n               = 1671) in Northwest Germany focusing on the perceived importance of ecosystem services, the performance of management practices, nature conservation attitudes, as well as stand characteristics of small-s</vt:lpwstr>
  </property>
  <property fmtid="{D5CDD505-2E9C-101B-9397-08002B2CF9AE}" pid="29" name="ZOTERO_BREF_5ekZYkqw9xSO_5">
    <vt:lpwstr>cale private forest owners with and without Natura 2000 sites. Forest owners perceived regulating and cultural services as more important than provisioning ecosystem services while having a multifunctional perspective on their forest. Owners with Natura 2</vt:lpwstr>
  </property>
  <property fmtid="{D5CDD505-2E9C-101B-9397-08002B2CF9AE}" pid="30" name="ZOTERO_BREF_5ekZYkqw9xSO_6">
    <vt:lpwstr>000 sites had a stronger focus on resource use and, with the exception of habitat-tree protection, did not perform conservation measures more frequently than those without. Moreover, we found more negative nature conservation attitudes among this ownershi</vt:lpwstr>
  </property>
  <property fmtid="{D5CDD505-2E9C-101B-9397-08002B2CF9AE}" pid="31" name="ZOTERO_BREF_5ekZYkqw9xSO_7">
    <vt:lpwstr>p group. In conclusion, the Natura 2000 scheme needs to be more strongly adapted to the demands of small-scale private forest owners, for example by increasing profound participation and establishing a results-based incentive scheme for conservation measu</vt:lpwstr>
  </property>
  <property fmtid="{D5CDD505-2E9C-101B-9397-08002B2CF9AE}" pid="32" name="ZOTERO_BREF_5ekZYkqw9xSO_8">
    <vt:lpwstr>res. The perspectives of small-scale private forest owners have to be considered comprehensively to ensure the effective and sustainable implementation of the Natura 2000 conservation network.","container-title":"European Journal of Forest Research","DOI"</vt:lpwstr>
  </property>
  <property fmtid="{D5CDD505-2E9C-101B-9397-08002B2CF9AE}" pid="33" name="ZOTERO_BREF_5ekZYkqw9xSO_9">
    <vt:lpwstr>:"10.1007/s10342-021-01415-7","ISSN":"1612-4669, 1612-4677","journalAbbreviation":"Eur J Forest Res","language":"en","source":"DOI.org (Crossref)","title":"Small-scale private forest owners and the European Natura 2000 conservation network: perceived ecos</vt:lpwstr>
  </property>
  <property fmtid="{D5CDD505-2E9C-101B-9397-08002B2CF9AE}" pid="34" name="ZOTERO_BREF_6qsIuXuLloFE_1">
    <vt:lpwstr>ZOTERO_ITEM CSL_CITATION {"citationID":"8RKjLmmu","properties":{"formattedCitation":"(2018)","plainCitation":"(2018)","noteIndex":0},"citationItems":[{"id":20156,"uris":["http://zotero.org/users/6808267/items/Q3FUTB4C"],"itemData":{"id":20156,"type":"arti</vt:lpwstr>
  </property>
  <property fmtid="{D5CDD505-2E9C-101B-9397-08002B2CF9AE}" pid="35" name="ZOTERO_BREF_6qsIuXuLloFE_10">
    <vt:lpwstr> fully integrate TreM monitoring into forest management.","DOI":"10.1016/J.ECOLIND.2017.08.051","source":"Semantic Scholar","title":"Tree related microhabitats in temperate and Mediterranean European forests: A hierarchical typology for inventory standard</vt:lpwstr>
  </property>
  <property fmtid="{D5CDD505-2E9C-101B-9397-08002B2CF9AE}" pid="36" name="ZOTERO_BREF_6qsIuXuLloFE_11">
    <vt:lpwstr>ization","title-short":"Tree related microhabitats in temperate and Mediterranean European forests","author":[{"family":"Larrieu","given":"L."},{"family":"Paillet","given":"Y."},{"family":"Winter","given":"S."},{"family":"Bütler","given":"R."},{"family":"</vt:lpwstr>
  </property>
  <property fmtid="{D5CDD505-2E9C-101B-9397-08002B2CF9AE}" pid="37" name="ZOTERO_BREF_6qsIuXuLloFE_12">
    <vt:lpwstr>Kraus","given":"Daniel"},{"family":"Krumm","given":"F."},{"family":"Lachat","given":"T."},{"family":"Michel","given":"A."},{"family":"Regnery","given":"Baptiste"},{"family":"Vandekerkhove","given":"K."}],"issued":{"date-parts":[["2018"]]}},"suppress-autho</vt:lpwstr>
  </property>
  <property fmtid="{D5CDD505-2E9C-101B-9397-08002B2CF9AE}" pid="38" name="ZOTERO_BREF_6qsIuXuLloFE_13">
    <vt:lpwstr>r":true}],"schema":"https://github.com/citation-style-language/schema/raw/master/csl-citation.json"}</vt:lpwstr>
  </property>
  <property fmtid="{D5CDD505-2E9C-101B-9397-08002B2CF9AE}" pid="39" name="ZOTERO_BREF_6qsIuXuLloFE_2">
    <vt:lpwstr>cle-journal","abstract":"Abstract T ree re lated M icrohabitats (hereafter TreMs) have been widely recognized as important substrates and structures for biodiversity in both commercial and protected forests and are receiving increasing attention in manage</vt:lpwstr>
  </property>
  <property fmtid="{D5CDD505-2E9C-101B-9397-08002B2CF9AE}" pid="40" name="ZOTERO_BREF_6qsIuXuLloFE_3">
    <vt:lpwstr>ment, conservation and research. How to record TreMs in forest inventories is a question of recent interest since TreMs represent potential indirect indicators for the specialized species that use them as substrates or habitat at least for a part of their</vt:lpwstr>
  </property>
  <property fmtid="{D5CDD505-2E9C-101B-9397-08002B2CF9AE}" pid="41" name="ZOTERO_BREF_6qsIuXuLloFE_4">
    <vt:lpwstr> life-cycle. However, there is a wide range of differing interpretations as to what exactly constitutes a TreM and what specific features should be surveyed in the field. In an attempt to harmonize future TreM inventories, we propose a definition and a ty</vt:lpwstr>
  </property>
  <property fmtid="{D5CDD505-2E9C-101B-9397-08002B2CF9AE}" pid="42" name="ZOTERO_BREF_6qsIuXuLloFE_5">
    <vt:lpwstr>pology of TreM types borne by living and dead standing trees in temperate and Mediterranean forests in Europe. Our aim is to provide users with definitions which make unequivocal TreM determination possible. Our typology is structured around seven basic f</vt:lpwstr>
  </property>
  <property fmtid="{D5CDD505-2E9C-101B-9397-08002B2CF9AE}" pid="43" name="ZOTERO_BREF_6qsIuXuLloFE_6">
    <vt:lpwstr>orms according to morphological characteristics and biodiversity relevance: i) cavities lato sensu, ii) tree injuries and exposed wood, iii) crown deadwood, iv) excrescences, v) fruiting bodies of saproxylic fungi and fungi-like organisms, vi) epiphytic a</vt:lpwstr>
  </property>
  <property fmtid="{D5CDD505-2E9C-101B-9397-08002B2CF9AE}" pid="44" name="ZOTERO_BREF_6qsIuXuLloFE_7">
    <vt:lpwstr>nd epixylic structures, and vii) exudates. The typology is then further detailed into 15 groups and 47 types with a hierarchical structure allowing the typology to be used for different purposes. The typology, along with guidelines for standardized record</vt:lpwstr>
  </property>
  <property fmtid="{D5CDD505-2E9C-101B-9397-08002B2CF9AE}" pid="45" name="ZOTERO_BREF_6qsIuXuLloFE_8">
    <vt:lpwstr>ing we propose, is an unprecedented reference tool to make data on TreMs comparable across different regions, forest types and tree species, and should greatly improve the reliability of TreM monitoring. It provides the basis for compiling these data and </vt:lpwstr>
  </property>
  <property fmtid="{D5CDD505-2E9C-101B-9397-08002B2CF9AE}" pid="46" name="ZOTERO_BREF_6qsIuXuLloFE_9">
    <vt:lpwstr>may help to improve the reliability of reporting and evaluation of the conservation value of forests. Finally, our work emphasizes the need for further research on TreMs to better understand their dynamics and their link with biodiversity in order to more</vt:lpwstr>
  </property>
  <property fmtid="{D5CDD505-2E9C-101B-9397-08002B2CF9AE}" pid="47" name="ZOTERO_BREF_9EVUvOE4vQls_1">
    <vt:lpwstr>ZOTERO_ITEM CSL_CITATION {"citationID":"BIttcqVi","properties":{"formattedCitation":"(2018)","plainCitation":"(2018)","noteIndex":0},"citationItems":[{"id":20156,"uris":["http://zotero.org/users/6808267/items/Q3FUTB4C"],"itemData":{"id":20156,"type":"arti</vt:lpwstr>
  </property>
  <property fmtid="{D5CDD505-2E9C-101B-9397-08002B2CF9AE}" pid="48" name="ZOTERO_BREF_9EVUvOE4vQls_10">
    <vt:lpwstr> fully integrate TreM monitoring into forest management.","DOI":"10.1016/J.ECOLIND.2017.08.051","source":"Semantic Scholar","title":"Tree related microhabitats in temperate and Mediterranean European forests: A hierarchical typology for inventory standard</vt:lpwstr>
  </property>
  <property fmtid="{D5CDD505-2E9C-101B-9397-08002B2CF9AE}" pid="49" name="ZOTERO_BREF_9EVUvOE4vQls_11">
    <vt:lpwstr>ization","title-short":"Tree related microhabitats in temperate and Mediterranean European forests","author":[{"family":"Larrieu","given":"L."},{"family":"Paillet","given":"Y."},{"family":"Winter","given":"S."},{"family":"Bütler","given":"R."},{"family":"</vt:lpwstr>
  </property>
  <property fmtid="{D5CDD505-2E9C-101B-9397-08002B2CF9AE}" pid="50" name="ZOTERO_BREF_9EVUvOE4vQls_12">
    <vt:lpwstr>Kraus","given":"Daniel"},{"family":"Krumm","given":"F."},{"family":"Lachat","given":"T."},{"family":"Michel","given":"A."},{"family":"Regnery","given":"Baptiste"},{"family":"Vandekerkhove","given":"K."}],"issued":{"date-parts":[["2018"]]}},"suppress-autho</vt:lpwstr>
  </property>
  <property fmtid="{D5CDD505-2E9C-101B-9397-08002B2CF9AE}" pid="51" name="ZOTERO_BREF_9EVUvOE4vQls_13">
    <vt:lpwstr>r":true}],"schema":"https://github.com/citation-style-language/schema/raw/master/csl-citation.json"}</vt:lpwstr>
  </property>
  <property fmtid="{D5CDD505-2E9C-101B-9397-08002B2CF9AE}" pid="52" name="ZOTERO_BREF_9EVUvOE4vQls_2">
    <vt:lpwstr>cle-journal","abstract":"Abstract T ree re lated M icrohabitats (hereafter TreMs) have been widely recognized as important substrates and structures for biodiversity in both commercial and protected forests and are receiving increasing attention in manage</vt:lpwstr>
  </property>
  <property fmtid="{D5CDD505-2E9C-101B-9397-08002B2CF9AE}" pid="53" name="ZOTERO_BREF_9EVUvOE4vQls_3">
    <vt:lpwstr>ment, conservation and research. How to record TreMs in forest inventories is a question of recent interest since TreMs represent potential indirect indicators for the specialized species that use them as substrates or habitat at least for a part of their</vt:lpwstr>
  </property>
  <property fmtid="{D5CDD505-2E9C-101B-9397-08002B2CF9AE}" pid="54" name="ZOTERO_BREF_9EVUvOE4vQls_4">
    <vt:lpwstr> life-cycle. However, there is a wide range of differing interpretations as to what exactly constitutes a TreM and what specific features should be surveyed in the field. In an attempt to harmonize future TreM inventories, we propose a definition and a ty</vt:lpwstr>
  </property>
  <property fmtid="{D5CDD505-2E9C-101B-9397-08002B2CF9AE}" pid="55" name="ZOTERO_BREF_9EVUvOE4vQls_5">
    <vt:lpwstr>pology of TreM types borne by living and dead standing trees in temperate and Mediterranean forests in Europe. Our aim is to provide users with definitions which make unequivocal TreM determination possible. Our typology is structured around seven basic f</vt:lpwstr>
  </property>
  <property fmtid="{D5CDD505-2E9C-101B-9397-08002B2CF9AE}" pid="56" name="ZOTERO_BREF_9EVUvOE4vQls_6">
    <vt:lpwstr>orms according to morphological characteristics and biodiversity relevance: i) cavities lato sensu, ii) tree injuries and exposed wood, iii) crown deadwood, iv) excrescences, v) fruiting bodies of saproxylic fungi and fungi-like organisms, vi) epiphytic a</vt:lpwstr>
  </property>
  <property fmtid="{D5CDD505-2E9C-101B-9397-08002B2CF9AE}" pid="57" name="ZOTERO_BREF_9EVUvOE4vQls_7">
    <vt:lpwstr>nd epixylic structures, and vii) exudates. The typology is then further detailed into 15 groups and 47 types with a hierarchical structure allowing the typology to be used for different purposes. The typology, along with guidelines for standardized record</vt:lpwstr>
  </property>
  <property fmtid="{D5CDD505-2E9C-101B-9397-08002B2CF9AE}" pid="58" name="ZOTERO_BREF_9EVUvOE4vQls_8">
    <vt:lpwstr>ing we propose, is an unprecedented reference tool to make data on TreMs comparable across different regions, forest types and tree species, and should greatly improve the reliability of TreM monitoring. It provides the basis for compiling these data and </vt:lpwstr>
  </property>
  <property fmtid="{D5CDD505-2E9C-101B-9397-08002B2CF9AE}" pid="59" name="ZOTERO_BREF_9EVUvOE4vQls_9">
    <vt:lpwstr>may help to improve the reliability of reporting and evaluation of the conservation value of forests. Finally, our work emphasizes the need for further research on TreMs to better understand their dynamics and their link with biodiversity in order to more</vt:lpwstr>
  </property>
  <property fmtid="{D5CDD505-2E9C-101B-9397-08002B2CF9AE}" pid="60" name="ZOTERO_BREF_A8ibo0qG2r6l_1">
    <vt:lpwstr>ZOTERO_ITEM CSL_CITATION {"citationID":"xufMaSZc","properties":{"formattedCitation":"(2018)","plainCitation":"(2018)","noteIndex":0},"citationItems":[{"id":20156,"uris":["http://zotero.org/users/6808267/items/Q3FUTB4C"],"itemData":{"id":20156,"type":"arti</vt:lpwstr>
  </property>
  <property fmtid="{D5CDD505-2E9C-101B-9397-08002B2CF9AE}" pid="61" name="ZOTERO_BREF_A8ibo0qG2r6l_10">
    <vt:lpwstr> fully integrate TreM monitoring into forest management.","DOI":"10.1016/J.ECOLIND.2017.08.051","source":"Semantic Scholar","title":"Tree related microhabitats in temperate and Mediterranean European forests: A hierarchical typology for inventory standard</vt:lpwstr>
  </property>
  <property fmtid="{D5CDD505-2E9C-101B-9397-08002B2CF9AE}" pid="62" name="ZOTERO_BREF_A8ibo0qG2r6l_11">
    <vt:lpwstr>ization","title-short":"Tree related microhabitats in temperate and Mediterranean European forests","author":[{"family":"Larrieu","given":"L."},{"family":"Paillet","given":"Y."},{"family":"Winter","given":"S."},{"family":"Bütler","given":"R."},{"family":"</vt:lpwstr>
  </property>
  <property fmtid="{D5CDD505-2E9C-101B-9397-08002B2CF9AE}" pid="63" name="ZOTERO_BREF_A8ibo0qG2r6l_12">
    <vt:lpwstr>Kraus","given":"Daniel"},{"family":"Krumm","given":"F."},{"family":"Lachat","given":"T."},{"family":"Michel","given":"A."},{"family":"Regnery","given":"Baptiste"},{"family":"Vandekerkhove","given":"K."}],"issued":{"date-parts":[["2018"]]}},"suppress-autho</vt:lpwstr>
  </property>
  <property fmtid="{D5CDD505-2E9C-101B-9397-08002B2CF9AE}" pid="64" name="ZOTERO_BREF_A8ibo0qG2r6l_13">
    <vt:lpwstr>r":true}],"schema":"https://github.com/citation-style-language/schema/raw/master/csl-citation.json"}</vt:lpwstr>
  </property>
  <property fmtid="{D5CDD505-2E9C-101B-9397-08002B2CF9AE}" pid="65" name="ZOTERO_BREF_A8ibo0qG2r6l_2">
    <vt:lpwstr>cle-journal","abstract":"Abstract T ree re lated M icrohabitats (hereafter TreMs) have been widely recognized as important substrates and structures for biodiversity in both commercial and protected forests and are receiving increasing attention in manage</vt:lpwstr>
  </property>
  <property fmtid="{D5CDD505-2E9C-101B-9397-08002B2CF9AE}" pid="66" name="ZOTERO_BREF_A8ibo0qG2r6l_3">
    <vt:lpwstr>ment, conservation and research. How to record TreMs in forest inventories is a question of recent interest since TreMs represent potential indirect indicators for the specialized species that use them as substrates or habitat at least for a part of their</vt:lpwstr>
  </property>
  <property fmtid="{D5CDD505-2E9C-101B-9397-08002B2CF9AE}" pid="67" name="ZOTERO_BREF_A8ibo0qG2r6l_4">
    <vt:lpwstr> life-cycle. However, there is a wide range of differing interpretations as to what exactly constitutes a TreM and what specific features should be surveyed in the field. In an attempt to harmonize future TreM inventories, we propose a definition and a ty</vt:lpwstr>
  </property>
  <property fmtid="{D5CDD505-2E9C-101B-9397-08002B2CF9AE}" pid="68" name="ZOTERO_BREF_A8ibo0qG2r6l_5">
    <vt:lpwstr>pology of TreM types borne by living and dead standing trees in temperate and Mediterranean forests in Europe. Our aim is to provide users with definitions which make unequivocal TreM determination possible. Our typology is structured around seven basic f</vt:lpwstr>
  </property>
  <property fmtid="{D5CDD505-2E9C-101B-9397-08002B2CF9AE}" pid="69" name="ZOTERO_BREF_A8ibo0qG2r6l_6">
    <vt:lpwstr>orms according to morphological characteristics and biodiversity relevance: i) cavities lato sensu, ii) tree injuries and exposed wood, iii) crown deadwood, iv) excrescences, v) fruiting bodies of saproxylic fungi and fungi-like organisms, vi) epiphytic a</vt:lpwstr>
  </property>
  <property fmtid="{D5CDD505-2E9C-101B-9397-08002B2CF9AE}" pid="70" name="ZOTERO_BREF_A8ibo0qG2r6l_7">
    <vt:lpwstr>nd epixylic structures, and vii) exudates. The typology is then further detailed into 15 groups and 47 types with a hierarchical structure allowing the typology to be used for different purposes. The typology, along with guidelines for standardized record</vt:lpwstr>
  </property>
  <property fmtid="{D5CDD505-2E9C-101B-9397-08002B2CF9AE}" pid="71" name="ZOTERO_BREF_A8ibo0qG2r6l_8">
    <vt:lpwstr>ing we propose, is an unprecedented reference tool to make data on TreMs comparable across different regions, forest types and tree species, and should greatly improve the reliability of TreM monitoring. It provides the basis for compiling these data and </vt:lpwstr>
  </property>
  <property fmtid="{D5CDD505-2E9C-101B-9397-08002B2CF9AE}" pid="72" name="ZOTERO_BREF_A8ibo0qG2r6l_9">
    <vt:lpwstr>may help to improve the reliability of reporting and evaluation of the conservation value of forests. Finally, our work emphasizes the need for further research on TreMs to better understand their dynamics and their link with biodiversity in order to more</vt:lpwstr>
  </property>
  <property fmtid="{D5CDD505-2E9C-101B-9397-08002B2CF9AE}" pid="73" name="ZOTERO_BREF_BDPtKAeZr7f1_1">
    <vt:lpwstr>ZOTERO_ITEM CSL_CITATION {"citationID":"UKrgimhu","properties":{"formattedCitation":"(LBEG, 2022)","plainCitation":"(LBEG, 2022)","noteIndex":0},"citationItems":[{"id":21913,"uris":["http://zotero.org/users/6808267/items/2ML697R7"],"itemData":{"id":21913,</vt:lpwstr>
  </property>
  <property fmtid="{D5CDD505-2E9C-101B-9397-08002B2CF9AE}" pid="74" name="ZOTERO_BREF_BDPtKAeZr7f1_2">
    <vt:lpwstr>"type":"document","title":"NIBIS Kartenserver, Geological map 1:25000, Landesamt für Bergbau, Energie und Geologie (LBEG), Hannover, Germany","URL":"https://nibis.lbeg.de/cardomap3","author":[{"literal":"LBEG"}],"accessed":{"date-parts":[["2022",4,6]]},"i</vt:lpwstr>
  </property>
  <property fmtid="{D5CDD505-2E9C-101B-9397-08002B2CF9AE}" pid="75" name="ZOTERO_BREF_BDPtKAeZr7f1_3">
    <vt:lpwstr>ssued":{"date-parts":[["2022"]]}}}],"schema":"https://github.com/citation-style-language/schema/raw/master/csl-citation.json"}</vt:lpwstr>
  </property>
  <property fmtid="{D5CDD505-2E9C-101B-9397-08002B2CF9AE}" pid="76" name="ZOTERO_BREF_DqTnKJa4qHIk_1">
    <vt:lpwstr>ZOTERO_ITEM CSL_CITATION {"citationID":"S1X4dB24","properties":{"formattedCitation":"(Bundesministerium f\\uc0\\u252{}r Ern\\uc0\\u228{}hrung und Landwirtschaft, 2014)","plainCitation":"(Bundesministerium für Ernährung und Landwirtschaft, 2014)","noteInde</vt:lpwstr>
  </property>
  <property fmtid="{D5CDD505-2E9C-101B-9397-08002B2CF9AE}" pid="77" name="ZOTERO_BREF_DqTnKJa4qHIk_2">
    <vt:lpwstr>x":0},"citationItems":[{"id":20240,"uris":["http://zotero.org/users/6808267/items/SU3QCT85"],"itemData":{"id":20240,"type":"webpage","title":"Die Bundeswaldinventur 3, Ergebnisse für Niedersachsen","URL":"https://www.ml.niedersachsen.de/startseite/themen/</vt:lpwstr>
  </property>
  <property fmtid="{D5CDD505-2E9C-101B-9397-08002B2CF9AE}" pid="78" name="ZOTERO_BREF_DqTnKJa4qHIk_3">
    <vt:lpwstr>wald_holz_jagd/walder_fur_niedersachsen/die-bundeswaldinventur-3-127660.html","author":[{"literal":"Bundesministerium für Ernährung und Landwirtschaft"}],"accessed":{"date-parts":[["2021",3,26]]},"issued":{"date-parts":[["2014"]]}}}],"schema":"https://git</vt:lpwstr>
  </property>
  <property fmtid="{D5CDD505-2E9C-101B-9397-08002B2CF9AE}" pid="79" name="ZOTERO_BREF_DqTnKJa4qHIk_4">
    <vt:lpwstr>hub.com/citation-style-language/schema/raw/master/csl-citation.json"}</vt:lpwstr>
  </property>
  <property fmtid="{D5CDD505-2E9C-101B-9397-08002B2CF9AE}" pid="80" name="ZOTERO_BREF_EQwKe9c4JXQ4_1">
    <vt:lpwstr>ZOTERO_ITEM CSL_CITATION {"citationID":"ko6wDQO9","properties":{"formattedCitation":"(R Core Team, 2020)","plainCitation":"(R Core Team, 2020)","dontUpdate":true,"noteIndex":0},"citationItems":[{"id":21906,"uris":["http://zotero.org/users/6808267/items/4T</vt:lpwstr>
  </property>
  <property fmtid="{D5CDD505-2E9C-101B-9397-08002B2CF9AE}" pid="81" name="ZOTERO_BREF_EQwKe9c4JXQ4_2">
    <vt:lpwstr>LZHB72"],"itemData":{"id":21906,"type":"book","event-place":"Vienna, Austria","publisher":"R Foundation for Statistical Computing","publisher-place":"Vienna, Austria","title":"R: A Language and Environment for Statistical Computing","URL":"https://www.R-p</vt:lpwstr>
  </property>
  <property fmtid="{D5CDD505-2E9C-101B-9397-08002B2CF9AE}" pid="82" name="ZOTERO_BREF_EQwKe9c4JXQ4_3">
    <vt:lpwstr>roject.org/","author":[{"family":"R Core Team","given":""}],"issued":{"date-parts":[["2020"]]}}}],"schema":"https://github.com/citation-style-language/schema/raw/master/csl-citation.json"}</vt:lpwstr>
  </property>
  <property fmtid="{D5CDD505-2E9C-101B-9397-08002B2CF9AE}" pid="83" name="ZOTERO_BREF_IRqt9FBjFPRZ_1">
    <vt:lpwstr>ZOTERO_ITEM CSL_CITATION {"citationID":"HHHXLNfO","properties":{"formattedCitation":"(Naimi et al., 2014; Wooldridge, 2013)","plainCitation":"(Naimi et al., 2014; Wooldridge, 2013)","noteIndex":0},"citationItems":[{"id":22216,"uris":["http://zotero.org/us</vt:lpwstr>
  </property>
  <property fmtid="{D5CDD505-2E9C-101B-9397-08002B2CF9AE}" pid="84" name="ZOTERO_BREF_IRqt9FBjFPRZ_2">
    <vt:lpwstr>ers/6808267/items/S9ATLU9D"],"itemData":{"id":22216,"type":"article-journal","container-title":"Ecography","DOI":"10.1111/j.1600-0587.2013.00205.x","ISSN":"09067590","issue":"2","journalAbbreviation":"Ecography","language":"en","page":"191-203","source":"</vt:lpwstr>
  </property>
  <property fmtid="{D5CDD505-2E9C-101B-9397-08002B2CF9AE}" pid="85" name="ZOTERO_BREF_IRqt9FBjFPRZ_3">
    <vt:lpwstr>DOI.org (Crossref)","title":"Where is positional uncertainty a problem for species distribution modelling?","volume":"37","author":[{"family":"Naimi","given":"Babak"},{"family":"Hamm","given":"Nicholas A. S."},{"family":"Groen","given":"Thomas A."},{"fami</vt:lpwstr>
  </property>
  <property fmtid="{D5CDD505-2E9C-101B-9397-08002B2CF9AE}" pid="86" name="ZOTERO_BREF_IRqt9FBjFPRZ_4">
    <vt:lpwstr>ly":"Skidmore","given":"Andrew K."},{"family":"Toxopeus","given":"Albertus G."}],"issued":{"date-parts":[["2014",2]]}}},{"id":22213,"uris":["http://zotero.org/users/6808267/items/Z2U6AYD5"],"itemData":{"id":22213,"type":"book","archive":"Naturwald","archi</vt:lpwstr>
  </property>
  <property fmtid="{D5CDD505-2E9C-101B-9397-08002B2CF9AE}" pid="87" name="ZOTERO_BREF_IRqt9FBjFPRZ_5">
    <vt:lpwstr>ve_location":"pdf","call-number":"HB139 .W665 2013","edition":"5th ed","event-place":"Mason, OH","ISBN":"978-1-111-53104-1","note":"OCLC: ocn827938223","number-of-pages":"881","publisher":"South-Western Cengage Learning","publisher-place":"Mason, OH","sou</vt:lpwstr>
  </property>
  <property fmtid="{D5CDD505-2E9C-101B-9397-08002B2CF9AE}" pid="88" name="ZOTERO_BREF_IRqt9FBjFPRZ_6">
    <vt:lpwstr>rce":"Library of Congress ISBN","title":"Introductory econometrics: a modern approach","title-short":"Introductory econometrics","author":[{"family":"Wooldridge","given":"Jeffrey M."}],"issued":{"date-parts":[["2013"]]}}}],"schema":"https://github.com/cit</vt:lpwstr>
  </property>
  <property fmtid="{D5CDD505-2E9C-101B-9397-08002B2CF9AE}" pid="89" name="ZOTERO_BREF_IRqt9FBjFPRZ_7">
    <vt:lpwstr>ation-style-language/schema/raw/master/csl-citation.json"}</vt:lpwstr>
  </property>
  <property fmtid="{D5CDD505-2E9C-101B-9397-08002B2CF9AE}" pid="90" name="ZOTERO_BREF_JGQ61X8iQd9J_1">
    <vt:lpwstr>ZOTERO_ITEM CSL_CITATION {"citationID":"a7XjCTb7","properties":{"formattedCitation":"(Bundesministerium f\\uc0\\u252{}r Ern\\uc0\\u228{}hrung und Landwirtschaft, 2014)","plainCitation":"(Bundesministerium für Ernährung und Landwirtschaft, 2014)","noteInde</vt:lpwstr>
  </property>
  <property fmtid="{D5CDD505-2E9C-101B-9397-08002B2CF9AE}" pid="91" name="ZOTERO_BREF_JGQ61X8iQd9J_2">
    <vt:lpwstr>x":0},"citationItems":[{"id":20240,"uris":["http://zotero.org/users/6808267/items/SU3QCT85"],"itemData":{"id":20240,"type":"webpage","title":"Die Bundeswaldinventur 3, Ergebnisse für Niedersachsen","URL":"https://www.ml.niedersachsen.de/startseite/themen/</vt:lpwstr>
  </property>
  <property fmtid="{D5CDD505-2E9C-101B-9397-08002B2CF9AE}" pid="92" name="ZOTERO_BREF_JGQ61X8iQd9J_3">
    <vt:lpwstr>wald_holz_jagd/walder_fur_niedersachsen/die-bundeswaldinventur-3-127660.html","author":[{"literal":"Bundesministerium für Ernährung und Landwirtschaft"}],"accessed":{"date-parts":[["2021",3,26]]},"issued":{"date-parts":[["2014"]]}}}],"schema":"https://git</vt:lpwstr>
  </property>
  <property fmtid="{D5CDD505-2E9C-101B-9397-08002B2CF9AE}" pid="93" name="ZOTERO_BREF_JGQ61X8iQd9J_4">
    <vt:lpwstr>hub.com/citation-style-language/schema/raw/master/csl-citation.json"}</vt:lpwstr>
  </property>
  <property fmtid="{D5CDD505-2E9C-101B-9397-08002B2CF9AE}" pid="94" name="ZOTERO_BREF_JOhkoxx5UCpp_1">
    <vt:lpwstr>ZOTERO_ITEM CSL_CITATION {"citationID":"qKKGVvvl","properties":{"formattedCitation":"(DWD, 2018a, 2018b)","plainCitation":"(DWD, 2018a, 2018b)","noteIndex":0},"citationItems":[{"id":21911,"uris":["http://zotero.org/users/6808267/items/9CLWZITG"],"itemData</vt:lpwstr>
  </property>
  <property fmtid="{D5CDD505-2E9C-101B-9397-08002B2CF9AE}" pid="95" name="ZOTERO_BREF_JOhkoxx5UCpp_2">
    <vt:lpwstr>":{"id":21911,"type":"document","title":"DWD Climate Data Center (CDC): Multi-annual grids of precipitation height over Germany 1981-2010, version v1.0","URL":"https://opendata.dwd.de/climate_environment/CDC/grids_germany/multi_annual/precipitation/grids_</vt:lpwstr>
  </property>
  <property fmtid="{D5CDD505-2E9C-101B-9397-08002B2CF9AE}" pid="96" name="ZOTERO_BREF_JOhkoxx5UCpp_3">
    <vt:lpwstr>germany_multi_annual_precipitation_1991-2020_17.asc.gz","author":[{"literal":"DWD"}],"issued":{"date-parts":[["2018"]]}}},{"id":21912,"uris":["http://zotero.org/users/6808267/items/Y9MXGJH2"],"itemData":{"id":21912,"type":"document","title":"DWD Climate D</vt:lpwstr>
  </property>
  <property fmtid="{D5CDD505-2E9C-101B-9397-08002B2CF9AE}" pid="97" name="ZOTERO_BREF_JOhkoxx5UCpp_4">
    <vt:lpwstr>ata Center (CDC): Multi-annual means of grids of air temperature (2m) over Germany 1981-2010, version v1.0.","URL":"https://opendata.dwd.de/climate_environment/CDC/grids_germany/multi_annual/air_temperature_mean/grids_germany_multi_annual_air_temp_mean_19</vt:lpwstr>
  </property>
  <property fmtid="{D5CDD505-2E9C-101B-9397-08002B2CF9AE}" pid="98" name="ZOTERO_BREF_JOhkoxx5UCpp_5">
    <vt:lpwstr>91_2020_17.asc.gz","author":[{"literal":"DWD"}],"issued":{"date-parts":[["2018"]]}}}],"schema":"https://github.com/citation-style-language/schema/raw/master/csl-citation.json"}</vt:lpwstr>
  </property>
  <property fmtid="{D5CDD505-2E9C-101B-9397-08002B2CF9AE}" pid="99" name="ZOTERO_BREF_Pem9imsZrWae_1">
    <vt:lpwstr>ZOTERO_ITEM CSL_CITATION {"citationID":"GZkRwRBu","properties":{"formattedCitation":"(Tiebel, M\\uc0\\u246{}lder, and Plieninger 2021)","plainCitation":"(Tiebel, Mölder, and Plieninger 2021)","noteIndex":0},"citationItems":[{"id":21278,"uris":["http://zot</vt:lpwstr>
  </property>
  <property fmtid="{D5CDD505-2E9C-101B-9397-08002B2CF9AE}" pid="100" name="ZOTERO_BREF_Pem9imsZrWae_10">
    <vt:lpwstr>ef)","title":"Small-scale private forest owners and the European Natura 2000 conservation network: perceived ecosystem services, management practices, and nature conservation attitudes","title-short":"Small-scale private forest owners and the European Nat</vt:lpwstr>
  </property>
  <property fmtid="{D5CDD505-2E9C-101B-9397-08002B2CF9AE}" pid="101" name="ZOTERO_BREF_Pem9imsZrWae_11">
    <vt:lpwstr>ura 2000 conservation network","URL":"https://link.springer.com/10.1007/s10342-021-01415-7","author":[{"family":"Tiebel","given":"Malin"},{"family":"Mölder","given":"Andreas"},{"family":"Plieninger","given":"Tobias"}],"accessed":{"date-parts":[["2021",11,</vt:lpwstr>
  </property>
  <property fmtid="{D5CDD505-2E9C-101B-9397-08002B2CF9AE}" pid="102" name="ZOTERO_BREF_Pem9imsZrWae_12">
    <vt:lpwstr>9]]},"issued":{"date-parts":[["2021",10,2]]}}}],"schema":"https://github.com/citation-style-language/schema/raw/master/csl-citation.json"}</vt:lpwstr>
  </property>
  <property fmtid="{D5CDD505-2E9C-101B-9397-08002B2CF9AE}" pid="103" name="ZOTERO_BREF_Pem9imsZrWae_2">
    <vt:lpwstr>ero.org/users/6808267/items/EPPHZIKR"],"uri":["http://zotero.org/users/6808267/items/EPPHZIKR"],"itemData":{"id":21278,"type":"article-journal","abstract":"Abstract\n            \n              The systematic designation of protected areas is a key strate</vt:lpwstr>
  </property>
  <property fmtid="{D5CDD505-2E9C-101B-9397-08002B2CF9AE}" pid="104" name="ZOTERO_BREF_Pem9imsZrWae_3">
    <vt:lpwstr>gy in modern biodiversity conservation. As for now, the Natura 2000 system of the European Union (EU) is the largest coordinated network of conservation areas worldwide. Since this scheme has a focus on forests, its effectiveness substantially depends on </vt:lpwstr>
  </property>
  <property fmtid="{D5CDD505-2E9C-101B-9397-08002B2CF9AE}" pid="105" name="ZOTERO_BREF_Pem9imsZrWae_4">
    <vt:lpwstr>small-scale private forest owners who represent the largest forest ownership group in Europe. We conducted a quantitative survey (\n              n\n               = 1671) in Northwest Germany focusing on the perceived importance of ecosystem services, th</vt:lpwstr>
  </property>
  <property fmtid="{D5CDD505-2E9C-101B-9397-08002B2CF9AE}" pid="106" name="ZOTERO_BREF_Pem9imsZrWae_5">
    <vt:lpwstr>e performance of management practices, nature conservation attitudes, as well as stand characteristics of small-scale private forest owners with and without Natura 2000 sites. Forest owners perceived regulating and cultural services as more important than</vt:lpwstr>
  </property>
  <property fmtid="{D5CDD505-2E9C-101B-9397-08002B2CF9AE}" pid="107" name="ZOTERO_BREF_Pem9imsZrWae_6">
    <vt:lpwstr> provisioning ecosystem services while having a multifunctional perspective on their forest. Owners with Natura 2000 sites had a stronger focus on resource use and, with the exception of habitat-tree protection, did not perform conservation measures more </vt:lpwstr>
  </property>
  <property fmtid="{D5CDD505-2E9C-101B-9397-08002B2CF9AE}" pid="108" name="ZOTERO_BREF_Pem9imsZrWae_7">
    <vt:lpwstr>frequently than those without. Moreover, we found more negative nature conservation attitudes among this ownership group. In conclusion, the Natura 2000 scheme needs to be more strongly adapted to the demands of small-scale private forest owners, for exam</vt:lpwstr>
  </property>
  <property fmtid="{D5CDD505-2E9C-101B-9397-08002B2CF9AE}" pid="109" name="ZOTERO_BREF_Pem9imsZrWae_8">
    <vt:lpwstr>ple by increasing profound participation and establishing a results-based incentive scheme for conservation measures. The perspectives of small-scale private forest owners have to be considered comprehensively to ensure the effective and sustainable imple</vt:lpwstr>
  </property>
  <property fmtid="{D5CDD505-2E9C-101B-9397-08002B2CF9AE}" pid="110" name="ZOTERO_BREF_Pem9imsZrWae_9">
    <vt:lpwstr>mentation of the Natura 2000 conservation network.","container-title":"European Journal of Forest Research","DOI":"10.1007/s10342-021-01415-7","ISSN":"1612-4669, 1612-4677","journalAbbreviation":"Eur J Forest Res","language":"en","source":"DOI.org (Crossr</vt:lpwstr>
  </property>
  <property fmtid="{D5CDD505-2E9C-101B-9397-08002B2CF9AE}" pid="111" name="ZOTERO_BREF_QYevpyOVHeAZ_1">
    <vt:lpwstr>ZOTERO_ITEM CSL_CITATION {"citationID":"2DQiAHt1","properties":{"formattedCitation":"(Tiebel et al., 2021)","plainCitation":"(Tiebel et al., 2021)","noteIndex":0},"citationItems":[{"id":21278,"uris":["http://zotero.org/users/6808267/items/EPPHZIKR"],"item</vt:lpwstr>
  </property>
  <property fmtid="{D5CDD505-2E9C-101B-9397-08002B2CF9AE}" pid="112" name="ZOTERO_BREF_QYevpyOVHeAZ_10">
    <vt:lpwstr>rceived ecosystem services, management practices, and nature conservation attitudes","title-short":"Small-scale private forest owners and the European Natura 2000 conservation network","URL":"https://link.springer.com/10.1007/s10342-021-01415-7","author":</vt:lpwstr>
  </property>
  <property fmtid="{D5CDD505-2E9C-101B-9397-08002B2CF9AE}" pid="113" name="ZOTERO_BREF_QYevpyOVHeAZ_11">
    <vt:lpwstr>[{"family":"Tiebel","given":"Malin"},{"family":"Mölder","given":"Andreas"},{"family":"Plieninger","given":"Tobias"}],"accessed":{"date-parts":[["2021",11,9]]},"issued":{"date-parts":[["2021",10,2]]}}}],"schema":"https://github.com/citation-style-language/</vt:lpwstr>
  </property>
  <property fmtid="{D5CDD505-2E9C-101B-9397-08002B2CF9AE}" pid="114" name="ZOTERO_BREF_QYevpyOVHeAZ_12">
    <vt:lpwstr>schema/raw/master/csl-citation.json"}</vt:lpwstr>
  </property>
  <property fmtid="{D5CDD505-2E9C-101B-9397-08002B2CF9AE}" pid="115" name="ZOTERO_BREF_QYevpyOVHeAZ_2">
    <vt:lpwstr>Data":{"id":21278,"type":"article-journal","abstract":"Abstract\n            \n              The systematic designation of protected areas is a key strategy in modern biodiversity conservation. As for now, the Natura 2000 system of the European Union (EU)</vt:lpwstr>
  </property>
  <property fmtid="{D5CDD505-2E9C-101B-9397-08002B2CF9AE}" pid="116" name="ZOTERO_BREF_QYevpyOVHeAZ_3">
    <vt:lpwstr> is the largest coordinated network of conservation areas worldwide. Since this scheme has a focus on forests, its effectiveness substantially depends on small-scale private forest owners who represent the largest forest ownership group in Europe. We cond</vt:lpwstr>
  </property>
  <property fmtid="{D5CDD505-2E9C-101B-9397-08002B2CF9AE}" pid="117" name="ZOTERO_BREF_QYevpyOVHeAZ_4">
    <vt:lpwstr>ucted a quantitative survey (\n              n\n               = 1671) in Northwest Germany focusing on the perceived importance of ecosystem services, the performance of management practices, nature conservation attitudes, as well as stand characteristic</vt:lpwstr>
  </property>
  <property fmtid="{D5CDD505-2E9C-101B-9397-08002B2CF9AE}" pid="118" name="ZOTERO_BREF_QYevpyOVHeAZ_5">
    <vt:lpwstr>s of small-scale private forest owners with and without Natura 2000 sites. Forest owners perceived regulating and cultural services as more important than provisioning ecosystem services while having a multifunctional perspective on their forest. Owners w</vt:lpwstr>
  </property>
  <property fmtid="{D5CDD505-2E9C-101B-9397-08002B2CF9AE}" pid="119" name="ZOTERO_BREF_QYevpyOVHeAZ_6">
    <vt:lpwstr>ith Natura 2000 sites had a stronger focus on resource use and, with the exception of habitat-tree protection, did not perform conservation measures more frequently than those without. Moreover, we found more negative nature conservation attitudes among t</vt:lpwstr>
  </property>
  <property fmtid="{D5CDD505-2E9C-101B-9397-08002B2CF9AE}" pid="120" name="ZOTERO_BREF_QYevpyOVHeAZ_7">
    <vt:lpwstr>his ownership group. In conclusion, the Natura 2000 scheme needs to be more strongly adapted to the demands of small-scale private forest owners, for example by increasing profound participation and establishing a results-based incentive scheme for conser</vt:lpwstr>
  </property>
  <property fmtid="{D5CDD505-2E9C-101B-9397-08002B2CF9AE}" pid="121" name="ZOTERO_BREF_QYevpyOVHeAZ_8">
    <vt:lpwstr>vation measures. The perspectives of small-scale private forest owners have to be considered comprehensively to ensure the effective and sustainable implementation of the Natura 2000 conservation network.","container-title":"European Journal of Forest Res</vt:lpwstr>
  </property>
  <property fmtid="{D5CDD505-2E9C-101B-9397-08002B2CF9AE}" pid="122" name="ZOTERO_BREF_QYevpyOVHeAZ_9">
    <vt:lpwstr>earch","DOI":"10.1007/s10342-021-01415-7","ISSN":"1612-4669, 1612-4677","journalAbbreviation":"Eur J Forest Res","language":"en","source":"DOI.org (Crossref)","title":"Small-scale private forest owners and the European Natura 2000 conservation network: pe</vt:lpwstr>
  </property>
  <property fmtid="{D5CDD505-2E9C-101B-9397-08002B2CF9AE}" pid="123" name="ZOTERO_BREF_T86bjIMBkFYh_1">
    <vt:lpwstr/>
  </property>
  <property fmtid="{D5CDD505-2E9C-101B-9397-08002B2CF9AE}" pid="124" name="ZOTERO_BREF_VlHZOjtWtui8_1">
    <vt:lpwstr>ZOTERO_ITEM CSL_CITATION {"citationID":"EwwRTXTM","properties":{"formattedCitation":"(European Environment Agency, 2018)","plainCitation":"(European Environment Agency, 2018)","noteIndex":0},"citationItems":[{"id":22225,"uris":["http://zotero.org/users/68</vt:lpwstr>
  </property>
  <property fmtid="{D5CDD505-2E9C-101B-9397-08002B2CF9AE}" pid="125" name="ZOTERO_BREF_VlHZOjtWtui8_2">
    <vt:lpwstr>08267/items/4U6QDITY"],"itemData":{"id":22225,"type":"webpage","abstract":"Information on the environment for those involved in developing, adopting, implementing and evaluating environmental policy, and also the general public","genre":"External Data Spe</vt:lpwstr>
  </property>
  <property fmtid="{D5CDD505-2E9C-101B-9397-08002B2CF9AE}" pid="126" name="ZOTERO_BREF_VlHZOjtWtui8_3">
    <vt:lpwstr>c","language":"en","title":"Corine Land Cover 2018","URL":"https://www.eea.europa.eu/data-and-maps/data/external/corine-land-cover-2018","author":[{"literal":"European Environment Agency"}],"accessed":{"date-parts":[["2022",5,25]]},"issued":{"date-parts":</vt:lpwstr>
  </property>
  <property fmtid="{D5CDD505-2E9C-101B-9397-08002B2CF9AE}" pid="127" name="ZOTERO_BREF_VlHZOjtWtui8_4">
    <vt:lpwstr>[["2018"]]}}}],"schema":"https://github.com/citation-style-language/schema/raw/master/csl-citation.json"}</vt:lpwstr>
  </property>
  <property fmtid="{D5CDD505-2E9C-101B-9397-08002B2CF9AE}" pid="128" name="ZOTERO_BREF_XZGNrWI6oQTZ_1">
    <vt:lpwstr>ZOTERO_ITEM CSL_CITATION {"citationID":"lRY28oE9","properties":{"formattedCitation":"(Tiebel et al., 2021)","plainCitation":"(Tiebel et al., 2021)","noteIndex":0},"citationItems":[{"id":21278,"uris":["http://zotero.org/users/6808267/items/EPPHZIKR"],"item</vt:lpwstr>
  </property>
  <property fmtid="{D5CDD505-2E9C-101B-9397-08002B2CF9AE}" pid="129" name="ZOTERO_BREF_XZGNrWI6oQTZ_10">
    <vt:lpwstr>rceived ecosystem services, management practices, and nature conservation attitudes","title-short":"Small-scale private forest owners and the European Natura 2000 conservation network","URL":"https://link.springer.com/10.1007/s10342-021-01415-7","author":</vt:lpwstr>
  </property>
  <property fmtid="{D5CDD505-2E9C-101B-9397-08002B2CF9AE}" pid="130" name="ZOTERO_BREF_XZGNrWI6oQTZ_11">
    <vt:lpwstr>[{"family":"Tiebel","given":"Malin"},{"family":"Mölder","given":"Andreas"},{"family":"Plieninger","given":"Tobias"}],"accessed":{"date-parts":[["2021",11,9]]},"issued":{"date-parts":[["2021",10,2]]}}}],"schema":"https://github.com/citation-style-language/</vt:lpwstr>
  </property>
  <property fmtid="{D5CDD505-2E9C-101B-9397-08002B2CF9AE}" pid="131" name="ZOTERO_BREF_XZGNrWI6oQTZ_12">
    <vt:lpwstr>schema/raw/master/csl-citation.json"}</vt:lpwstr>
  </property>
  <property fmtid="{D5CDD505-2E9C-101B-9397-08002B2CF9AE}" pid="132" name="ZOTERO_BREF_XZGNrWI6oQTZ_2">
    <vt:lpwstr>Data":{"id":21278,"type":"article-journal","abstract":"Abstract\n            \n              The systematic designation of protected areas is a key strategy in modern biodiversity conservation. As for now, the Natura 2000 system of the European Union (EU)</vt:lpwstr>
  </property>
  <property fmtid="{D5CDD505-2E9C-101B-9397-08002B2CF9AE}" pid="133" name="ZOTERO_BREF_XZGNrWI6oQTZ_3">
    <vt:lpwstr> is the largest coordinated network of conservation areas worldwide. Since this scheme has a focus on forests, its effectiveness substantially depends on small-scale private forest owners who represent the largest forest ownership group in Europe. We cond</vt:lpwstr>
  </property>
  <property fmtid="{D5CDD505-2E9C-101B-9397-08002B2CF9AE}" pid="134" name="ZOTERO_BREF_XZGNrWI6oQTZ_4">
    <vt:lpwstr>ucted a quantitative survey (\n              n\n               = 1671) in Northwest Germany focusing on the perceived importance of ecosystem services, the performance of management practices, nature conservation attitudes, as well as stand characteristic</vt:lpwstr>
  </property>
  <property fmtid="{D5CDD505-2E9C-101B-9397-08002B2CF9AE}" pid="135" name="ZOTERO_BREF_XZGNrWI6oQTZ_5">
    <vt:lpwstr>s of small-scale private forest owners with and without Natura 2000 sites. Forest owners perceived regulating and cultural services as more important than provisioning ecosystem services while having a multifunctional perspective on their forest. Owners w</vt:lpwstr>
  </property>
  <property fmtid="{D5CDD505-2E9C-101B-9397-08002B2CF9AE}" pid="136" name="ZOTERO_BREF_XZGNrWI6oQTZ_6">
    <vt:lpwstr>ith Natura 2000 sites had a stronger focus on resource use and, with the exception of habitat-tree protection, did not perform conservation measures more frequently than those without. Moreover, we found more negative nature conservation attitudes among t</vt:lpwstr>
  </property>
  <property fmtid="{D5CDD505-2E9C-101B-9397-08002B2CF9AE}" pid="137" name="ZOTERO_BREF_XZGNrWI6oQTZ_7">
    <vt:lpwstr>his ownership group. In conclusion, the Natura 2000 scheme needs to be more strongly adapted to the demands of small-scale private forest owners, for example by increasing profound participation and establishing a results-based incentive scheme for conser</vt:lpwstr>
  </property>
  <property fmtid="{D5CDD505-2E9C-101B-9397-08002B2CF9AE}" pid="138" name="ZOTERO_BREF_XZGNrWI6oQTZ_8">
    <vt:lpwstr>vation measures. The perspectives of small-scale private forest owners have to be considered comprehensively to ensure the effective and sustainable implementation of the Natura 2000 conservation network.","container-title":"European Journal of Forest Res</vt:lpwstr>
  </property>
  <property fmtid="{D5CDD505-2E9C-101B-9397-08002B2CF9AE}" pid="139" name="ZOTERO_BREF_XZGNrWI6oQTZ_9">
    <vt:lpwstr>earch","DOI":"10.1007/s10342-021-01415-7","ISSN":"1612-4669, 1612-4677","journalAbbreviation":"Eur J Forest Res","language":"en","source":"DOI.org (Crossref)","title":"Small-scale private forest owners and the European Natura 2000 conservation network: pe</vt:lpwstr>
  </property>
  <property fmtid="{D5CDD505-2E9C-101B-9397-08002B2CF9AE}" pid="140" name="ZOTERO_BREF_YwSgChAzn3zh_1">
    <vt:lpwstr>ZOTERO_ITEM CSL_CITATION {"citationID":"VWy8Ornd","properties":{"formattedCitation":"(2021, 2020)","plainCitation":"(2021, 2020)","noteIndex":0},"citationItems":[{"id":22188,"uris":["http://zotero.org/users/6808267/items/SWMFPPJN"],"itemData":{"id":22188,</vt:lpwstr>
  </property>
  <property fmtid="{D5CDD505-2E9C-101B-9397-08002B2CF9AE}" pid="141" name="ZOTERO_BREF_YwSgChAzn3zh_2">
    <vt:lpwstr>"type":"book","collection-title":"Naturschutz und Landschaftspflege in Niedersachsen","publisher":"Niedersächsischer Landesbetrieb für Wasserwirtschaft, Küsten- und Naturschutz","title":"Kartierschlüssel für Biotoptypen in Niedersachsen unter besonderer B</vt:lpwstr>
  </property>
  <property fmtid="{D5CDD505-2E9C-101B-9397-08002B2CF9AE}" pid="142" name="ZOTERO_BREF_YwSgChAzn3zh_3">
    <vt:lpwstr>erücksichtigung der gesetzlich geschützten Biotope sowie der Lebensraumtypen von Anhang I der FFH-Richtlinie, Stand März 2021","volume":"Heft A/4","author":[{"family":"Drachenfels","given":"Olaf","non-dropping-particle":"von"}],"issued":{"date-parts":[["2</vt:lpwstr>
  </property>
  <property fmtid="{D5CDD505-2E9C-101B-9397-08002B2CF9AE}" pid="143" name="ZOTERO_BREF_YwSgChAzn3zh_4">
    <vt:lpwstr>021"]]}},"suppress-author":true},{"id":18627,"uris":["http://zotero.org/users/6808267/items/K42MJCZC"],"itemData":{"id":18627,"type":"book","collection-title":"Naturschutz und Landschaftspflege in Niedersachsen","publisher":"Niedersächsischer Landesbetrie</vt:lpwstr>
  </property>
  <property fmtid="{D5CDD505-2E9C-101B-9397-08002B2CF9AE}" pid="144" name="ZOTERO_BREF_YwSgChAzn3zh_5">
    <vt:lpwstr>b für Wasserwirtschaft, Küsten- und Naturschutz","title":"Kartierschlüssel für Biotoptypen in Niedersachsen unter besonderer Berücksichtigung der gesetzlich geschützten Biotope sowie der Lebensraumtypen von Anhang I der FFH-Richtlinie, Stand Februar 2020"</vt:lpwstr>
  </property>
  <property fmtid="{D5CDD505-2E9C-101B-9397-08002B2CF9AE}" pid="145" name="ZOTERO_BREF_YwSgChAzn3zh_6">
    <vt:lpwstr>,"volume":"Heft A/4","author":[{"family":"Drachenfels","given":"Olaf","non-dropping-particle":"von"}],"issued":{"date-parts":[["2020"]]}}}],"schema":"https://github.com/citation-style-language/schema/raw/master/csl-citation.json"}</vt:lpwstr>
  </property>
  <property fmtid="{D5CDD505-2E9C-101B-9397-08002B2CF9AE}" pid="146" name="ZOTERO_BREF_ZACNUMzlAdsW_1">
    <vt:lpwstr>ZOTERO_ITEM CSL_CITATION {"citationID":"2EWEp5dA","properties":{"formattedCitation":"(Tiebel et al., 2021)","plainCitation":"(Tiebel et al., 2021)","noteIndex":0},"citationItems":[{"id":21278,"uris":["http://zotero.org/users/6808267/items/EPPHZIKR"],"item</vt:lpwstr>
  </property>
  <property fmtid="{D5CDD505-2E9C-101B-9397-08002B2CF9AE}" pid="147" name="ZOTERO_BREF_ZACNUMzlAdsW_10">
    <vt:lpwstr>rceived ecosystem services, management practices, and nature conservation attitudes","title-short":"Small-scale private forest owners and the European Natura 2000 conservation network","URL":"https://link.springer.com/10.1007/s10342-021-01415-7","author":</vt:lpwstr>
  </property>
  <property fmtid="{D5CDD505-2E9C-101B-9397-08002B2CF9AE}" pid="148" name="ZOTERO_BREF_ZACNUMzlAdsW_11">
    <vt:lpwstr>[{"family":"Tiebel","given":"Malin"},{"family":"Mölder","given":"Andreas"},{"family":"Plieninger","given":"Tobias"}],"accessed":{"date-parts":[["2021",11,9]]},"issued":{"date-parts":[["2021",10,2]]}}}],"schema":"https://github.com/citation-style-language/</vt:lpwstr>
  </property>
  <property fmtid="{D5CDD505-2E9C-101B-9397-08002B2CF9AE}" pid="149" name="ZOTERO_BREF_ZACNUMzlAdsW_12">
    <vt:lpwstr>schema/raw/master/csl-citation.json"}</vt:lpwstr>
  </property>
  <property fmtid="{D5CDD505-2E9C-101B-9397-08002B2CF9AE}" pid="150" name="ZOTERO_BREF_ZACNUMzlAdsW_2">
    <vt:lpwstr>Data":{"id":21278,"type":"article-journal","abstract":"Abstract\n            \n              The systematic designation of protected areas is a key strategy in modern biodiversity conservation. As for now, the Natura 2000 system of the European Union (EU)</vt:lpwstr>
  </property>
  <property fmtid="{D5CDD505-2E9C-101B-9397-08002B2CF9AE}" pid="151" name="ZOTERO_BREF_ZACNUMzlAdsW_3">
    <vt:lpwstr> is the largest coordinated network of conservation areas worldwide. Since this scheme has a focus on forests, its effectiveness substantially depends on small-scale private forest owners who represent the largest forest ownership group in Europe. We cond</vt:lpwstr>
  </property>
  <property fmtid="{D5CDD505-2E9C-101B-9397-08002B2CF9AE}" pid="152" name="ZOTERO_BREF_ZACNUMzlAdsW_4">
    <vt:lpwstr>ucted a quantitative survey (\n              n\n               = 1671) in Northwest Germany focusing on the perceived importance of ecosystem services, the performance of management practices, nature conservation attitudes, as well as stand characteristic</vt:lpwstr>
  </property>
  <property fmtid="{D5CDD505-2E9C-101B-9397-08002B2CF9AE}" pid="153" name="ZOTERO_BREF_ZACNUMzlAdsW_5">
    <vt:lpwstr>s of small-scale private forest owners with and without Natura 2000 sites. Forest owners perceived regulating and cultural services as more important than provisioning ecosystem services while having a multifunctional perspective on their forest. Owners w</vt:lpwstr>
  </property>
  <property fmtid="{D5CDD505-2E9C-101B-9397-08002B2CF9AE}" pid="154" name="ZOTERO_BREF_ZACNUMzlAdsW_6">
    <vt:lpwstr>ith Natura 2000 sites had a stronger focus on resource use and, with the exception of habitat-tree protection, did not perform conservation measures more frequently than those without. Moreover, we found more negative nature conservation attitudes among t</vt:lpwstr>
  </property>
  <property fmtid="{D5CDD505-2E9C-101B-9397-08002B2CF9AE}" pid="155" name="ZOTERO_BREF_ZACNUMzlAdsW_7">
    <vt:lpwstr>his ownership group. In conclusion, the Natura 2000 scheme needs to be more strongly adapted to the demands of small-scale private forest owners, for example by increasing profound participation and establishing a results-based incentive scheme for conser</vt:lpwstr>
  </property>
  <property fmtid="{D5CDD505-2E9C-101B-9397-08002B2CF9AE}" pid="156" name="ZOTERO_BREF_ZACNUMzlAdsW_8">
    <vt:lpwstr>vation measures. The perspectives of small-scale private forest owners have to be considered comprehensively to ensure the effective and sustainable implementation of the Natura 2000 conservation network.","container-title":"European Journal of Forest Res</vt:lpwstr>
  </property>
  <property fmtid="{D5CDD505-2E9C-101B-9397-08002B2CF9AE}" pid="157" name="ZOTERO_BREF_ZACNUMzlAdsW_9">
    <vt:lpwstr>earch","DOI":"10.1007/s10342-021-01415-7","ISSN":"1612-4669, 1612-4677","journalAbbreviation":"Eur J Forest Res","language":"en","source":"DOI.org (Crossref)","title":"Small-scale private forest owners and the European Natura 2000 conservation network: pe</vt:lpwstr>
  </property>
  <property fmtid="{D5CDD505-2E9C-101B-9397-08002B2CF9AE}" pid="158" name="ZOTERO_BREF_abIJlutjUsCO_1">
    <vt:lpwstr/>
  </property>
  <property fmtid="{D5CDD505-2E9C-101B-9397-08002B2CF9AE}" pid="159" name="ZOTERO_BREF_bL2okDnSzjjZ_1">
    <vt:lpwstr>ZOTERO_ITEM CSL_CITATION {"citationID":"nfHbMmQx","properties":{"formattedCitation":"(Tiebel et al., 2021)","plainCitation":"(Tiebel et al., 2021)","noteIndex":0},"citationItems":[{"id":21278,"uris":["http://zotero.org/users/6808267/items/EPPHZIKR"],"item</vt:lpwstr>
  </property>
  <property fmtid="{D5CDD505-2E9C-101B-9397-08002B2CF9AE}" pid="160" name="ZOTERO_BREF_bL2okDnSzjjZ_10">
    <vt:lpwstr>rceived ecosystem services, management practices, and nature conservation attitudes","title-short":"Small-scale private forest owners and the European Natura 2000 conservation network","URL":"https://link.springer.com/10.1007/s10342-021-01415-7","author":</vt:lpwstr>
  </property>
  <property fmtid="{D5CDD505-2E9C-101B-9397-08002B2CF9AE}" pid="161" name="ZOTERO_BREF_bL2okDnSzjjZ_11">
    <vt:lpwstr>[{"family":"Tiebel","given":"Malin"},{"family":"Mölder","given":"Andreas"},{"family":"Plieninger","given":"Tobias"}],"accessed":{"date-parts":[["2021",11,9]]},"issued":{"date-parts":[["2021",10,2]]}}}],"schema":"https://github.com/citation-style-language/</vt:lpwstr>
  </property>
  <property fmtid="{D5CDD505-2E9C-101B-9397-08002B2CF9AE}" pid="162" name="ZOTERO_BREF_bL2okDnSzjjZ_12">
    <vt:lpwstr>schema/raw/master/csl-citation.json"}</vt:lpwstr>
  </property>
  <property fmtid="{D5CDD505-2E9C-101B-9397-08002B2CF9AE}" pid="163" name="ZOTERO_BREF_bL2okDnSzjjZ_2">
    <vt:lpwstr>Data":{"id":21278,"type":"article-journal","abstract":"Abstract\n            \n              The systematic designation of protected areas is a key strategy in modern biodiversity conservation. As for now, the Natura 2000 system of the European Union (EU)</vt:lpwstr>
  </property>
  <property fmtid="{D5CDD505-2E9C-101B-9397-08002B2CF9AE}" pid="164" name="ZOTERO_BREF_bL2okDnSzjjZ_3">
    <vt:lpwstr> is the largest coordinated network of conservation areas worldwide. Since this scheme has a focus on forests, its effectiveness substantially depends on small-scale private forest owners who represent the largest forest ownership group in Europe. We cond</vt:lpwstr>
  </property>
  <property fmtid="{D5CDD505-2E9C-101B-9397-08002B2CF9AE}" pid="165" name="ZOTERO_BREF_bL2okDnSzjjZ_4">
    <vt:lpwstr>ucted a quantitative survey (\n              n\n               = 1671) in Northwest Germany focusing on the perceived importance of ecosystem services, the performance of management practices, nature conservation attitudes, as well as stand characteristic</vt:lpwstr>
  </property>
  <property fmtid="{D5CDD505-2E9C-101B-9397-08002B2CF9AE}" pid="166" name="ZOTERO_BREF_bL2okDnSzjjZ_5">
    <vt:lpwstr>s of small-scale private forest owners with and without Natura 2000 sites. Forest owners perceived regulating and cultural services as more important than provisioning ecosystem services while having a multifunctional perspective on their forest. Owners w</vt:lpwstr>
  </property>
  <property fmtid="{D5CDD505-2E9C-101B-9397-08002B2CF9AE}" pid="167" name="ZOTERO_BREF_bL2okDnSzjjZ_6">
    <vt:lpwstr>ith Natura 2000 sites had a stronger focus on resource use and, with the exception of habitat-tree protection, did not perform conservation measures more frequently than those without. Moreover, we found more negative nature conservation attitudes among t</vt:lpwstr>
  </property>
  <property fmtid="{D5CDD505-2E9C-101B-9397-08002B2CF9AE}" pid="168" name="ZOTERO_BREF_bL2okDnSzjjZ_7">
    <vt:lpwstr>his ownership group. In conclusion, the Natura 2000 scheme needs to be more strongly adapted to the demands of small-scale private forest owners, for example by increasing profound participation and establishing a results-based incentive scheme for conser</vt:lpwstr>
  </property>
  <property fmtid="{D5CDD505-2E9C-101B-9397-08002B2CF9AE}" pid="169" name="ZOTERO_BREF_bL2okDnSzjjZ_8">
    <vt:lpwstr>vation measures. The perspectives of small-scale private forest owners have to be considered comprehensively to ensure the effective and sustainable implementation of the Natura 2000 conservation network.","container-title":"European Journal of Forest Res</vt:lpwstr>
  </property>
  <property fmtid="{D5CDD505-2E9C-101B-9397-08002B2CF9AE}" pid="170" name="ZOTERO_BREF_bL2okDnSzjjZ_9">
    <vt:lpwstr>earch","DOI":"10.1007/s10342-021-01415-7","ISSN":"1612-4669, 1612-4677","journalAbbreviation":"Eur J Forest Res","language":"en","source":"DOI.org (Crossref)","title":"Small-scale private forest owners and the European Natura 2000 conservation network: pe</vt:lpwstr>
  </property>
  <property fmtid="{D5CDD505-2E9C-101B-9397-08002B2CF9AE}" pid="171" name="ZOTERO_BREF_bqRRvOVhf9VD_1">
    <vt:lpwstr>ZOTERO_ITEM CSL_CITATION {"citationID":"ejRq1RSI","properties":{"formattedCitation":"(R Core Team, 2020)","plainCitation":"(R Core Team, 2020)","noteIndex":0},"citationItems":[{"id":21906,"uris":["http://zotero.org/users/6808267/items/4TLZHB72"],"itemData</vt:lpwstr>
  </property>
  <property fmtid="{D5CDD505-2E9C-101B-9397-08002B2CF9AE}" pid="172" name="ZOTERO_BREF_bqRRvOVhf9VD_2">
    <vt:lpwstr>":{"id":21906,"type":"book","event-place":"Vienna, Austria","publisher":"R Foundation for Statistical Computing","publisher-place":"Vienna, Austria","title":"R: A Language and Environment for Statistical Computing","URL":"https://www.R-project.org/","auth</vt:lpwstr>
  </property>
  <property fmtid="{D5CDD505-2E9C-101B-9397-08002B2CF9AE}" pid="173" name="ZOTERO_BREF_bqRRvOVhf9VD_3">
    <vt:lpwstr>or":[{"family":"R Core Team","given":""}],"issued":{"date-parts":[["2020"]]}}}],"schema":"https://github.com/citation-style-language/schema/raw/master/csl-citation.json"}</vt:lpwstr>
  </property>
  <property fmtid="{D5CDD505-2E9C-101B-9397-08002B2CF9AE}" pid="174" name="ZOTERO_BREF_cgJo1Z7VJYfc_1">
    <vt:lpwstr>ZOTERO_BIBL {"uncited":[],"omitted":[],"custom":[]} CSL_BIBLIOGRAPHY</vt:lpwstr>
  </property>
  <property fmtid="{D5CDD505-2E9C-101B-9397-08002B2CF9AE}" pid="175" name="ZOTERO_BREF_d1pk5Bzrteon_1">
    <vt:lpwstr/>
  </property>
  <property fmtid="{D5CDD505-2E9C-101B-9397-08002B2CF9AE}" pid="176" name="ZOTERO_BREF_dKnx87JXAfgS_1">
    <vt:lpwstr>ZOTERO_ITEM CSL_CITATION {"citationID":"iw4PDerq","properties":{"formattedCitation":"(Meht\\uc0\\u228{}talo et al., 2015; N\\uc0\\u228{}slund, 1936; Petterson, 1955)","plainCitation":"(Mehtätalo et al., 2015; Näslund, 1936; Petterson, 1955)","noteIndex":0</vt:lpwstr>
  </property>
  <property fmtid="{D5CDD505-2E9C-101B-9397-08002B2CF9AE}" pid="177" name="ZOTERO_BREF_dKnx87JXAfgS_10">
    <vt:lpwstr>":"Mehtätalo","given":"Lauri"},{"family":"Miguel","given":"Sergio","non-dropping-particle":"de-"},{"family":"Gregoire","given":"Timothy G."}],"issued":{"date-parts":[["2015",7]]}}},{"id":21619,"uris":["http://zotero.org/users/6808267/items/A3V64E5Z"],"ite</vt:lpwstr>
  </property>
  <property fmtid="{D5CDD505-2E9C-101B-9397-08002B2CF9AE}" pid="178" name="ZOTERO_BREF_dKnx87JXAfgS_11">
    <vt:lpwstr>mData":{"id":21619,"type":"report","collection-title":"Meddelanden från Statens skogsförsöksanstalt","event-place":"Stockholm","genre":"Report","language":"sv","note":"ISSN: 0283-3093\nissue: 29:1\nnumber-of-pages: 169","number":"29:1","publisher-place":"</vt:lpwstr>
  </property>
  <property fmtid="{D5CDD505-2E9C-101B-9397-08002B2CF9AE}" pid="179" name="ZOTERO_BREF_dKnx87JXAfgS_12">
    <vt:lpwstr>Stockholm","source":"pub.epsilon.slu.se","title":"Skogsförsöksanstaltens gallringsförsök i tallskog (Forest research intitute’s thinning experiments in Scots pine forests)","URL":"https://pub.epsilon.slu.se/10159/","author":[{"family":"Näslund","given":"M</vt:lpwstr>
  </property>
  <property fmtid="{D5CDD505-2E9C-101B-9397-08002B2CF9AE}" pid="180" name="ZOTERO_BREF_dKnx87JXAfgS_13">
    <vt:lpwstr>anfred"}],"accessed":{"date-parts":[["2022",1,25]]},"issued":{"date-parts":[["1936"]]}}},{"id":21560,"uris":["http://zotero.org/users/6808267/items/L6BQX6KV"],"itemData":{"id":21560,"type":"article-journal","container-title":"Mitteilung der Forstlichen Ve</vt:lpwstr>
  </property>
  <property fmtid="{D5CDD505-2E9C-101B-9397-08002B2CF9AE}" pid="181" name="ZOTERO_BREF_dKnx87JXAfgS_14">
    <vt:lpwstr>rsuchsanstalt Schwedens","issue":"1","title":"Die Massenproduktion des Nadelwaldes","volume":"45","author":[{"family":"Petterson","given":"Henrik"}],"issued":{"date-parts":[["1955"]]}}}],"schema":"https://github.com/citation-style-language/schema/raw/mast</vt:lpwstr>
  </property>
  <property fmtid="{D5CDD505-2E9C-101B-9397-08002B2CF9AE}" pid="182" name="ZOTERO_BREF_dKnx87JXAfgS_15">
    <vt:lpwstr>er/csl-citation.json"}</vt:lpwstr>
  </property>
  <property fmtid="{D5CDD505-2E9C-101B-9397-08002B2CF9AE}" pid="183" name="ZOTERO_BREF_dKnx87JXAfgS_2">
    <vt:lpwstr>},"citationItems":[{"id":21616,"uris":["http://zotero.org/users/6808267/items/C3S333T8"],"itemData":{"id":21616,"type":"article-journal","abstract":"Individual tree heights are needed in many situations, including estimation of tree volume, dominant heigh</vt:lpwstr>
  </property>
  <property fmtid="{D5CDD505-2E9C-101B-9397-08002B2CF9AE}" pid="184" name="ZOTERO_BREF_dKnx87JXAfgS_3">
    <vt:lpwstr>t, and simulation of tree growth. However, height measurements are tedious compared to tree diameter measurements, and therefore height–diameter (H–D) models are commonly used for prediction of tree height. Previous studies have fitted H–D models using ap</vt:lpwstr>
  </property>
  <property fmtid="{D5CDD505-2E9C-101B-9397-08002B2CF9AE}" pid="185" name="ZOTERO_BREF_dKnx87JXAfgS_4">
    <vt:lpwstr>proaches that include plot-specific predictors in the models and those that do not include them. In both these approaches, aggregation of the observations to sample plots has usually been taken into account through random effects, but this has not always </vt:lpwstr>
  </property>
  <property fmtid="{D5CDD505-2E9C-101B-9397-08002B2CF9AE}" pid="186" name="ZOTERO_BREF_dKnx87JXAfgS_5">
    <vt:lpwstr>been done. In this paper, we discuss four alternative model formulations and report an extensive comparison of 16 nonlinear functions in this context using a total of 28 datasets. The datasets represent a wide range of tree species, regions, and ecologica</vt:lpwstr>
  </property>
  <property fmtid="{D5CDD505-2E9C-101B-9397-08002B2CF9AE}" pid="187" name="ZOTERO_BREF_dKnx87JXAfgS_6">
    <vt:lpwstr>l zones, consisting of about 126 000 measured trees from 3717 sample plots. Specific R-functions for model fitting and prediction were developed to enable such an extensive model fitting and comparison. Suggestions on model selection, model fitting proced</vt:lpwstr>
  </property>
  <property fmtid="{D5CDD505-2E9C-101B-9397-08002B2CF9AE}" pid="188" name="ZOTERO_BREF_dKnx87JXAfgS_7">
    <vt:lpwstr>ures, and prediction are given and interpretation of the predictions from different models are discussed. No uniformly best function, model formulation, or model fitting procedure was found. However, a 2-parameter Näslund and Curtis function provided sati</vt:lpwstr>
  </property>
  <property fmtid="{D5CDD505-2E9C-101B-9397-08002B2CF9AE}" pid="189" name="ZOTERO_BREF_dKnx87JXAfgS_8">
    <vt:lpwstr>sfactory fit in most datasets for the plot-specific H–D relationship. Model fitting and height imputation procedures developed for this study are provided in an R-package for later use.","container-title":"Canadian Journal of Forest Research","DOI":"10.11</vt:lpwstr>
  </property>
  <property fmtid="{D5CDD505-2E9C-101B-9397-08002B2CF9AE}" pid="190" name="ZOTERO_BREF_dKnx87JXAfgS_9">
    <vt:lpwstr>39/cjfr-2015-0054","ISSN":"0045-5067, 1208-6037","issue":"7","journalAbbreviation":"Can. J. For. Res.","language":"en","page":"826-837","source":"DOI.org (Crossref)","title":"Modeling height-diameter curves for prediction","volume":"45","author":[{"family</vt:lpwstr>
  </property>
  <property fmtid="{D5CDD505-2E9C-101B-9397-08002B2CF9AE}" pid="191" name="ZOTERO_BREF_ddosJRAAMg8d_1">
    <vt:lpwstr>ZOTERO_ITEM CSL_CITATION {"citationID":"T9OWX9QJ","properties":{"formattedCitation":"(Samuel-Rosa, 2021; Venables and Ripley, 2002)","plainCitation":"(Samuel-Rosa, 2021; Venables and Ripley, 2002)","noteIndex":0},"citationItems":[{"id":22221,"uris":["http</vt:lpwstr>
  </property>
  <property fmtid="{D5CDD505-2E9C-101B-9397-08002B2CF9AE}" pid="192" name="ZOTERO_BREF_ddosJRAAMg8d_2">
    <vt:lpwstr>://zotero.org/users/6808267/items/3HKDE25P"],"itemData":{"id":22221,"type":"book","title":"pedometrics: Miscellaneous Pedometric Tools","URL":"https://CRAN.R-project.org/package=pedometrics","version":"R package version 0.8.1","author":[{"family":"Samuel-</vt:lpwstr>
  </property>
  <property fmtid="{D5CDD505-2E9C-101B-9397-08002B2CF9AE}" pid="193" name="ZOTERO_BREF_ddosJRAAMg8d_3">
    <vt:lpwstr>Rosa","given":"Alessandro"}],"issued":{"date-parts":[["2021"]]}}},{"id":22222,"uris":["http://zotero.org/users/6808267/items/DQZQZIF8"],"itemData":{"id":22222,"type":"book","edition":"Fourth","event-place":"New York","ISBN":"ISBN 0-387-95457-0","publisher</vt:lpwstr>
  </property>
  <property fmtid="{D5CDD505-2E9C-101B-9397-08002B2CF9AE}" pid="194" name="ZOTERO_BREF_ddosJRAAMg8d_4">
    <vt:lpwstr>":"Springer","publisher-place":"New York","title":"Modern Applied Statistics with S","URL":"https://www.stats.ox.ac.uk/pub/MASS4/","author":[{"family":"Venables","given":"W. N."},{"family":"Ripley","given":"B. D."}],"issued":{"date-parts":[["2002"]]}}}],"</vt:lpwstr>
  </property>
  <property fmtid="{D5CDD505-2E9C-101B-9397-08002B2CF9AE}" pid="195" name="ZOTERO_BREF_ddosJRAAMg8d_5">
    <vt:lpwstr>schema":"https://github.com/citation-style-language/schema/raw/master/csl-citation.json"}</vt:lpwstr>
  </property>
  <property fmtid="{D5CDD505-2E9C-101B-9397-08002B2CF9AE}" pid="196" name="ZOTERO_BREF_dqHlcmARPioA_1">
    <vt:lpwstr>ZOTERO_BIBL {"uncited":[],"omitted":[],"custom":[]} CSL_BIBLIOGRAPHY</vt:lpwstr>
  </property>
  <property fmtid="{D5CDD505-2E9C-101B-9397-08002B2CF9AE}" pid="197" name="ZOTERO_BREF_eeEha7S5eSna_1">
    <vt:lpwstr>ZOTERO_ITEM CSL_CITATION {"citationID":"QwAET0vS","properties":{"formattedCitation":"(LBEG, 2022)","plainCitation":"(LBEG, 2022)","noteIndex":0},"citationItems":[{"id":21913,"uris":["http://zotero.org/users/6808267/items/2ML697R7"],"itemData":{"id":21913,</vt:lpwstr>
  </property>
  <property fmtid="{D5CDD505-2E9C-101B-9397-08002B2CF9AE}" pid="198" name="ZOTERO_BREF_eeEha7S5eSna_2">
    <vt:lpwstr>"type":"document","title":"NIBIS Kartenserver, Geological map 1:25000, Landesamt für Bergbau, Energie und Geologie (LBEG), Hannover, Germany","URL":"https://nibis.lbeg.de/cardomap3","author":[{"literal":"LBEG"}],"accessed":{"date-parts":[["2022",4,6]]},"i</vt:lpwstr>
  </property>
  <property fmtid="{D5CDD505-2E9C-101B-9397-08002B2CF9AE}" pid="199" name="ZOTERO_BREF_eeEha7S5eSna_3">
    <vt:lpwstr>ssued":{"date-parts":[["2022"]]}}}],"schema":"https://github.com/citation-style-language/schema/raw/master/csl-citation.json"}</vt:lpwstr>
  </property>
  <property fmtid="{D5CDD505-2E9C-101B-9397-08002B2CF9AE}" pid="200" name="ZOTERO_BREF_ewABLpNxW0xi_1">
    <vt:lpwstr>ZOTERO_ITEM CSL_CITATION {"citationID":"7ajvSvFZ","properties":{"formattedCitation":"(2020)","plainCitation":"(2020)","noteIndex":0},"citationItems":[{"id":18627,"uris":["http://zotero.org/users/6808267/items/K42MJCZC"],"itemData":{"id":18627,"type":"book</vt:lpwstr>
  </property>
  <property fmtid="{D5CDD505-2E9C-101B-9397-08002B2CF9AE}" pid="201" name="ZOTERO_BREF_ewABLpNxW0xi_2">
    <vt:lpwstr>","collection-title":"Naturschutz und Landschaftspflege in Niedersachsen","publisher":"Niedersächsischer Landesbetrieb für Wasserwirtschaft, Küsten- und Naturschutz","title":"Kartierschlüssel für Biotoptypen in Niedersachsen unter besonderer Berücksichtig</vt:lpwstr>
  </property>
  <property fmtid="{D5CDD505-2E9C-101B-9397-08002B2CF9AE}" pid="202" name="ZOTERO_BREF_ewABLpNxW0xi_3">
    <vt:lpwstr>ung der gesetzlich geschützten Biotope sowie der Lebensraumtypen von Anhang I der FFH-Richtlinie, Stand Februar 2020","volume":"Heft A/4","author":[{"family":"Drachenfels","given":"Olaf","non-dropping-particle":"von"}],"issued":{"date-parts":[["2020"]]}},</vt:lpwstr>
  </property>
  <property fmtid="{D5CDD505-2E9C-101B-9397-08002B2CF9AE}" pid="203" name="ZOTERO_BREF_ewABLpNxW0xi_4">
    <vt:lpwstr>"suppress-author":true}],"schema":"https://github.com/citation-style-language/schema/raw/master/csl-citation.json"}</vt:lpwstr>
  </property>
  <property fmtid="{D5CDD505-2E9C-101B-9397-08002B2CF9AE}" pid="204" name="ZOTERO_BREF_gCcKMO87KhAP_1">
    <vt:lpwstr>ZOTERO_ITEM CSL_CITATION {"citationID":"9KDeAIh5","properties":{"formattedCitation":"(Tiebel et al., 2021)","plainCitation":"(Tiebel et al., 2021)","noteIndex":0},"citationItems":[{"id":21278,"uris":["http://zotero.org/users/6808267/items/EPPHZIKR"],"item</vt:lpwstr>
  </property>
  <property fmtid="{D5CDD505-2E9C-101B-9397-08002B2CF9AE}" pid="205" name="ZOTERO_BREF_gCcKMO87KhAP_10">
    <vt:lpwstr>rceived ecosystem services, management practices, and nature conservation attitudes","title-short":"Small-scale private forest owners and the European Natura 2000 conservation network","URL":"https://link.springer.com/10.1007/s10342-021-01415-7","author":</vt:lpwstr>
  </property>
  <property fmtid="{D5CDD505-2E9C-101B-9397-08002B2CF9AE}" pid="206" name="ZOTERO_BREF_gCcKMO87KhAP_11">
    <vt:lpwstr>[{"family":"Tiebel","given":"Malin"},{"family":"Mölder","given":"Andreas"},{"family":"Plieninger","given":"Tobias"}],"accessed":{"date-parts":[["2021",11,9]]},"issued":{"date-parts":[["2021",10,2]]}}}],"schema":"https://github.com/citation-style-language/</vt:lpwstr>
  </property>
  <property fmtid="{D5CDD505-2E9C-101B-9397-08002B2CF9AE}" pid="207" name="ZOTERO_BREF_gCcKMO87KhAP_12">
    <vt:lpwstr>schema/raw/master/csl-citation.json"}</vt:lpwstr>
  </property>
  <property fmtid="{D5CDD505-2E9C-101B-9397-08002B2CF9AE}" pid="208" name="ZOTERO_BREF_gCcKMO87KhAP_2">
    <vt:lpwstr>Data":{"id":21278,"type":"article-journal","abstract":"Abstract\n            \n              The systematic designation of protected areas is a key strategy in modern biodiversity conservation. As for now, the Natura 2000 system of the European Union (EU)</vt:lpwstr>
  </property>
  <property fmtid="{D5CDD505-2E9C-101B-9397-08002B2CF9AE}" pid="209" name="ZOTERO_BREF_gCcKMO87KhAP_3">
    <vt:lpwstr> is the largest coordinated network of conservation areas worldwide. Since this scheme has a focus on forests, its effectiveness substantially depends on small-scale private forest owners who represent the largest forest ownership group in Europe. We cond</vt:lpwstr>
  </property>
  <property fmtid="{D5CDD505-2E9C-101B-9397-08002B2CF9AE}" pid="210" name="ZOTERO_BREF_gCcKMO87KhAP_4">
    <vt:lpwstr>ucted a quantitative survey (\n              n\n               = 1671) in Northwest Germany focusing on the perceived importance of ecosystem services, the performance of management practices, nature conservation attitudes, as well as stand characteristic</vt:lpwstr>
  </property>
  <property fmtid="{D5CDD505-2E9C-101B-9397-08002B2CF9AE}" pid="211" name="ZOTERO_BREF_gCcKMO87KhAP_5">
    <vt:lpwstr>s of small-scale private forest owners with and without Natura 2000 sites. Forest owners perceived regulating and cultural services as more important than provisioning ecosystem services while having a multifunctional perspective on their forest. Owners w</vt:lpwstr>
  </property>
  <property fmtid="{D5CDD505-2E9C-101B-9397-08002B2CF9AE}" pid="212" name="ZOTERO_BREF_gCcKMO87KhAP_6">
    <vt:lpwstr>ith Natura 2000 sites had a stronger focus on resource use and, with the exception of habitat-tree protection, did not perform conservation measures more frequently than those without. Moreover, we found more negative nature conservation attitudes among t</vt:lpwstr>
  </property>
  <property fmtid="{D5CDD505-2E9C-101B-9397-08002B2CF9AE}" pid="213" name="ZOTERO_BREF_gCcKMO87KhAP_7">
    <vt:lpwstr>his ownership group. In conclusion, the Natura 2000 scheme needs to be more strongly adapted to the demands of small-scale private forest owners, for example by increasing profound participation and establishing a results-based incentive scheme for conser</vt:lpwstr>
  </property>
  <property fmtid="{D5CDD505-2E9C-101B-9397-08002B2CF9AE}" pid="214" name="ZOTERO_BREF_gCcKMO87KhAP_8">
    <vt:lpwstr>vation measures. The perspectives of small-scale private forest owners have to be considered comprehensively to ensure the effective and sustainable implementation of the Natura 2000 conservation network.","container-title":"European Journal of Forest Res</vt:lpwstr>
  </property>
  <property fmtid="{D5CDD505-2E9C-101B-9397-08002B2CF9AE}" pid="215" name="ZOTERO_BREF_gCcKMO87KhAP_9">
    <vt:lpwstr>earch","DOI":"10.1007/s10342-021-01415-7","ISSN":"1612-4669, 1612-4677","journalAbbreviation":"Eur J Forest Res","language":"en","source":"DOI.org (Crossref)","title":"Small-scale private forest owners and the European Natura 2000 conservation network: pe</vt:lpwstr>
  </property>
  <property fmtid="{D5CDD505-2E9C-101B-9397-08002B2CF9AE}" pid="216" name="ZOTERO_BREF_geXSFmYqRzex_1">
    <vt:lpwstr>ZOTERO_BIBL {"uncited":[],"omitted":[],"custom":[]} CSL_BIBLIOGRAPHY</vt:lpwstr>
  </property>
  <property fmtid="{D5CDD505-2E9C-101B-9397-08002B2CF9AE}" pid="217" name="ZOTERO_BREF_iHslu6z5MGXW_1">
    <vt:lpwstr>ZOTERO_ITEM CSL_CITATION {"citationID":"e3q1KGWv","properties":{"formattedCitation":"(2018)","plainCitation":"(2018)","noteIndex":0},"citationItems":[{"id":21911,"uris":["http://zotero.org/users/6808267/items/9CLWZITG"],"itemData":{"id":21911,"type":"docu</vt:lpwstr>
  </property>
  <property fmtid="{D5CDD505-2E9C-101B-9397-08002B2CF9AE}" pid="218" name="ZOTERO_BREF_iHslu6z5MGXW_2">
    <vt:lpwstr>ment","title":"DWD Climate Data Center (CDC): Multi-annual grids of precipitation height over Germany 1981-2010, version v1.0","URL":"https://opendata.dwd.de/climate_environment/CDC/grids_germany/multi_annual/precipitation/grids_germany_multi_annual_preci</vt:lpwstr>
  </property>
  <property fmtid="{D5CDD505-2E9C-101B-9397-08002B2CF9AE}" pid="219" name="ZOTERO_BREF_iHslu6z5MGXW_3">
    <vt:lpwstr>pitation_1991-2020_17.asc.gz","author":[{"literal":"DWD"}],"issued":{"date-parts":[["2018"]]}},"suppress-author":true}],"schema":"https://github.com/citation-style-language/schema/raw/master/csl-citation.json"}</vt:lpwstr>
  </property>
  <property fmtid="{D5CDD505-2E9C-101B-9397-08002B2CF9AE}" pid="220" name="ZOTERO_BREF_j9pb2drOgmLo_1">
    <vt:lpwstr>ZOTERO_ITEM CSL_CITATION {"citationID":"HtAv3yWt","properties":{"formattedCitation":"(von Drachenfels, 2021, 2020)","plainCitation":"(von Drachenfels, 2021, 2020)","noteIndex":0},"citationItems":[{"id":22188,"uris":["http://zotero.org/users/6808267/items/</vt:lpwstr>
  </property>
  <property fmtid="{D5CDD505-2E9C-101B-9397-08002B2CF9AE}" pid="221" name="ZOTERO_BREF_j9pb2drOgmLo_2">
    <vt:lpwstr>SWMFPPJN"],"itemData":{"id":22188,"type":"book","collection-title":"Naturschutz und Landschaftspflege in Niedersachsen","publisher":"Niedersächsischer Landesbetrieb für Wasserwirtschaft, Küsten- und Naturschutz","title":"Kartierschlüssel für Biotoptypen i</vt:lpwstr>
  </property>
  <property fmtid="{D5CDD505-2E9C-101B-9397-08002B2CF9AE}" pid="222" name="ZOTERO_BREF_j9pb2drOgmLo_3">
    <vt:lpwstr>n Niedersachsen unter besonderer Berücksichtigung der gesetzlich geschützten Biotope sowie der Lebensraumtypen von Anhang I der FFH-Richtlinie, Stand März 2021","volume":"Heft A/4","author":[{"family":"Drachenfels","given":"Olaf","non-dropping-particle":"</vt:lpwstr>
  </property>
  <property fmtid="{D5CDD505-2E9C-101B-9397-08002B2CF9AE}" pid="223" name="ZOTERO_BREF_j9pb2drOgmLo_4">
    <vt:lpwstr>von"}],"issued":{"date-parts":[["2021"]]}}},{"id":18627,"uris":["http://zotero.org/users/6808267/items/K42MJCZC"],"itemData":{"id":18627,"type":"book","collection-title":"Naturschutz und Landschaftspflege in Niedersachsen","publisher":"Niedersächsischer L</vt:lpwstr>
  </property>
  <property fmtid="{D5CDD505-2E9C-101B-9397-08002B2CF9AE}" pid="224" name="ZOTERO_BREF_j9pb2drOgmLo_5">
    <vt:lpwstr>andesbetrieb für Wasserwirtschaft, Küsten- und Naturschutz","title":"Kartierschlüssel für Biotoptypen in Niedersachsen unter besonderer Berücksichtigung der gesetzlich geschützten Biotope sowie der Lebensraumtypen von Anhang I der FFH-Richtlinie, Stand Fe</vt:lpwstr>
  </property>
  <property fmtid="{D5CDD505-2E9C-101B-9397-08002B2CF9AE}" pid="225" name="ZOTERO_BREF_j9pb2drOgmLo_6">
    <vt:lpwstr>bruar 2020","volume":"Heft A/4","author":[{"family":"Drachenfels","given":"Olaf","non-dropping-particle":"von"}],"issued":{"date-parts":[["2020"]]}}}],"schema":"https://github.com/citation-style-language/schema/raw/master/csl-citation.json"}</vt:lpwstr>
  </property>
  <property fmtid="{D5CDD505-2E9C-101B-9397-08002B2CF9AE}" pid="226" name="ZOTERO_BREF_jrDIeBjNqJfP_1">
    <vt:lpwstr>ZOTERO_ITEM CSL_CITATION {"citationID":"JVEc4vAa","properties":{"formattedCitation":"(Tiebel et al., 2021)","plainCitation":"(Tiebel et al., 2021)","noteIndex":0},"citationItems":[{"id":21278,"uris":["http://zotero.org/users/6808267/items/EPPHZIKR"],"item</vt:lpwstr>
  </property>
  <property fmtid="{D5CDD505-2E9C-101B-9397-08002B2CF9AE}" pid="227" name="ZOTERO_BREF_jrDIeBjNqJfP_10">
    <vt:lpwstr>rceived ecosystem services, management practices, and nature conservation attitudes","title-short":"Small-scale private forest owners and the European Natura 2000 conservation network","URL":"https://link.springer.com/10.1007/s10342-021-01415-7","author":</vt:lpwstr>
  </property>
  <property fmtid="{D5CDD505-2E9C-101B-9397-08002B2CF9AE}" pid="228" name="ZOTERO_BREF_jrDIeBjNqJfP_11">
    <vt:lpwstr>[{"family":"Tiebel","given":"Malin"},{"family":"Mölder","given":"Andreas"},{"family":"Plieninger","given":"Tobias"}],"accessed":{"date-parts":[["2021",11,9]]},"issued":{"date-parts":[["2021",10,2]]}}}],"schema":"https://github.com/citation-style-language/</vt:lpwstr>
  </property>
  <property fmtid="{D5CDD505-2E9C-101B-9397-08002B2CF9AE}" pid="229" name="ZOTERO_BREF_jrDIeBjNqJfP_12">
    <vt:lpwstr>schema/raw/master/csl-citation.json"}</vt:lpwstr>
  </property>
  <property fmtid="{D5CDD505-2E9C-101B-9397-08002B2CF9AE}" pid="230" name="ZOTERO_BREF_jrDIeBjNqJfP_2">
    <vt:lpwstr>Data":{"id":21278,"type":"article-journal","abstract":"Abstract\n            \n              The systematic designation of protected areas is a key strategy in modern biodiversity conservation. As for now, the Natura 2000 system of the European Union (EU)</vt:lpwstr>
  </property>
  <property fmtid="{D5CDD505-2E9C-101B-9397-08002B2CF9AE}" pid="231" name="ZOTERO_BREF_jrDIeBjNqJfP_3">
    <vt:lpwstr> is the largest coordinated network of conservation areas worldwide. Since this scheme has a focus on forests, its effectiveness substantially depends on small-scale private forest owners who represent the largest forest ownership group in Europe. We cond</vt:lpwstr>
  </property>
  <property fmtid="{D5CDD505-2E9C-101B-9397-08002B2CF9AE}" pid="232" name="ZOTERO_BREF_jrDIeBjNqJfP_4">
    <vt:lpwstr>ucted a quantitative survey (\n              n\n               = 1671) in Northwest Germany focusing on the perceived importance of ecosystem services, the performance of management practices, nature conservation attitudes, as well as stand characteristic</vt:lpwstr>
  </property>
  <property fmtid="{D5CDD505-2E9C-101B-9397-08002B2CF9AE}" pid="233" name="ZOTERO_BREF_jrDIeBjNqJfP_5">
    <vt:lpwstr>s of small-scale private forest owners with and without Natura 2000 sites. Forest owners perceived regulating and cultural services as more important than provisioning ecosystem services while having a multifunctional perspective on their forest. Owners w</vt:lpwstr>
  </property>
  <property fmtid="{D5CDD505-2E9C-101B-9397-08002B2CF9AE}" pid="234" name="ZOTERO_BREF_jrDIeBjNqJfP_6">
    <vt:lpwstr>ith Natura 2000 sites had a stronger focus on resource use and, with the exception of habitat-tree protection, did not perform conservation measures more frequently than those without. Moreover, we found more negative nature conservation attitudes among t</vt:lpwstr>
  </property>
  <property fmtid="{D5CDD505-2E9C-101B-9397-08002B2CF9AE}" pid="235" name="ZOTERO_BREF_jrDIeBjNqJfP_7">
    <vt:lpwstr>his ownership group. In conclusion, the Natura 2000 scheme needs to be more strongly adapted to the demands of small-scale private forest owners, for example by increasing profound participation and establishing a results-based incentive scheme for conser</vt:lpwstr>
  </property>
  <property fmtid="{D5CDD505-2E9C-101B-9397-08002B2CF9AE}" pid="236" name="ZOTERO_BREF_jrDIeBjNqJfP_8">
    <vt:lpwstr>vation measures. The perspectives of small-scale private forest owners have to be considered comprehensively to ensure the effective and sustainable implementation of the Natura 2000 conservation network.","container-title":"European Journal of Forest Res</vt:lpwstr>
  </property>
  <property fmtid="{D5CDD505-2E9C-101B-9397-08002B2CF9AE}" pid="237" name="ZOTERO_BREF_jrDIeBjNqJfP_9">
    <vt:lpwstr>earch","DOI":"10.1007/s10342-021-01415-7","ISSN":"1612-4669, 1612-4677","journalAbbreviation":"Eur J Forest Res","language":"en","source":"DOI.org (Crossref)","title":"Small-scale private forest owners and the European Natura 2000 conservation network: pe</vt:lpwstr>
  </property>
  <property fmtid="{D5CDD505-2E9C-101B-9397-08002B2CF9AE}" pid="238" name="ZOTERO_BREF_oLUaE53Aup7X_1">
    <vt:lpwstr>ZOTERO_BIBL {"uncited":[],"omitted":[],"custom":[]} CSL_BIBLIOGRAPHY</vt:lpwstr>
  </property>
  <property fmtid="{D5CDD505-2E9C-101B-9397-08002B2CF9AE}" pid="239" name="ZOTERO_BREF_pACuOEMhmoPm_1">
    <vt:lpwstr>ZOTERO_BIBL {"uncited":[],"omitted":[],"custom":[]} CSL_BIBLIOGRAPHY</vt:lpwstr>
  </property>
  <property fmtid="{D5CDD505-2E9C-101B-9397-08002B2CF9AE}" pid="240" name="ZOTERO_BREF_qLsXVkqFCY7Q_1">
    <vt:lpwstr>ZOTERO_ITEM CSL_CITATION {"citationID":"j3u299Qb","properties":{"formattedCitation":"(2016)","plainCitation":"(2016)","dontUpdate":true,"noteIndex":0},"citationItems":[{"id":18651,"uris":["http://zotero.org/users/6808267/items/KR7T4LFT"],"itemData":{"id":</vt:lpwstr>
  </property>
  <property fmtid="{D5CDD505-2E9C-101B-9397-08002B2CF9AE}" pid="241" name="ZOTERO_BREF_qLsXVkqFCY7Q_2">
    <vt:lpwstr>18651,"type":"book","abstract":"Large quantities of deadwood and a high density of old microhabitat-bearing trees are characteristic elements of natural forests, especially of the old-growth phases. These are often absent or rare in managed forests, even </vt:lpwstr>
  </property>
  <property fmtid="{D5CDD505-2E9C-101B-9397-08002B2CF9AE}" pid="242" name="ZOTERO_BREF_qLsXVkqFCY7Q_3">
    <vt:lpwstr>in forests under close-to-nature management. Yet, an important share of forest biodiversity is strictly or primarily dependent on such elements for their survival, especially ‘saproxylic’ species, those are species depending on deadwood.\nTree related mic</vt:lpwstr>
  </property>
  <property fmtid="{D5CDD505-2E9C-101B-9397-08002B2CF9AE}" pid="243" name="ZOTERO_BREF_qLsXVkqFCY7Q_4">
    <vt:lpwstr>rohabitats are therefore recognised as important substrates and structures for biodiversity in forests. The retention of both existing and future tree microhabitats is thus one important aspect to take in to consideration in forest management. Giving tree</vt:lpwstr>
  </property>
  <property fmtid="{D5CDD505-2E9C-101B-9397-08002B2CF9AE}" pid="244" name="ZOTERO_BREF_qLsXVkqFCY7Q_5">
    <vt:lpwstr> microhabitats increased attention will help sustain and increase the habitat value for biodiversity also in managed forests .\nThis reference field list is developed to support training exercises conducted in Integrate+ Marteloscope sites. It aims at sup</vt:lpwstr>
  </property>
  <property fmtid="{D5CDD505-2E9C-101B-9397-08002B2CF9AE}" pid="245" name="ZOTERO_BREF_qLsXVkqFCY7Q_6">
    <vt:lpwstr>porting forest managers, inventory personnel and other groups in identifying and describing tree microhabitats in the course of such exercises. It can also find use as illustrative material in forest education and as background documentation for other tra</vt:lpwstr>
  </property>
  <property fmtid="{D5CDD505-2E9C-101B-9397-08002B2CF9AE}" pid="246" name="ZOTERO_BREF_qLsXVkqFCY7Q_7">
    <vt:lpwstr>ining events and field excursions.","note":"DOI: 10.13140/RG.2.1.1500.6483","source":"ResearchGate","title":"Catalogue of tree microhabitats – Reference field list.","author":[{"family":"Kraus","given":"Daniel"},{"family":"Bütler","given":"Rita"},{"family</vt:lpwstr>
  </property>
  <property fmtid="{D5CDD505-2E9C-101B-9397-08002B2CF9AE}" pid="247" name="ZOTERO_BREF_qLsXVkqFCY7Q_8">
    <vt:lpwstr>":"Krumm","given":"Frank"},{"family":"Lachat","given":"Thibault"},{"family":"Larrieu","given":"Laurent"},{"family":"Mergner","given":"Ulrich"},{"family":"Paillet","given":"Yoan"},{"family":"Rydkvist","given":"Tomas"},{"family":"Schuck","given":"Andreas"},</vt:lpwstr>
  </property>
  <property fmtid="{D5CDD505-2E9C-101B-9397-08002B2CF9AE}" pid="248" name="ZOTERO_BREF_qLsXVkqFCY7Q_9">
    <vt:lpwstr>{"family":"Winter","given":"Susanne"}],"issued":{"date-parts":[["2016",3,1]]}},"suppress-author":true}],"schema":"https://github.com/citation-style-language/schema/raw/master/csl-citation.json"}</vt:lpwstr>
  </property>
  <property fmtid="{D5CDD505-2E9C-101B-9397-08002B2CF9AE}" pid="249" name="ZOTERO_BREF_sBL4Wnau26fK_1">
    <vt:lpwstr>ZOTERO_ITEM CSL_CITATION {"citationID":"06edgQpk","properties":{"formattedCitation":"(Bundesministerium f\\uc0\\u252{}r Ern\\uc0\\u228{}hrung und Landwirtschaft, 2014)","plainCitation":"(Bundesministerium für Ernährung und Landwirtschaft, 2014)","noteInde</vt:lpwstr>
  </property>
  <property fmtid="{D5CDD505-2E9C-101B-9397-08002B2CF9AE}" pid="250" name="ZOTERO_BREF_sBL4Wnau26fK_2">
    <vt:lpwstr>x":0},"citationItems":[{"id":20240,"uris":["http://zotero.org/users/6808267/items/SU3QCT85"],"itemData":{"id":20240,"type":"webpage","title":"Die Bundeswaldinventur 3, Ergebnisse für Niedersachsen","URL":"https://www.ml.niedersachsen.de/startseite/themen/</vt:lpwstr>
  </property>
  <property fmtid="{D5CDD505-2E9C-101B-9397-08002B2CF9AE}" pid="251" name="ZOTERO_BREF_sBL4Wnau26fK_3">
    <vt:lpwstr>wald_holz_jagd/walder_fur_niedersachsen/die-bundeswaldinventur-3-127660.html","author":[{"literal":"Bundesministerium für Ernährung und Landwirtschaft"}],"accessed":{"date-parts":[["2021",3,26]]},"issued":{"date-parts":[["2014"]]}}}],"schema":"https://git</vt:lpwstr>
  </property>
  <property fmtid="{D5CDD505-2E9C-101B-9397-08002B2CF9AE}" pid="252" name="ZOTERO_BREF_sBL4Wnau26fK_4">
    <vt:lpwstr>hub.com/citation-style-language/schema/raw/master/csl-citation.json"}</vt:lpwstr>
  </property>
  <property fmtid="{D5CDD505-2E9C-101B-9397-08002B2CF9AE}" pid="253" name="ZOTERO_BREF_vVhTfgBfjppR_1">
    <vt:lpwstr>ZOTERO_ITEM CSL_CITATION {"citationID":"zGPvWK2v","properties":{"formattedCitation":"({\\i{}BKompV}, 2020)","plainCitation":"(BKompV, 2020)","noteIndex":0},"citationItems":[{"id":22189,"uris":["http://zotero.org/users/6808267/items/TC497SQ3"],"itemData":{</vt:lpwstr>
  </property>
  <property fmtid="{D5CDD505-2E9C-101B-9397-08002B2CF9AE}" pid="254" name="ZOTERO_BREF_vVhTfgBfjppR_2">
    <vt:lpwstr>"id":22189,"type":"legislation","number":"BKompV","title":"Bundeskompensationsverordnung vom 14. Mai 2020 (BGBl. I S. 1088)","title-short":"BKompV","URL":"https://www.gesetze-im-internet.de/bkompv","issued":{"date-parts":[["2020",5,14]]}}}],"schema":"http</vt:lpwstr>
  </property>
  <property fmtid="{D5CDD505-2E9C-101B-9397-08002B2CF9AE}" pid="255" name="ZOTERO_BREF_vVhTfgBfjppR_3">
    <vt:lpwstr>s://github.com/citation-style-language/schema/raw/master/csl-citation.json"}</vt:lpwstr>
  </property>
  <property fmtid="{D5CDD505-2E9C-101B-9397-08002B2CF9AE}" pid="256" name="ZOTERO_BREF_vWTtPM8EwMvC_1">
    <vt:lpwstr>ZOTERO_ITEM CSL_CITATION {"citationID":"OaEz1npL","properties":{"formattedCitation":"(Tiebel et al., 2021)","plainCitation":"(Tiebel et al., 2021)","noteIndex":0},"citationItems":[{"id":21278,"uris":["http://zotero.org/users/6808267/items/EPPHZIKR"],"item</vt:lpwstr>
  </property>
  <property fmtid="{D5CDD505-2E9C-101B-9397-08002B2CF9AE}" pid="257" name="ZOTERO_BREF_vWTtPM8EwMvC_10">
    <vt:lpwstr>rceived ecosystem services, management practices, and nature conservation attitudes","title-short":"Small-scale private forest owners and the European Natura 2000 conservation network","URL":"https://link.springer.com/10.1007/s10342-021-01415-7","author":</vt:lpwstr>
  </property>
  <property fmtid="{D5CDD505-2E9C-101B-9397-08002B2CF9AE}" pid="258" name="ZOTERO_BREF_vWTtPM8EwMvC_11">
    <vt:lpwstr>[{"family":"Tiebel","given":"Malin"},{"family":"Mölder","given":"Andreas"},{"family":"Plieninger","given":"Tobias"}],"accessed":{"date-parts":[["2021",11,9]]},"issued":{"date-parts":[["2021",10,2]]}}}],"schema":"https://github.com/citation-style-language/</vt:lpwstr>
  </property>
  <property fmtid="{D5CDD505-2E9C-101B-9397-08002B2CF9AE}" pid="259" name="ZOTERO_BREF_vWTtPM8EwMvC_12">
    <vt:lpwstr>schema/raw/master/csl-citation.json"}</vt:lpwstr>
  </property>
  <property fmtid="{D5CDD505-2E9C-101B-9397-08002B2CF9AE}" pid="260" name="ZOTERO_BREF_vWTtPM8EwMvC_2">
    <vt:lpwstr>Data":{"id":21278,"type":"article-journal","abstract":"Abstract\n            \n              The systematic designation of protected areas is a key strategy in modern biodiversity conservation. As for now, the Natura 2000 system of the European Union (EU)</vt:lpwstr>
  </property>
  <property fmtid="{D5CDD505-2E9C-101B-9397-08002B2CF9AE}" pid="261" name="ZOTERO_BREF_vWTtPM8EwMvC_3">
    <vt:lpwstr> is the largest coordinated network of conservation areas worldwide. Since this scheme has a focus on forests, its effectiveness substantially depends on small-scale private forest owners who represent the largest forest ownership group in Europe. We cond</vt:lpwstr>
  </property>
  <property fmtid="{D5CDD505-2E9C-101B-9397-08002B2CF9AE}" pid="262" name="ZOTERO_BREF_vWTtPM8EwMvC_4">
    <vt:lpwstr>ucted a quantitative survey (\n              n\n               = 1671) in Northwest Germany focusing on the perceived importance of ecosystem services, the performance of management practices, nature conservation attitudes, as well as stand characteristic</vt:lpwstr>
  </property>
  <property fmtid="{D5CDD505-2E9C-101B-9397-08002B2CF9AE}" pid="263" name="ZOTERO_BREF_vWTtPM8EwMvC_5">
    <vt:lpwstr>s of small-scale private forest owners with and without Natura 2000 sites. Forest owners perceived regulating and cultural services as more important than provisioning ecosystem services while having a multifunctional perspective on their forest. Owners w</vt:lpwstr>
  </property>
  <property fmtid="{D5CDD505-2E9C-101B-9397-08002B2CF9AE}" pid="264" name="ZOTERO_BREF_vWTtPM8EwMvC_6">
    <vt:lpwstr>ith Natura 2000 sites had a stronger focus on resource use and, with the exception of habitat-tree protection, did not perform conservation measures more frequently than those without. Moreover, we found more negative nature conservation attitudes among t</vt:lpwstr>
  </property>
  <property fmtid="{D5CDD505-2E9C-101B-9397-08002B2CF9AE}" pid="265" name="ZOTERO_BREF_vWTtPM8EwMvC_7">
    <vt:lpwstr>his ownership group. In conclusion, the Natura 2000 scheme needs to be more strongly adapted to the demands of small-scale private forest owners, for example by increasing profound participation and establishing a results-based incentive scheme for conser</vt:lpwstr>
  </property>
  <property fmtid="{D5CDD505-2E9C-101B-9397-08002B2CF9AE}" pid="266" name="ZOTERO_BREF_vWTtPM8EwMvC_8">
    <vt:lpwstr>vation measures. The perspectives of small-scale private forest owners have to be considered comprehensively to ensure the effective and sustainable implementation of the Natura 2000 conservation network.","container-title":"European Journal of Forest Res</vt:lpwstr>
  </property>
  <property fmtid="{D5CDD505-2E9C-101B-9397-08002B2CF9AE}" pid="267" name="ZOTERO_BREF_vWTtPM8EwMvC_9">
    <vt:lpwstr>earch","DOI":"10.1007/s10342-021-01415-7","ISSN":"1612-4669, 1612-4677","journalAbbreviation":"Eur J Forest Res","language":"en","source":"DOI.org (Crossref)","title":"Small-scale private forest owners and the European Natura 2000 conservation network: pe</vt:lpwstr>
  </property>
  <property fmtid="{D5CDD505-2E9C-101B-9397-08002B2CF9AE}" pid="268" name="ZOTERO_BREF_xj8tVybHNvBx_1">
    <vt:lpwstr>ZOTERO_ITEM CSL_CITATION {"citationID":"OCbkkXzV","properties":{"formattedCitation":"(DWD, 2018)","plainCitation":"(DWD, 2018)","noteIndex":0},"citationItems":[{"id":21911,"uris":["http://zotero.org/users/6808267/items/9CLWZITG"],"itemData":{"id":21911,"t</vt:lpwstr>
  </property>
  <property fmtid="{D5CDD505-2E9C-101B-9397-08002B2CF9AE}" pid="269" name="ZOTERO_BREF_xj8tVybHNvBx_2">
    <vt:lpwstr>ype":"document","title":"DWD Climate Data Center (CDC): Multi-annual grids of precipitation height over Germany 1981-2010, version v1.0","URL":"https://opendata.dwd.de/climate_environment/CDC/grids_germany/multi_annual/precipitation/grids_germany_multi_an</vt:lpwstr>
  </property>
  <property fmtid="{D5CDD505-2E9C-101B-9397-08002B2CF9AE}" pid="270" name="ZOTERO_BREF_xj8tVybHNvBx_3">
    <vt:lpwstr>nual_precipitation_1991-2020_17.asc.gz","author":[{"literal":"DWD"}],"issued":{"date-parts":[["2018"]]}}}],"schema":"https://github.com/citation-style-language/schema/raw/master/csl-citation.json"}</vt:lpwstr>
  </property>
  <property fmtid="{D5CDD505-2E9C-101B-9397-08002B2CF9AE}" pid="271" name="ZOTERO_BREF_yDC7nbc1509U_1">
    <vt:lpwstr>ZOTERO_ITEM CSL_CITATION {"citationID":"EXCDo7Az","properties":{"formattedCitation":"(2018)","plainCitation":"(2018)","noteIndex":0},"citationItems":[{"id":20156,"uris":["http://zotero.org/users/6808267/items/Q3FUTB4C"],"itemData":{"id":20156,"type":"arti</vt:lpwstr>
  </property>
  <property fmtid="{D5CDD505-2E9C-101B-9397-08002B2CF9AE}" pid="272" name="ZOTERO_BREF_yDC7nbc1509U_10">
    <vt:lpwstr> fully integrate TreM monitoring into forest management.","DOI":"10.1016/J.ECOLIND.2017.08.051","source":"Semantic Scholar","title":"Tree related microhabitats in temperate and Mediterranean European forests: A hierarchical typology for inventory standard</vt:lpwstr>
  </property>
  <property fmtid="{D5CDD505-2E9C-101B-9397-08002B2CF9AE}" pid="273" name="ZOTERO_BREF_yDC7nbc1509U_11">
    <vt:lpwstr>ization","title-short":"Tree related microhabitats in temperate and Mediterranean European forests","author":[{"family":"Larrieu","given":"L."},{"family":"Paillet","given":"Y."},{"family":"Winter","given":"S."},{"family":"Bütler","given":"R."},{"family":"</vt:lpwstr>
  </property>
  <property fmtid="{D5CDD505-2E9C-101B-9397-08002B2CF9AE}" pid="274" name="ZOTERO_BREF_yDC7nbc1509U_12">
    <vt:lpwstr>Kraus","given":"Daniel"},{"family":"Krumm","given":"F."},{"family":"Lachat","given":"T."},{"family":"Michel","given":"A."},{"family":"Regnery","given":"Baptiste"},{"family":"Vandekerkhove","given":"K."}],"issued":{"date-parts":[["2018"]]}},"suppress-autho</vt:lpwstr>
  </property>
  <property fmtid="{D5CDD505-2E9C-101B-9397-08002B2CF9AE}" pid="275" name="ZOTERO_BREF_yDC7nbc1509U_13">
    <vt:lpwstr>r":true}],"schema":"https://github.com/citation-style-language/schema/raw/master/csl-citation.json"}</vt:lpwstr>
  </property>
  <property fmtid="{D5CDD505-2E9C-101B-9397-08002B2CF9AE}" pid="276" name="ZOTERO_BREF_yDC7nbc1509U_2">
    <vt:lpwstr>cle-journal","abstract":"Abstract T ree re lated M icrohabitats (hereafter TreMs) have been widely recognized as important substrates and structures for biodiversity in both commercial and protected forests and are receiving increasing attention in manage</vt:lpwstr>
  </property>
  <property fmtid="{D5CDD505-2E9C-101B-9397-08002B2CF9AE}" pid="277" name="ZOTERO_BREF_yDC7nbc1509U_3">
    <vt:lpwstr>ment, conservation and research. How to record TreMs in forest inventories is a question of recent interest since TreMs represent potential indirect indicators for the specialized species that use them as substrates or habitat at least for a part of their</vt:lpwstr>
  </property>
  <property fmtid="{D5CDD505-2E9C-101B-9397-08002B2CF9AE}" pid="278" name="ZOTERO_BREF_yDC7nbc1509U_4">
    <vt:lpwstr> life-cycle. However, there is a wide range of differing interpretations as to what exactly constitutes a TreM and what specific features should be surveyed in the field. In an attempt to harmonize future TreM inventories, we propose a definition and a ty</vt:lpwstr>
  </property>
  <property fmtid="{D5CDD505-2E9C-101B-9397-08002B2CF9AE}" pid="279" name="ZOTERO_BREF_yDC7nbc1509U_5">
    <vt:lpwstr>pology of TreM types borne by living and dead standing trees in temperate and Mediterranean forests in Europe. Our aim is to provide users with definitions which make unequivocal TreM determination possible. Our typology is structured around seven basic f</vt:lpwstr>
  </property>
  <property fmtid="{D5CDD505-2E9C-101B-9397-08002B2CF9AE}" pid="280" name="ZOTERO_BREF_yDC7nbc1509U_6">
    <vt:lpwstr>orms according to morphological characteristics and biodiversity relevance: i) cavities lato sensu, ii) tree injuries and exposed wood, iii) crown deadwood, iv) excrescences, v) fruiting bodies of saproxylic fungi and fungi-like organisms, vi) epiphytic a</vt:lpwstr>
  </property>
  <property fmtid="{D5CDD505-2E9C-101B-9397-08002B2CF9AE}" pid="281" name="ZOTERO_BREF_yDC7nbc1509U_7">
    <vt:lpwstr>nd epixylic structures, and vii) exudates. The typology is then further detailed into 15 groups and 47 types with a hierarchical structure allowing the typology to be used for different purposes. The typology, along with guidelines for standardized record</vt:lpwstr>
  </property>
  <property fmtid="{D5CDD505-2E9C-101B-9397-08002B2CF9AE}" pid="282" name="ZOTERO_BREF_yDC7nbc1509U_8">
    <vt:lpwstr>ing we propose, is an unprecedented reference tool to make data on TreMs comparable across different regions, forest types and tree species, and should greatly improve the reliability of TreM monitoring. It provides the basis for compiling these data and </vt:lpwstr>
  </property>
  <property fmtid="{D5CDD505-2E9C-101B-9397-08002B2CF9AE}" pid="283" name="ZOTERO_BREF_yDC7nbc1509U_9">
    <vt:lpwstr>may help to improve the reliability of reporting and evaluation of the conservation value of forests. Finally, our work emphasizes the need for further research on TreMs to better understand their dynamics and their link with biodiversity in order to more</vt:lpwstr>
  </property>
  <property fmtid="{D5CDD505-2E9C-101B-9397-08002B2CF9AE}" pid="284" name="ZOTERO_BREF_zvQ2SzIPOBrE_1">
    <vt:lpwstr>ZOTERO_ITEM CSL_CITATION {"citationID":"Jyly60wx","properties":{"formattedCitation":"(Tiebel et al., 2021)","plainCitation":"(Tiebel et al., 2021)","noteIndex":0},"citationItems":[{"id":21278,"uris":["http://zotero.org/users/6808267/items/EPPHZIKR"],"item</vt:lpwstr>
  </property>
  <property fmtid="{D5CDD505-2E9C-101B-9397-08002B2CF9AE}" pid="285" name="ZOTERO_BREF_zvQ2SzIPOBrE_10">
    <vt:lpwstr>rceived ecosystem services, management practices, and nature conservation attitudes","title-short":"Small-scale private forest owners and the European Natura 2000 conservation network","URL":"https://link.springer.com/10.1007/s10342-021-01415-7","author":</vt:lpwstr>
  </property>
  <property fmtid="{D5CDD505-2E9C-101B-9397-08002B2CF9AE}" pid="286" name="ZOTERO_BREF_zvQ2SzIPOBrE_11">
    <vt:lpwstr>[{"family":"Tiebel","given":"Malin"},{"family":"Mölder","given":"Andreas"},{"family":"Plieninger","given":"Tobias"}],"accessed":{"date-parts":[["2021",11,9]]},"issued":{"date-parts":[["2021",10,2]]}}}],"schema":"https://github.com/citation-style-language/</vt:lpwstr>
  </property>
  <property fmtid="{D5CDD505-2E9C-101B-9397-08002B2CF9AE}" pid="287" name="ZOTERO_BREF_zvQ2SzIPOBrE_12">
    <vt:lpwstr>schema/raw/master/csl-citation.json"}</vt:lpwstr>
  </property>
  <property fmtid="{D5CDD505-2E9C-101B-9397-08002B2CF9AE}" pid="288" name="ZOTERO_BREF_zvQ2SzIPOBrE_2">
    <vt:lpwstr>Data":{"id":21278,"type":"article-journal","abstract":"Abstract\n            \n              The systematic designation of protected areas is a key strategy in modern biodiversity conservation. As for now, the Natura 2000 system of the European Union (EU)</vt:lpwstr>
  </property>
  <property fmtid="{D5CDD505-2E9C-101B-9397-08002B2CF9AE}" pid="289" name="ZOTERO_BREF_zvQ2SzIPOBrE_3">
    <vt:lpwstr> is the largest coordinated network of conservation areas worldwide. Since this scheme has a focus on forests, its effectiveness substantially depends on small-scale private forest owners who represent the largest forest ownership group in Europe. We cond</vt:lpwstr>
  </property>
  <property fmtid="{D5CDD505-2E9C-101B-9397-08002B2CF9AE}" pid="290" name="ZOTERO_BREF_zvQ2SzIPOBrE_4">
    <vt:lpwstr>ucted a quantitative survey (\n              n\n               = 1671) in Northwest Germany focusing on the perceived importance of ecosystem services, the performance of management practices, nature conservation attitudes, as well as stand characteristic</vt:lpwstr>
  </property>
  <property fmtid="{D5CDD505-2E9C-101B-9397-08002B2CF9AE}" pid="291" name="ZOTERO_BREF_zvQ2SzIPOBrE_5">
    <vt:lpwstr>s of small-scale private forest owners with and without Natura 2000 sites. Forest owners perceived regulating and cultural services as more important than provisioning ecosystem services while having a multifunctional perspective on their forest. Owners w</vt:lpwstr>
  </property>
  <property fmtid="{D5CDD505-2E9C-101B-9397-08002B2CF9AE}" pid="292" name="ZOTERO_BREF_zvQ2SzIPOBrE_6">
    <vt:lpwstr>ith Natura 2000 sites had a stronger focus on resource use and, with the exception of habitat-tree protection, did not perform conservation measures more frequently than those without. Moreover, we found more negative nature conservation attitudes among t</vt:lpwstr>
  </property>
  <property fmtid="{D5CDD505-2E9C-101B-9397-08002B2CF9AE}" pid="293" name="ZOTERO_BREF_zvQ2SzIPOBrE_7">
    <vt:lpwstr>his ownership group. In conclusion, the Natura 2000 scheme needs to be more strongly adapted to the demands of small-scale private forest owners, for example by increasing profound participation and establishing a results-based incentive scheme for conser</vt:lpwstr>
  </property>
  <property fmtid="{D5CDD505-2E9C-101B-9397-08002B2CF9AE}" pid="294" name="ZOTERO_BREF_zvQ2SzIPOBrE_8">
    <vt:lpwstr>vation measures. The perspectives of small-scale private forest owners have to be considered comprehensively to ensure the effective and sustainable implementation of the Natura 2000 conservation network.","container-title":"European Journal of Forest Res</vt:lpwstr>
  </property>
  <property fmtid="{D5CDD505-2E9C-101B-9397-08002B2CF9AE}" pid="295" name="ZOTERO_BREF_zvQ2SzIPOBrE_9">
    <vt:lpwstr>earch","DOI":"10.1007/s10342-021-01415-7","ISSN":"1612-4669, 1612-4677","journalAbbreviation":"Eur J Forest Res","language":"en","source":"DOI.org (Crossref)","title":"Small-scale private forest owners and the European Natura 2000 conservation network: pe</vt:lpwstr>
  </property>
  <property fmtid="{D5CDD505-2E9C-101B-9397-08002B2CF9AE}" pid="296" name="ZOTERO_PREF_1">
    <vt:lpwstr>&lt;data data-version="3" zotero-version="6.0.8"&gt;&lt;session id="2EqVZfnq"/&gt;&lt;style id="http://www.zotero.org/styles/elsevier-harvard" hasBibliography="1" bibliographyStyleHasBeenSet="1"/&gt;&lt;prefs&gt;&lt;pref name="fieldType" value="Bookmark"/&gt;&lt;/prefs&gt;&lt;/data&gt;</vt:lpwstr>
  </property>
</Properties>
</file>