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3E0" w:rsidRPr="000D65CB" w:rsidRDefault="00AE73E0" w:rsidP="00CD7564">
      <w:pPr>
        <w:wordWrap/>
        <w:snapToGrid w:val="0"/>
        <w:spacing w:line="480" w:lineRule="auto"/>
        <w:rPr>
          <w:rFonts w:ascii="Arial" w:hAnsi="Arial" w:cs="Arial"/>
          <w:sz w:val="22"/>
        </w:rPr>
      </w:pPr>
      <w:r w:rsidRPr="00F951B7">
        <w:rPr>
          <w:rFonts w:ascii="Arial" w:hAnsi="Arial" w:cs="Arial" w:hint="eastAsia"/>
          <w:b/>
          <w:sz w:val="22"/>
        </w:rPr>
        <w:t>T</w:t>
      </w:r>
      <w:r w:rsidRPr="00F951B7">
        <w:rPr>
          <w:rFonts w:ascii="Arial" w:hAnsi="Arial" w:cs="Arial"/>
          <w:b/>
          <w:sz w:val="22"/>
        </w:rPr>
        <w:t xml:space="preserve">able </w:t>
      </w:r>
      <w:r w:rsidR="00F951B7" w:rsidRPr="00F951B7">
        <w:rPr>
          <w:rFonts w:ascii="Arial" w:hAnsi="Arial" w:cs="Arial"/>
          <w:b/>
          <w:sz w:val="22"/>
        </w:rPr>
        <w:t>S</w:t>
      </w:r>
      <w:r w:rsidRPr="00F951B7">
        <w:rPr>
          <w:rFonts w:ascii="Arial" w:hAnsi="Arial" w:cs="Arial"/>
          <w:b/>
          <w:sz w:val="22"/>
        </w:rPr>
        <w:t>1</w:t>
      </w:r>
      <w:r w:rsidR="00CD7564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sz w:val="22"/>
        </w:rPr>
        <w:t>Risk factor analysis for ICU admission</w:t>
      </w:r>
    </w:p>
    <w:tbl>
      <w:tblPr>
        <w:tblStyle w:val="4"/>
        <w:tblW w:w="949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2830"/>
        <w:gridCol w:w="2268"/>
        <w:gridCol w:w="1182"/>
        <w:gridCol w:w="2225"/>
        <w:gridCol w:w="993"/>
      </w:tblGrid>
      <w:tr w:rsidR="00AE73E0" w:rsidRPr="00CD7564" w:rsidTr="00CD75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  <w:jc w:val="center"/>
        </w:trPr>
        <w:tc>
          <w:tcPr>
            <w:tcW w:w="283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Univariate Analysis</w:t>
            </w:r>
          </w:p>
        </w:tc>
        <w:tc>
          <w:tcPr>
            <w:tcW w:w="32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Multivariate Analysis</w:t>
            </w: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tcW w:w="283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b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b/>
                <w:szCs w:val="20"/>
              </w:rPr>
            </w:pPr>
            <w:r w:rsidRPr="00CD7564">
              <w:rPr>
                <w:rFonts w:ascii="Arial" w:eastAsiaTheme="minorHAnsi" w:hAnsi="Arial" w:cs="Arial"/>
                <w:b/>
                <w:szCs w:val="20"/>
              </w:rPr>
              <w:t>Odds Ratio (95% CI)</w:t>
            </w: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E73E0" w:rsidRPr="00CD7564" w:rsidRDefault="00F951B7" w:rsidP="00F951B7">
            <w:pPr>
              <w:wordWrap/>
              <w:jc w:val="left"/>
              <w:rPr>
                <w:rFonts w:ascii="Arial" w:eastAsiaTheme="minorHAnsi" w:hAnsi="Arial" w:cs="Arial"/>
                <w:b/>
                <w:szCs w:val="20"/>
              </w:rPr>
            </w:pPr>
            <w:r w:rsidRPr="00CD7564">
              <w:rPr>
                <w:rFonts w:ascii="Arial" w:eastAsiaTheme="minorHAnsi" w:hAnsi="Arial" w:cs="Arial"/>
                <w:b/>
                <w:i/>
                <w:szCs w:val="20"/>
              </w:rPr>
              <w:t>p</w:t>
            </w:r>
            <w:r w:rsidR="00AE73E0" w:rsidRPr="00CD7564">
              <w:rPr>
                <w:rFonts w:ascii="Arial" w:eastAsiaTheme="minorHAnsi" w:hAnsi="Arial" w:cs="Arial"/>
                <w:b/>
                <w:szCs w:val="20"/>
              </w:rPr>
              <w:t>-</w:t>
            </w:r>
            <w:r w:rsidRPr="00CD7564">
              <w:rPr>
                <w:rFonts w:ascii="Arial" w:eastAsiaTheme="minorHAnsi" w:hAnsi="Arial" w:cs="Arial"/>
                <w:b/>
                <w:szCs w:val="20"/>
              </w:rPr>
              <w:t>V</w:t>
            </w:r>
            <w:r w:rsidR="00AE73E0" w:rsidRPr="00CD7564">
              <w:rPr>
                <w:rFonts w:ascii="Arial" w:eastAsiaTheme="minorHAnsi" w:hAnsi="Arial" w:cs="Arial"/>
                <w:b/>
                <w:szCs w:val="20"/>
              </w:rPr>
              <w:t>alue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b/>
                <w:szCs w:val="20"/>
              </w:rPr>
            </w:pPr>
            <w:r w:rsidRPr="00CD7564">
              <w:rPr>
                <w:rFonts w:ascii="Arial" w:eastAsiaTheme="minorHAnsi" w:hAnsi="Arial" w:cs="Arial"/>
                <w:b/>
                <w:szCs w:val="20"/>
              </w:rPr>
              <w:t>Odds Ratio (95% CI)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E73E0" w:rsidRPr="00CD7564" w:rsidRDefault="00F951B7" w:rsidP="00F951B7">
            <w:pPr>
              <w:wordWrap/>
              <w:jc w:val="left"/>
              <w:rPr>
                <w:rFonts w:ascii="Arial" w:eastAsiaTheme="minorHAnsi" w:hAnsi="Arial" w:cs="Arial"/>
                <w:b/>
                <w:szCs w:val="20"/>
              </w:rPr>
            </w:pPr>
            <w:r w:rsidRPr="00CD7564">
              <w:rPr>
                <w:rFonts w:ascii="Arial" w:eastAsiaTheme="minorHAnsi" w:hAnsi="Arial" w:cs="Arial"/>
                <w:b/>
                <w:i/>
                <w:szCs w:val="20"/>
              </w:rPr>
              <w:t>p</w:t>
            </w:r>
            <w:r w:rsidR="00AE73E0" w:rsidRPr="00CD7564">
              <w:rPr>
                <w:rFonts w:ascii="Arial" w:eastAsiaTheme="minorHAnsi" w:hAnsi="Arial" w:cs="Arial"/>
                <w:b/>
                <w:szCs w:val="20"/>
              </w:rPr>
              <w:t>-</w:t>
            </w:r>
            <w:r w:rsidRPr="00CD7564">
              <w:rPr>
                <w:rFonts w:ascii="Arial" w:eastAsiaTheme="minorHAnsi" w:hAnsi="Arial" w:cs="Arial"/>
                <w:b/>
                <w:szCs w:val="20"/>
              </w:rPr>
              <w:t>V</w:t>
            </w:r>
            <w:r w:rsidR="00AE73E0" w:rsidRPr="00CD7564">
              <w:rPr>
                <w:rFonts w:ascii="Arial" w:eastAsiaTheme="minorHAnsi" w:hAnsi="Arial" w:cs="Arial"/>
                <w:b/>
                <w:szCs w:val="20"/>
              </w:rPr>
              <w:t>alue</w:t>
            </w:r>
          </w:p>
        </w:tc>
      </w:tr>
      <w:tr w:rsidR="00F951B7" w:rsidRPr="00CD7564" w:rsidTr="00CD7564">
        <w:trPr>
          <w:trHeight w:val="267"/>
          <w:jc w:val="center"/>
        </w:trPr>
        <w:tc>
          <w:tcPr>
            <w:tcW w:w="283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Age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1.14 (1,1.3)</w:t>
            </w:r>
          </w:p>
        </w:tc>
        <w:tc>
          <w:tcPr>
            <w:tcW w:w="1182" w:type="dxa"/>
            <w:tcBorders>
              <w:top w:val="single" w:sz="4" w:space="0" w:color="auto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0.059</w:t>
            </w:r>
          </w:p>
        </w:tc>
        <w:tc>
          <w:tcPr>
            <w:tcW w:w="2225" w:type="dxa"/>
            <w:tcBorders>
              <w:top w:val="single" w:sz="4" w:space="0" w:color="auto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  <w:jc w:val="center"/>
        </w:trPr>
        <w:tc>
          <w:tcPr>
            <w:tcW w:w="2830" w:type="dxa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BMI &lt;18.5</w:t>
            </w:r>
          </w:p>
        </w:tc>
        <w:tc>
          <w:tcPr>
            <w:tcW w:w="2268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13.36 (1.08,165.4)</w:t>
            </w:r>
          </w:p>
        </w:tc>
        <w:tc>
          <w:tcPr>
            <w:tcW w:w="1182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color w:val="2B2B2B"/>
                <w:szCs w:val="20"/>
              </w:rPr>
              <w:t>0.043</w:t>
            </w:r>
          </w:p>
        </w:tc>
        <w:tc>
          <w:tcPr>
            <w:tcW w:w="2225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1.75 (0.06, 54.55)</w:t>
            </w:r>
          </w:p>
        </w:tc>
        <w:tc>
          <w:tcPr>
            <w:tcW w:w="993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0.751</w:t>
            </w:r>
          </w:p>
        </w:tc>
      </w:tr>
      <w:tr w:rsidR="00F951B7" w:rsidRPr="00CD7564" w:rsidTr="00CD7564">
        <w:trPr>
          <w:trHeight w:val="267"/>
          <w:jc w:val="center"/>
        </w:trPr>
        <w:tc>
          <w:tcPr>
            <w:tcW w:w="2830" w:type="dxa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DM</w:t>
            </w:r>
          </w:p>
        </w:tc>
        <w:tc>
          <w:tcPr>
            <w:tcW w:w="2268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4.63 (0.4,53.5)</w:t>
            </w:r>
          </w:p>
        </w:tc>
        <w:tc>
          <w:tcPr>
            <w:tcW w:w="1182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color w:val="2D2D2D"/>
                <w:szCs w:val="20"/>
              </w:rPr>
              <w:t>0.219</w:t>
            </w:r>
          </w:p>
        </w:tc>
        <w:tc>
          <w:tcPr>
            <w:tcW w:w="2225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  <w:jc w:val="center"/>
        </w:trPr>
        <w:tc>
          <w:tcPr>
            <w:tcW w:w="2830" w:type="dxa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Hb &lt; 10 g/dl</w:t>
            </w:r>
          </w:p>
        </w:tc>
        <w:tc>
          <w:tcPr>
            <w:tcW w:w="2268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3.74 (0.33,42.88)</w:t>
            </w:r>
          </w:p>
        </w:tc>
        <w:tc>
          <w:tcPr>
            <w:tcW w:w="1182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color w:val="2B2B2B"/>
                <w:szCs w:val="20"/>
              </w:rPr>
              <w:t>0.289</w:t>
            </w:r>
          </w:p>
        </w:tc>
        <w:tc>
          <w:tcPr>
            <w:tcW w:w="2225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trHeight w:val="267"/>
          <w:jc w:val="center"/>
        </w:trPr>
        <w:tc>
          <w:tcPr>
            <w:tcW w:w="2830" w:type="dxa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PLT &lt; 100K</w:t>
            </w:r>
          </w:p>
        </w:tc>
        <w:tc>
          <w:tcPr>
            <w:tcW w:w="2268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 (0,Inf)</w:t>
            </w:r>
          </w:p>
        </w:tc>
        <w:tc>
          <w:tcPr>
            <w:tcW w:w="1182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color w:val="2D2D2D"/>
                <w:szCs w:val="20"/>
              </w:rPr>
              <w:t>0.996</w:t>
            </w:r>
          </w:p>
        </w:tc>
        <w:tc>
          <w:tcPr>
            <w:tcW w:w="2225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  <w:jc w:val="center"/>
        </w:trPr>
        <w:tc>
          <w:tcPr>
            <w:tcW w:w="2830" w:type="dxa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Albumin &lt; 3 g/dl</w:t>
            </w:r>
          </w:p>
        </w:tc>
        <w:tc>
          <w:tcPr>
            <w:tcW w:w="2268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53.71 (4.34,665.11)</w:t>
            </w:r>
          </w:p>
        </w:tc>
        <w:tc>
          <w:tcPr>
            <w:tcW w:w="1182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color w:val="370000"/>
                <w:szCs w:val="20"/>
              </w:rPr>
              <w:t>0.002</w:t>
            </w:r>
          </w:p>
        </w:tc>
        <w:tc>
          <w:tcPr>
            <w:tcW w:w="2225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24.52 (1.39, 431.49)</w:t>
            </w:r>
          </w:p>
        </w:tc>
        <w:tc>
          <w:tcPr>
            <w:tcW w:w="993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0.029</w:t>
            </w:r>
          </w:p>
        </w:tc>
      </w:tr>
      <w:tr w:rsidR="00F951B7" w:rsidRPr="00CD7564" w:rsidTr="00CD7564">
        <w:trPr>
          <w:trHeight w:val="267"/>
          <w:jc w:val="center"/>
        </w:trPr>
        <w:tc>
          <w:tcPr>
            <w:tcW w:w="2830" w:type="dxa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Previous Abdominal Operation</w:t>
            </w:r>
          </w:p>
        </w:tc>
        <w:tc>
          <w:tcPr>
            <w:tcW w:w="2268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 (0,Inf)</w:t>
            </w:r>
          </w:p>
        </w:tc>
        <w:tc>
          <w:tcPr>
            <w:tcW w:w="1182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color w:val="2D2D2D"/>
                <w:szCs w:val="20"/>
              </w:rPr>
              <w:t>0.994</w:t>
            </w:r>
          </w:p>
        </w:tc>
        <w:tc>
          <w:tcPr>
            <w:tcW w:w="2225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  <w:jc w:val="center"/>
        </w:trPr>
        <w:tc>
          <w:tcPr>
            <w:tcW w:w="2830" w:type="dxa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Pre-operative Radiotherapy</w:t>
            </w:r>
          </w:p>
        </w:tc>
        <w:tc>
          <w:tcPr>
            <w:tcW w:w="2268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16.57 (1.44,190.66)</w:t>
            </w:r>
          </w:p>
        </w:tc>
        <w:tc>
          <w:tcPr>
            <w:tcW w:w="1182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color w:val="370000"/>
                <w:szCs w:val="20"/>
              </w:rPr>
              <w:t>0.024</w:t>
            </w:r>
          </w:p>
        </w:tc>
        <w:tc>
          <w:tcPr>
            <w:tcW w:w="2225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5.84 (0.3, 112.22)</w:t>
            </w:r>
          </w:p>
        </w:tc>
        <w:tc>
          <w:tcPr>
            <w:tcW w:w="993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0.242</w:t>
            </w:r>
          </w:p>
        </w:tc>
      </w:tr>
      <w:tr w:rsidR="00F951B7" w:rsidRPr="00CD7564" w:rsidTr="00CD7564">
        <w:trPr>
          <w:trHeight w:val="267"/>
          <w:jc w:val="center"/>
        </w:trPr>
        <w:tc>
          <w:tcPr>
            <w:tcW w:w="2830" w:type="dxa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Pre-Operative Chemotherapy</w:t>
            </w:r>
          </w:p>
        </w:tc>
        <w:tc>
          <w:tcPr>
            <w:tcW w:w="2268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 (0,Inf)</w:t>
            </w:r>
          </w:p>
        </w:tc>
        <w:tc>
          <w:tcPr>
            <w:tcW w:w="1182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color w:val="2D2D2D"/>
                <w:szCs w:val="20"/>
              </w:rPr>
              <w:t>0.995</w:t>
            </w:r>
          </w:p>
        </w:tc>
        <w:tc>
          <w:tcPr>
            <w:tcW w:w="2225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  <w:jc w:val="center"/>
        </w:trPr>
        <w:tc>
          <w:tcPr>
            <w:tcW w:w="2830" w:type="dxa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Tumor Size</w:t>
            </w:r>
          </w:p>
        </w:tc>
        <w:tc>
          <w:tcPr>
            <w:tcW w:w="2268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1.01 (1,1.02)</w:t>
            </w:r>
          </w:p>
        </w:tc>
        <w:tc>
          <w:tcPr>
            <w:tcW w:w="1182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color w:val="2B2B2B"/>
                <w:szCs w:val="20"/>
              </w:rPr>
              <w:t>0.052</w:t>
            </w:r>
          </w:p>
        </w:tc>
        <w:tc>
          <w:tcPr>
            <w:tcW w:w="2225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trHeight w:val="267"/>
          <w:jc w:val="center"/>
        </w:trPr>
        <w:tc>
          <w:tcPr>
            <w:tcW w:w="2830" w:type="dxa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Liposarcoma</w:t>
            </w:r>
          </w:p>
        </w:tc>
        <w:tc>
          <w:tcPr>
            <w:tcW w:w="2268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16977525.2 (0,Inf)</w:t>
            </w:r>
          </w:p>
        </w:tc>
        <w:tc>
          <w:tcPr>
            <w:tcW w:w="1182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color w:val="2D2D2D"/>
                <w:szCs w:val="20"/>
              </w:rPr>
              <w:t>0.995</w:t>
            </w:r>
          </w:p>
        </w:tc>
        <w:tc>
          <w:tcPr>
            <w:tcW w:w="2225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  <w:jc w:val="center"/>
        </w:trPr>
        <w:tc>
          <w:tcPr>
            <w:tcW w:w="2830" w:type="dxa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FNCLCC Grade III</w:t>
            </w:r>
          </w:p>
        </w:tc>
        <w:tc>
          <w:tcPr>
            <w:tcW w:w="2268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1.11 (0.1,12.49)</w:t>
            </w:r>
          </w:p>
        </w:tc>
        <w:tc>
          <w:tcPr>
            <w:tcW w:w="1182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color w:val="2B2B2B"/>
                <w:szCs w:val="20"/>
              </w:rPr>
              <w:t>0.933</w:t>
            </w:r>
          </w:p>
        </w:tc>
        <w:tc>
          <w:tcPr>
            <w:tcW w:w="2225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trHeight w:val="267"/>
          <w:jc w:val="center"/>
        </w:trPr>
        <w:tc>
          <w:tcPr>
            <w:tcW w:w="2830" w:type="dxa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Number of Resected Organs</w:t>
            </w:r>
          </w:p>
        </w:tc>
        <w:tc>
          <w:tcPr>
            <w:tcW w:w="2268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1.25 (0.54,2.93)</w:t>
            </w:r>
          </w:p>
        </w:tc>
        <w:tc>
          <w:tcPr>
            <w:tcW w:w="1182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color w:val="2D2D2D"/>
                <w:szCs w:val="20"/>
              </w:rPr>
              <w:t>0.6</w:t>
            </w:r>
          </w:p>
        </w:tc>
        <w:tc>
          <w:tcPr>
            <w:tcW w:w="2225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  <w:jc w:val="center"/>
        </w:trPr>
        <w:tc>
          <w:tcPr>
            <w:tcW w:w="2830" w:type="dxa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Operative Time</w:t>
            </w:r>
          </w:p>
        </w:tc>
        <w:tc>
          <w:tcPr>
            <w:tcW w:w="2268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 (0.99,1.01)</w:t>
            </w:r>
          </w:p>
        </w:tc>
        <w:tc>
          <w:tcPr>
            <w:tcW w:w="1182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color w:val="2B2B2B"/>
                <w:szCs w:val="20"/>
              </w:rPr>
              <w:t>0.996</w:t>
            </w:r>
          </w:p>
        </w:tc>
        <w:tc>
          <w:tcPr>
            <w:tcW w:w="2225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</w:tbl>
    <w:p w:rsidR="00AE73E0" w:rsidRDefault="00AE73E0" w:rsidP="00AE73E0">
      <w:pPr>
        <w:wordWrap/>
        <w:spacing w:line="360" w:lineRule="auto"/>
        <w:rPr>
          <w:rFonts w:ascii="Arial" w:hAnsi="Arial" w:cs="Arial"/>
          <w:sz w:val="22"/>
        </w:rPr>
      </w:pPr>
    </w:p>
    <w:p w:rsidR="00AE73E0" w:rsidRDefault="00AE73E0" w:rsidP="00AE73E0">
      <w:pPr>
        <w:wordWrap/>
        <w:spacing w:line="360" w:lineRule="auto"/>
        <w:rPr>
          <w:rFonts w:ascii="Arial" w:hAnsi="Arial" w:cs="Arial"/>
          <w:sz w:val="22"/>
        </w:rPr>
      </w:pPr>
    </w:p>
    <w:p w:rsidR="00F951B7" w:rsidRDefault="00F951B7">
      <w:pPr>
        <w:widowControl/>
        <w:wordWrap/>
        <w:autoSpaceDE/>
        <w:autoSpaceDN/>
        <w:spacing w:after="160" w:line="259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:rsidR="00AE73E0" w:rsidRPr="000D65CB" w:rsidRDefault="00AE73E0" w:rsidP="00CD7564">
      <w:pPr>
        <w:wordWrap/>
        <w:snapToGrid w:val="0"/>
        <w:spacing w:line="480" w:lineRule="auto"/>
        <w:rPr>
          <w:rFonts w:ascii="Arial" w:hAnsi="Arial" w:cs="Arial"/>
          <w:sz w:val="22"/>
        </w:rPr>
      </w:pPr>
      <w:r w:rsidRPr="00F951B7">
        <w:rPr>
          <w:rFonts w:ascii="Arial" w:hAnsi="Arial" w:cs="Arial" w:hint="eastAsia"/>
          <w:b/>
          <w:sz w:val="22"/>
        </w:rPr>
        <w:lastRenderedPageBreak/>
        <w:t>T</w:t>
      </w:r>
      <w:r w:rsidRPr="00F951B7">
        <w:rPr>
          <w:rFonts w:ascii="Arial" w:hAnsi="Arial" w:cs="Arial"/>
          <w:b/>
          <w:sz w:val="22"/>
        </w:rPr>
        <w:t xml:space="preserve">able </w:t>
      </w:r>
      <w:r w:rsidR="00F951B7" w:rsidRPr="00F951B7">
        <w:rPr>
          <w:rFonts w:ascii="Arial" w:hAnsi="Arial" w:cs="Arial"/>
          <w:b/>
          <w:sz w:val="22"/>
        </w:rPr>
        <w:t>S</w:t>
      </w:r>
      <w:r w:rsidRPr="00F951B7">
        <w:rPr>
          <w:rFonts w:ascii="Arial" w:hAnsi="Arial" w:cs="Arial"/>
          <w:b/>
          <w:sz w:val="22"/>
        </w:rPr>
        <w:t>2</w:t>
      </w:r>
      <w:r w:rsidR="00CD7564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sz w:val="22"/>
        </w:rPr>
        <w:t>Risk factor analysis for post-operative transfusion</w:t>
      </w:r>
    </w:p>
    <w:tbl>
      <w:tblPr>
        <w:tblStyle w:val="4"/>
        <w:tblW w:w="9498" w:type="dxa"/>
        <w:tblInd w:w="-28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20" w:firstRow="1" w:lastRow="0" w:firstColumn="0" w:lastColumn="0" w:noHBand="0" w:noVBand="1"/>
      </w:tblPr>
      <w:tblGrid>
        <w:gridCol w:w="2978"/>
        <w:gridCol w:w="2268"/>
        <w:gridCol w:w="992"/>
        <w:gridCol w:w="2268"/>
        <w:gridCol w:w="992"/>
      </w:tblGrid>
      <w:tr w:rsidR="00F951B7" w:rsidRPr="00CD7564" w:rsidTr="00CD75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tcW w:w="2978" w:type="dxa"/>
            <w:vMerge w:val="restart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3260" w:type="dxa"/>
            <w:gridSpan w:val="2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Univariate Analysis</w:t>
            </w:r>
          </w:p>
        </w:tc>
        <w:tc>
          <w:tcPr>
            <w:tcW w:w="3260" w:type="dxa"/>
            <w:gridSpan w:val="2"/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Multivariate Analysis</w:t>
            </w: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2978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b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b/>
                <w:szCs w:val="20"/>
              </w:rPr>
            </w:pPr>
            <w:r w:rsidRPr="00CD7564">
              <w:rPr>
                <w:rFonts w:ascii="Arial" w:eastAsiaTheme="minorHAnsi" w:hAnsi="Arial" w:cs="Arial"/>
                <w:b/>
                <w:szCs w:val="20"/>
              </w:rPr>
              <w:t>Odds Ratio (95% 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AE73E0" w:rsidRPr="00CD7564" w:rsidRDefault="00F951B7" w:rsidP="00F951B7">
            <w:pPr>
              <w:wordWrap/>
              <w:jc w:val="left"/>
              <w:rPr>
                <w:rFonts w:ascii="Arial" w:eastAsiaTheme="minorHAnsi" w:hAnsi="Arial" w:cs="Arial"/>
                <w:b/>
                <w:szCs w:val="20"/>
              </w:rPr>
            </w:pPr>
            <w:r w:rsidRPr="00CD7564">
              <w:rPr>
                <w:rFonts w:ascii="Arial" w:eastAsiaTheme="minorHAnsi" w:hAnsi="Arial" w:cs="Arial"/>
                <w:b/>
                <w:i/>
                <w:szCs w:val="20"/>
              </w:rPr>
              <w:t>p</w:t>
            </w:r>
            <w:r w:rsidR="00AE73E0" w:rsidRPr="00CD7564">
              <w:rPr>
                <w:rFonts w:ascii="Arial" w:eastAsiaTheme="minorHAnsi" w:hAnsi="Arial" w:cs="Arial"/>
                <w:b/>
                <w:szCs w:val="20"/>
              </w:rPr>
              <w:t>-</w:t>
            </w:r>
            <w:r w:rsidRPr="00CD7564">
              <w:rPr>
                <w:rFonts w:ascii="Arial" w:eastAsiaTheme="minorHAnsi" w:hAnsi="Arial" w:cs="Arial"/>
                <w:b/>
                <w:szCs w:val="20"/>
              </w:rPr>
              <w:t>V</w:t>
            </w:r>
            <w:r w:rsidR="00AE73E0" w:rsidRPr="00CD7564">
              <w:rPr>
                <w:rFonts w:ascii="Arial" w:eastAsiaTheme="minorHAnsi" w:hAnsi="Arial" w:cs="Arial"/>
                <w:b/>
                <w:szCs w:val="20"/>
              </w:rPr>
              <w:t>alue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b/>
                <w:szCs w:val="20"/>
              </w:rPr>
            </w:pPr>
            <w:r w:rsidRPr="00CD7564">
              <w:rPr>
                <w:rFonts w:ascii="Arial" w:eastAsiaTheme="minorHAnsi" w:hAnsi="Arial" w:cs="Arial"/>
                <w:b/>
                <w:szCs w:val="20"/>
              </w:rPr>
              <w:t>Odds Ratio (95% 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AE73E0" w:rsidRPr="00CD7564" w:rsidRDefault="00F951B7" w:rsidP="00F951B7">
            <w:pPr>
              <w:wordWrap/>
              <w:jc w:val="left"/>
              <w:rPr>
                <w:rFonts w:ascii="Arial" w:eastAsiaTheme="minorHAnsi" w:hAnsi="Arial" w:cs="Arial"/>
                <w:b/>
                <w:szCs w:val="20"/>
              </w:rPr>
            </w:pPr>
            <w:r w:rsidRPr="00CD7564">
              <w:rPr>
                <w:rFonts w:ascii="Arial" w:eastAsiaTheme="minorHAnsi" w:hAnsi="Arial" w:cs="Arial"/>
                <w:b/>
                <w:i/>
                <w:szCs w:val="20"/>
              </w:rPr>
              <w:t>p</w:t>
            </w:r>
            <w:r w:rsidRPr="00CD7564">
              <w:rPr>
                <w:rFonts w:ascii="Arial" w:eastAsiaTheme="minorHAnsi" w:hAnsi="Arial" w:cs="Arial"/>
                <w:b/>
                <w:szCs w:val="20"/>
              </w:rPr>
              <w:t>-Value</w:t>
            </w:r>
          </w:p>
        </w:tc>
      </w:tr>
      <w:tr w:rsidR="00F951B7" w:rsidRPr="00CD7564" w:rsidTr="00CD7564">
        <w:trPr>
          <w:trHeight w:val="267"/>
        </w:trPr>
        <w:tc>
          <w:tcPr>
            <w:tcW w:w="2978" w:type="dxa"/>
            <w:tcBorders>
              <w:bottom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Age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1.02 (0.99,1.06)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0.21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tcW w:w="2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BMI &lt;18.5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2.98 (0.56,15.83)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0.199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trHeight w:val="267"/>
        </w:trPr>
        <w:tc>
          <w:tcPr>
            <w:tcW w:w="2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DM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2.37 (0.71,7.89)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0.161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tcW w:w="2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Hb &lt; 10 g/dl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2.6 (0.86,7.9)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0.092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trHeight w:val="267"/>
        </w:trPr>
        <w:tc>
          <w:tcPr>
            <w:tcW w:w="2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PLT &lt; 100K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8.8 (0.53,146.19)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0.129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tcW w:w="2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Albumin &lt; 3 g/dl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4.75 (1.09,20.63)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0.038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2.9 (0.59,14.24)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0.189</w:t>
            </w:r>
          </w:p>
        </w:tc>
      </w:tr>
      <w:tr w:rsidR="00F951B7" w:rsidRPr="00CD7564" w:rsidTr="00CD7564">
        <w:trPr>
          <w:trHeight w:val="267"/>
        </w:trPr>
        <w:tc>
          <w:tcPr>
            <w:tcW w:w="2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Previous Abdominal Operation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0.41 (0.12,1.46)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0.169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tcW w:w="2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Pre-operative Radiotherapy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5.03 (1.77,14.27)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0.002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4.27 (1.44,12.66)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0.009</w:t>
            </w:r>
          </w:p>
        </w:tc>
      </w:tr>
      <w:tr w:rsidR="00F951B7" w:rsidRPr="00CD7564" w:rsidTr="00CD7564">
        <w:trPr>
          <w:trHeight w:val="267"/>
        </w:trPr>
        <w:tc>
          <w:tcPr>
            <w:tcW w:w="2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Pre-Operative Chemotherapy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1.21 (0.14,10.38)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0.859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tcW w:w="2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Tumor Size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 (1,1.01)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0.111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trHeight w:val="267"/>
        </w:trPr>
        <w:tc>
          <w:tcPr>
            <w:tcW w:w="2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Liposarcoma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6.42 (0.84,49.24)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0.074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tcW w:w="2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FNCLCC Grade III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1.12 (0.43,2.94)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0.814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trHeight w:val="267"/>
        </w:trPr>
        <w:tc>
          <w:tcPr>
            <w:tcW w:w="2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Number of Resected Organs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1.25 (0.88,1.77)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0.208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  <w:tr w:rsidR="00F951B7" w:rsidRPr="00CD7564" w:rsidTr="00CD75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tcW w:w="2978" w:type="dxa"/>
            <w:tcBorders>
              <w:top w:val="nil"/>
            </w:tcBorders>
            <w:shd w:val="clear" w:color="auto" w:fill="auto"/>
            <w:hideMark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Operative Time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1 (1,1)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  <w:r w:rsidRPr="00CD7564">
              <w:rPr>
                <w:rFonts w:ascii="Arial" w:eastAsiaTheme="minorHAnsi" w:hAnsi="Arial" w:cs="Arial"/>
                <w:szCs w:val="20"/>
              </w:rPr>
              <w:t>0.107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</w:tcBorders>
            <w:shd w:val="clear" w:color="auto" w:fill="auto"/>
          </w:tcPr>
          <w:p w:rsidR="00AE73E0" w:rsidRPr="00CD7564" w:rsidRDefault="00AE73E0" w:rsidP="00F951B7">
            <w:pPr>
              <w:wordWrap/>
              <w:jc w:val="left"/>
              <w:rPr>
                <w:rFonts w:ascii="Arial" w:eastAsiaTheme="minorHAnsi" w:hAnsi="Arial" w:cs="Arial"/>
                <w:szCs w:val="20"/>
              </w:rPr>
            </w:pPr>
          </w:p>
        </w:tc>
      </w:tr>
    </w:tbl>
    <w:p w:rsidR="00617C5C" w:rsidRDefault="00617C5C" w:rsidP="00F951B7">
      <w:pPr>
        <w:wordWrap/>
        <w:spacing w:line="360" w:lineRule="auto"/>
      </w:pPr>
      <w:bookmarkStart w:id="0" w:name="_GoBack"/>
      <w:bookmarkEnd w:id="0"/>
    </w:p>
    <w:sectPr w:rsidR="00617C5C" w:rsidSect="00B32A22">
      <w:pgSz w:w="11906" w:h="16838" w:code="9"/>
      <w:pgMar w:top="1701" w:right="1440" w:bottom="1440" w:left="1440" w:header="1021" w:footer="340" w:gutter="0"/>
      <w:cols w:space="425"/>
      <w:titlePg/>
      <w:bidi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373E" w:rsidRDefault="00F3373E" w:rsidP="00CD7564">
      <w:r>
        <w:separator/>
      </w:r>
    </w:p>
  </w:endnote>
  <w:endnote w:type="continuationSeparator" w:id="0">
    <w:p w:rsidR="00F3373E" w:rsidRDefault="00F3373E" w:rsidP="00CD7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373E" w:rsidRDefault="00F3373E" w:rsidP="00CD7564">
      <w:r>
        <w:separator/>
      </w:r>
    </w:p>
  </w:footnote>
  <w:footnote w:type="continuationSeparator" w:id="0">
    <w:p w:rsidR="00F3373E" w:rsidRDefault="00F3373E" w:rsidP="00CD75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rawingGridHorizontalSpacing w:val="10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3E0"/>
    <w:rsid w:val="00617C5C"/>
    <w:rsid w:val="00AE73E0"/>
    <w:rsid w:val="00B32A22"/>
    <w:rsid w:val="00CD7564"/>
    <w:rsid w:val="00CF51D0"/>
    <w:rsid w:val="00F3373E"/>
    <w:rsid w:val="00F95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4BEEB9"/>
  <w15:chartTrackingRefBased/>
  <w15:docId w15:val="{8419DE01-87CD-4A5A-A4E3-F6544315E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3E0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">
    <w:name w:val="Plain Table 4"/>
    <w:basedOn w:val="a1"/>
    <w:uiPriority w:val="44"/>
    <w:rsid w:val="00AE73E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header"/>
    <w:basedOn w:val="a"/>
    <w:link w:val="Char"/>
    <w:uiPriority w:val="99"/>
    <w:unhideWhenUsed/>
    <w:rsid w:val="00CD756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D7564"/>
  </w:style>
  <w:style w:type="paragraph" w:styleId="a4">
    <w:name w:val="footer"/>
    <w:basedOn w:val="a"/>
    <w:link w:val="Char0"/>
    <w:uiPriority w:val="99"/>
    <w:unhideWhenUsed/>
    <w:rsid w:val="00CD756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D75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DB400TDA</dc:creator>
  <cp:keywords/>
  <dc:description/>
  <cp:lastModifiedBy>DB400TDA</cp:lastModifiedBy>
  <cp:revision>2</cp:revision>
  <dcterms:created xsi:type="dcterms:W3CDTF">2022-12-29T05:33:00Z</dcterms:created>
  <dcterms:modified xsi:type="dcterms:W3CDTF">2022-12-29T05:33:00Z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