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CDEE35" w14:textId="3B4A3139" w:rsidR="00492CA5" w:rsidRPr="00C10DBA" w:rsidRDefault="000F200F" w:rsidP="00492CA5">
      <w:pPr>
        <w:pStyle w:val="3"/>
        <w:spacing w:before="0" w:line="360" w:lineRule="auto"/>
        <w:rPr>
          <w:rFonts w:eastAsia="宋体" w:cstheme="minorHAnsi"/>
          <w:sz w:val="24"/>
          <w:szCs w:val="28"/>
        </w:rPr>
      </w:pPr>
      <w:r>
        <w:rPr>
          <w:rFonts w:eastAsia="宋体" w:cstheme="minorHAnsi"/>
          <w:sz w:val="24"/>
          <w:szCs w:val="28"/>
        </w:rPr>
        <w:t xml:space="preserve">1. </w:t>
      </w:r>
      <w:r w:rsidR="00492CA5" w:rsidRPr="00C10DBA">
        <w:rPr>
          <w:rFonts w:eastAsia="宋体" w:cstheme="minorHAnsi"/>
          <w:sz w:val="24"/>
          <w:szCs w:val="28"/>
        </w:rPr>
        <w:t>Supplementary Methods:</w:t>
      </w:r>
    </w:p>
    <w:p w14:paraId="7029DD77" w14:textId="1D31311F" w:rsidR="00BE043F" w:rsidRPr="00D30A93" w:rsidRDefault="00BE043F" w:rsidP="00BE043F">
      <w:pPr>
        <w:pStyle w:val="3"/>
        <w:spacing w:before="0" w:line="360" w:lineRule="auto"/>
        <w:rPr>
          <w:rFonts w:cstheme="minorHAnsi"/>
          <w:b w:val="0"/>
          <w:bCs w:val="0"/>
          <w:color w:val="000000" w:themeColor="text1"/>
          <w:sz w:val="24"/>
          <w:szCs w:val="28"/>
        </w:rPr>
      </w:pPr>
      <w:r>
        <w:rPr>
          <w:rFonts w:eastAsia="宋体" w:cstheme="minorHAnsi"/>
          <w:b w:val="0"/>
          <w:bCs w:val="0"/>
          <w:sz w:val="24"/>
          <w:szCs w:val="28"/>
        </w:rPr>
        <w:t>1.1</w:t>
      </w:r>
      <w:r w:rsidRPr="00D30A93">
        <w:rPr>
          <w:rFonts w:eastAsia="宋体" w:cstheme="minorHAnsi"/>
          <w:b w:val="0"/>
          <w:bCs w:val="0"/>
          <w:sz w:val="24"/>
          <w:szCs w:val="28"/>
        </w:rPr>
        <w:t xml:space="preserve">. </w:t>
      </w:r>
      <w:r w:rsidRPr="00D30A93">
        <w:rPr>
          <w:rFonts w:cstheme="minorHAnsi"/>
          <w:b w:val="0"/>
          <w:bCs w:val="0"/>
          <w:color w:val="000000" w:themeColor="text1"/>
          <w:sz w:val="24"/>
          <w:szCs w:val="28"/>
        </w:rPr>
        <w:t>Cell culture</w:t>
      </w:r>
    </w:p>
    <w:p w14:paraId="130CE13F" w14:textId="03362EBC" w:rsidR="00BE043F" w:rsidRPr="00BE043F" w:rsidRDefault="00BE043F" w:rsidP="00BE043F">
      <w:pPr>
        <w:spacing w:line="360" w:lineRule="auto"/>
        <w:ind w:firstLineChars="50" w:firstLine="120"/>
        <w:contextualSpacing/>
        <w:rPr>
          <w:rFonts w:eastAsia="宋体" w:cstheme="minorHAnsi" w:hint="eastAsia"/>
          <w:color w:val="000000" w:themeColor="text1"/>
          <w:sz w:val="24"/>
          <w:szCs w:val="28"/>
        </w:rPr>
      </w:pPr>
      <w:bookmarkStart w:id="0" w:name="_Hlk85702008"/>
      <w:r w:rsidRPr="00D30A93">
        <w:rPr>
          <w:rFonts w:cstheme="minorHAnsi"/>
          <w:color w:val="000000" w:themeColor="text1"/>
          <w:sz w:val="24"/>
          <w:szCs w:val="28"/>
        </w:rPr>
        <w:t>Jurkat T (RRID:CVCL_0367) and</w:t>
      </w:r>
      <w:r w:rsidRPr="00D30A93">
        <w:rPr>
          <w:rFonts w:eastAsia="宋体" w:cstheme="minorHAnsi"/>
          <w:color w:val="000000" w:themeColor="text1"/>
          <w:sz w:val="24"/>
          <w:szCs w:val="28"/>
        </w:rPr>
        <w:t xml:space="preserve"> Huh7 (RRID:CVCL_B7TI)</w:t>
      </w:r>
      <w:r w:rsidRPr="00D30A93">
        <w:rPr>
          <w:rFonts w:cstheme="minorHAnsi"/>
          <w:color w:val="000000" w:themeColor="text1"/>
          <w:sz w:val="24"/>
          <w:szCs w:val="28"/>
        </w:rPr>
        <w:t xml:space="preserve"> cells were purchased from and authorized</w:t>
      </w:r>
      <w:r w:rsidRPr="00D30A93">
        <w:rPr>
          <w:rFonts w:eastAsia="宋体" w:cstheme="minorHAnsi"/>
          <w:color w:val="000000" w:themeColor="text1"/>
          <w:sz w:val="24"/>
          <w:szCs w:val="28"/>
        </w:rPr>
        <w:t xml:space="preserve"> by the China Center for Type Culture Collection</w:t>
      </w:r>
      <w:bookmarkEnd w:id="0"/>
      <w:r w:rsidRPr="00D30A93">
        <w:rPr>
          <w:rFonts w:eastAsia="宋体" w:cstheme="minorHAnsi"/>
          <w:color w:val="000000" w:themeColor="text1"/>
          <w:sz w:val="24"/>
          <w:szCs w:val="28"/>
        </w:rPr>
        <w:t xml:space="preserve"> (CCTCC)</w:t>
      </w:r>
      <w:r w:rsidRPr="00D30A93">
        <w:rPr>
          <w:rFonts w:cstheme="minorHAnsi"/>
          <w:color w:val="000000" w:themeColor="text1"/>
          <w:sz w:val="24"/>
          <w:szCs w:val="28"/>
        </w:rPr>
        <w:t>. The two types of cells were</w:t>
      </w:r>
      <w:r w:rsidRPr="00D30A93">
        <w:rPr>
          <w:rFonts w:eastAsia="宋体" w:cstheme="minorHAnsi"/>
          <w:color w:val="000000" w:themeColor="text1"/>
          <w:sz w:val="24"/>
          <w:szCs w:val="28"/>
        </w:rPr>
        <w:t xml:space="preserve"> cultured in RPMI-1640 or DMEM supplemented with 100 U/mL penicillin, 100 μg/mL streptomycin, and 10% fetal bovine serum. The PBMCs separated CD3</w:t>
      </w:r>
      <w:r w:rsidRPr="00D30A93">
        <w:rPr>
          <w:rFonts w:eastAsia="宋体" w:cstheme="minorHAnsi"/>
          <w:color w:val="000000" w:themeColor="text1"/>
          <w:sz w:val="24"/>
          <w:szCs w:val="28"/>
          <w:vertAlign w:val="superscript"/>
        </w:rPr>
        <w:t>+</w:t>
      </w:r>
      <w:r w:rsidRPr="00D30A93">
        <w:rPr>
          <w:rFonts w:eastAsia="宋体" w:cstheme="minorHAnsi"/>
          <w:color w:val="000000" w:themeColor="text1"/>
          <w:sz w:val="24"/>
          <w:szCs w:val="28"/>
        </w:rPr>
        <w:t xml:space="preserve"> T cells were cultured in RPMI-1640 supplemented with 100 U/mL penicillin 100, μg/mL streptomycin, and 10% fetal bovine serum. Recombinant Human IL-2 was added for the proliferation of CD3</w:t>
      </w:r>
      <w:r w:rsidRPr="00D30A93">
        <w:rPr>
          <w:rFonts w:eastAsia="宋体" w:cstheme="minorHAnsi"/>
          <w:color w:val="000000" w:themeColor="text1"/>
          <w:sz w:val="24"/>
          <w:szCs w:val="28"/>
          <w:vertAlign w:val="superscript"/>
        </w:rPr>
        <w:t>+</w:t>
      </w:r>
      <w:r w:rsidRPr="00D30A93">
        <w:rPr>
          <w:rFonts w:eastAsia="宋体" w:cstheme="minorHAnsi"/>
          <w:color w:val="000000" w:themeColor="text1"/>
          <w:sz w:val="24"/>
          <w:szCs w:val="28"/>
        </w:rPr>
        <w:t xml:space="preserve"> cells.</w:t>
      </w:r>
    </w:p>
    <w:p w14:paraId="0287280D" w14:textId="5F395A26" w:rsidR="00492CA5" w:rsidRPr="00C10DBA" w:rsidRDefault="00492CA5" w:rsidP="00492CA5">
      <w:pPr>
        <w:pStyle w:val="3"/>
        <w:spacing w:before="0" w:line="360" w:lineRule="auto"/>
        <w:rPr>
          <w:rFonts w:eastAsia="宋体" w:cstheme="minorHAnsi"/>
          <w:b w:val="0"/>
          <w:bCs w:val="0"/>
          <w:color w:val="000000" w:themeColor="text1"/>
          <w:sz w:val="24"/>
          <w:szCs w:val="28"/>
        </w:rPr>
      </w:pPr>
      <w:r w:rsidRPr="00C10DBA">
        <w:rPr>
          <w:rFonts w:eastAsia="宋体" w:cstheme="minorHAnsi"/>
          <w:b w:val="0"/>
          <w:bCs w:val="0"/>
          <w:sz w:val="24"/>
          <w:szCs w:val="28"/>
        </w:rPr>
        <w:t>1.</w:t>
      </w:r>
      <w:r w:rsidR="00BE043F">
        <w:rPr>
          <w:rFonts w:eastAsia="宋体" w:cstheme="minorHAnsi"/>
          <w:b w:val="0"/>
          <w:bCs w:val="0"/>
          <w:sz w:val="24"/>
          <w:szCs w:val="28"/>
        </w:rPr>
        <w:t>2</w:t>
      </w:r>
      <w:r w:rsidRPr="00C10DBA">
        <w:rPr>
          <w:rFonts w:eastAsia="宋体" w:cstheme="minorHAnsi"/>
          <w:b w:val="0"/>
          <w:bCs w:val="0"/>
          <w:sz w:val="24"/>
          <w:szCs w:val="28"/>
        </w:rPr>
        <w:t xml:space="preserve">. </w:t>
      </w:r>
      <w:r w:rsidRPr="00C10DBA">
        <w:rPr>
          <w:rFonts w:eastAsia="宋体" w:cstheme="minorHAnsi"/>
          <w:b w:val="0"/>
          <w:bCs w:val="0"/>
          <w:color w:val="000000" w:themeColor="text1"/>
          <w:sz w:val="24"/>
          <w:szCs w:val="28"/>
        </w:rPr>
        <w:t>CD3</w:t>
      </w:r>
      <w:r w:rsidRPr="00C10DBA">
        <w:rPr>
          <w:rFonts w:eastAsia="宋体" w:cstheme="minorHAnsi"/>
          <w:b w:val="0"/>
          <w:bCs w:val="0"/>
          <w:color w:val="000000" w:themeColor="text1"/>
          <w:sz w:val="24"/>
          <w:szCs w:val="28"/>
          <w:vertAlign w:val="superscript"/>
        </w:rPr>
        <w:t>+</w:t>
      </w:r>
      <w:r w:rsidRPr="00C10DBA">
        <w:rPr>
          <w:rFonts w:eastAsia="宋体" w:cstheme="minorHAnsi"/>
          <w:b w:val="0"/>
          <w:bCs w:val="0"/>
          <w:color w:val="000000" w:themeColor="text1"/>
          <w:sz w:val="24"/>
          <w:szCs w:val="28"/>
        </w:rPr>
        <w:t xml:space="preserve"> T cell separation and culture</w:t>
      </w:r>
    </w:p>
    <w:p w14:paraId="16183C23" w14:textId="77777777" w:rsidR="00492CA5" w:rsidRPr="00C10DBA" w:rsidRDefault="00492CA5" w:rsidP="00492CA5">
      <w:pPr>
        <w:spacing w:line="360" w:lineRule="auto"/>
        <w:ind w:firstLineChars="50" w:firstLine="120"/>
        <w:contextualSpacing/>
        <w:rPr>
          <w:rFonts w:eastAsia="宋体" w:cstheme="minorHAnsi"/>
          <w:color w:val="000000" w:themeColor="text1"/>
          <w:sz w:val="24"/>
          <w:szCs w:val="28"/>
        </w:rPr>
      </w:pPr>
      <w:r w:rsidRPr="00C10DBA">
        <w:rPr>
          <w:rFonts w:eastAsia="宋体" w:cstheme="minorHAnsi"/>
          <w:color w:val="000000" w:themeColor="text1"/>
          <w:sz w:val="24"/>
          <w:szCs w:val="28"/>
        </w:rPr>
        <w:t>The lymphocyte separation medium from</w:t>
      </w:r>
      <w:r w:rsidRPr="00C10DBA">
        <w:rPr>
          <w:rFonts w:cstheme="minorHAnsi"/>
          <w:sz w:val="24"/>
        </w:rPr>
        <w:t xml:space="preserve"> </w:t>
      </w:r>
      <w:r w:rsidRPr="00C10DBA">
        <w:rPr>
          <w:rFonts w:eastAsia="宋体" w:cstheme="minorHAnsi"/>
          <w:color w:val="000000" w:themeColor="text1"/>
          <w:sz w:val="24"/>
          <w:szCs w:val="28"/>
        </w:rPr>
        <w:t>Solarbio Life Sciences was used for the separation of PBMCs from freshly collected whole blood cells, and the residual red blood cells were removed using the red blood cell lysis buffer obtained from</w:t>
      </w:r>
      <w:r w:rsidRPr="00C10DBA">
        <w:rPr>
          <w:rFonts w:cstheme="minorHAnsi"/>
          <w:sz w:val="24"/>
        </w:rPr>
        <w:t xml:space="preserve"> </w:t>
      </w:r>
      <w:r w:rsidRPr="00C10DBA">
        <w:rPr>
          <w:rFonts w:eastAsia="宋体" w:cstheme="minorHAnsi"/>
          <w:color w:val="000000" w:themeColor="text1"/>
          <w:sz w:val="24"/>
          <w:szCs w:val="28"/>
        </w:rPr>
        <w:t>Solarbio Life Sciences. The CD3/CD28 conjugated magnetic beads were used for separating CD3</w:t>
      </w:r>
      <w:r w:rsidRPr="00C10DBA">
        <w:rPr>
          <w:rFonts w:eastAsia="宋体" w:cstheme="minorHAnsi"/>
          <w:color w:val="000000" w:themeColor="text1"/>
          <w:sz w:val="24"/>
          <w:szCs w:val="28"/>
          <w:vertAlign w:val="superscript"/>
        </w:rPr>
        <w:t>+</w:t>
      </w:r>
      <w:r w:rsidRPr="00C10DBA">
        <w:rPr>
          <w:rFonts w:eastAsia="宋体" w:cstheme="minorHAnsi"/>
          <w:color w:val="000000" w:themeColor="text1"/>
          <w:sz w:val="24"/>
          <w:szCs w:val="28"/>
        </w:rPr>
        <w:t xml:space="preserve"> T cells from the PBMCs. Afterward, the CD3/CD28 magnetic beads-conjugated CD3</w:t>
      </w:r>
      <w:r w:rsidRPr="00C10DBA">
        <w:rPr>
          <w:rFonts w:eastAsia="宋体" w:cstheme="minorHAnsi"/>
          <w:color w:val="000000" w:themeColor="text1"/>
          <w:sz w:val="24"/>
          <w:szCs w:val="28"/>
          <w:vertAlign w:val="superscript"/>
        </w:rPr>
        <w:t>+</w:t>
      </w:r>
      <w:r w:rsidRPr="00C10DBA">
        <w:rPr>
          <w:rFonts w:eastAsia="宋体" w:cstheme="minorHAnsi"/>
          <w:color w:val="000000" w:themeColor="text1"/>
          <w:sz w:val="24"/>
          <w:szCs w:val="28"/>
        </w:rPr>
        <w:t>T cells were cultured in the Human IL-2 enriched RPMI-1640 medium for two weeks.</w:t>
      </w:r>
    </w:p>
    <w:p w14:paraId="3AC7D426" w14:textId="75AF9592" w:rsidR="00492CA5" w:rsidRPr="00C10DBA" w:rsidRDefault="00492CA5" w:rsidP="00492CA5">
      <w:pPr>
        <w:pStyle w:val="3"/>
        <w:spacing w:before="0" w:line="360" w:lineRule="auto"/>
        <w:rPr>
          <w:rFonts w:eastAsia="宋体" w:cstheme="minorHAnsi"/>
          <w:b w:val="0"/>
          <w:bCs w:val="0"/>
          <w:color w:val="000000" w:themeColor="text1"/>
          <w:sz w:val="24"/>
          <w:szCs w:val="28"/>
        </w:rPr>
      </w:pPr>
      <w:r w:rsidRPr="00C10DBA">
        <w:rPr>
          <w:rFonts w:eastAsia="宋体" w:cstheme="minorHAnsi"/>
          <w:b w:val="0"/>
          <w:bCs w:val="0"/>
          <w:sz w:val="24"/>
          <w:szCs w:val="28"/>
        </w:rPr>
        <w:t>1.</w:t>
      </w:r>
      <w:r w:rsidR="00BE043F">
        <w:rPr>
          <w:rFonts w:eastAsia="宋体" w:cstheme="minorHAnsi"/>
          <w:b w:val="0"/>
          <w:bCs w:val="0"/>
          <w:sz w:val="24"/>
          <w:szCs w:val="28"/>
        </w:rPr>
        <w:t>3</w:t>
      </w:r>
      <w:r w:rsidRPr="00C10DBA">
        <w:rPr>
          <w:rFonts w:eastAsia="宋体" w:cstheme="minorHAnsi"/>
          <w:b w:val="0"/>
          <w:bCs w:val="0"/>
          <w:sz w:val="24"/>
          <w:szCs w:val="28"/>
        </w:rPr>
        <w:t xml:space="preserve">. </w:t>
      </w:r>
      <w:r w:rsidRPr="00C10DBA">
        <w:rPr>
          <w:rFonts w:eastAsia="宋体" w:cstheme="minorHAnsi"/>
          <w:b w:val="0"/>
          <w:bCs w:val="0"/>
          <w:color w:val="000000" w:themeColor="text1"/>
          <w:sz w:val="24"/>
          <w:szCs w:val="28"/>
        </w:rPr>
        <w:t>Vectors</w:t>
      </w:r>
    </w:p>
    <w:p w14:paraId="1F228096" w14:textId="77777777" w:rsidR="00492CA5" w:rsidRPr="00C10DBA" w:rsidRDefault="00492CA5" w:rsidP="00492CA5">
      <w:pPr>
        <w:spacing w:line="360" w:lineRule="auto"/>
        <w:ind w:firstLineChars="50" w:firstLine="120"/>
        <w:contextualSpacing/>
        <w:rPr>
          <w:rFonts w:eastAsia="宋体" w:cstheme="minorHAnsi"/>
          <w:color w:val="000000" w:themeColor="text1"/>
          <w:sz w:val="24"/>
          <w:szCs w:val="28"/>
        </w:rPr>
      </w:pPr>
      <w:r w:rsidRPr="00C10DBA">
        <w:rPr>
          <w:rFonts w:eastAsia="宋体" w:cstheme="minorHAnsi"/>
          <w:color w:val="000000" w:themeColor="text1"/>
          <w:sz w:val="24"/>
          <w:szCs w:val="28"/>
        </w:rPr>
        <w:t>HEK-293A cells were double-transfected with pDC316-NGFR-shRNA and pBHGlox-E1,3Cre using Lipofectamine 3 000 to produce the NGFR-shRNA-rAd vector. HEK-293T cells were triple-transfected with pLV-NGF-shRNA and two packaging plasmids, pH1 and pH2 using Lipofectamine 3 000 to construct the NGF-shRNA-Lv vector. The interfering sequences of the target genes NGF and NGFR are listed in Table S2.</w:t>
      </w:r>
    </w:p>
    <w:p w14:paraId="09ABB89D" w14:textId="5835888F" w:rsidR="00492CA5" w:rsidRPr="00C10DBA" w:rsidRDefault="00492CA5" w:rsidP="00492CA5">
      <w:pPr>
        <w:pStyle w:val="3"/>
        <w:spacing w:before="0" w:line="360" w:lineRule="auto"/>
        <w:rPr>
          <w:rFonts w:cstheme="minorHAnsi"/>
          <w:b w:val="0"/>
          <w:bCs w:val="0"/>
          <w:color w:val="000000" w:themeColor="text1"/>
          <w:sz w:val="24"/>
          <w:szCs w:val="28"/>
        </w:rPr>
      </w:pPr>
      <w:r w:rsidRPr="00C10DBA">
        <w:rPr>
          <w:rFonts w:eastAsia="宋体" w:cstheme="minorHAnsi"/>
          <w:b w:val="0"/>
          <w:bCs w:val="0"/>
          <w:sz w:val="24"/>
          <w:szCs w:val="28"/>
        </w:rPr>
        <w:t>1.</w:t>
      </w:r>
      <w:r w:rsidR="00BE043F">
        <w:rPr>
          <w:rFonts w:eastAsia="宋体" w:cstheme="minorHAnsi"/>
          <w:b w:val="0"/>
          <w:bCs w:val="0"/>
          <w:sz w:val="24"/>
          <w:szCs w:val="28"/>
        </w:rPr>
        <w:t>4</w:t>
      </w:r>
      <w:r w:rsidRPr="00C10DBA">
        <w:rPr>
          <w:rFonts w:eastAsia="宋体" w:cstheme="minorHAnsi"/>
          <w:b w:val="0"/>
          <w:bCs w:val="0"/>
          <w:sz w:val="24"/>
          <w:szCs w:val="28"/>
        </w:rPr>
        <w:t xml:space="preserve">. </w:t>
      </w:r>
      <w:r w:rsidRPr="00C10DBA">
        <w:rPr>
          <w:rFonts w:cstheme="minorHAnsi"/>
          <w:b w:val="0"/>
          <w:bCs w:val="0"/>
          <w:color w:val="000000" w:themeColor="text1"/>
          <w:sz w:val="24"/>
          <w:szCs w:val="28"/>
        </w:rPr>
        <w:t>Xenograft HCC mouse model</w:t>
      </w:r>
    </w:p>
    <w:p w14:paraId="1BD60267" w14:textId="77777777" w:rsidR="00492CA5" w:rsidRPr="00C10DBA" w:rsidRDefault="00492CA5" w:rsidP="00492CA5">
      <w:pPr>
        <w:spacing w:line="360" w:lineRule="auto"/>
        <w:ind w:firstLineChars="50" w:firstLine="120"/>
        <w:contextualSpacing/>
        <w:rPr>
          <w:rFonts w:eastAsia="宋体" w:cstheme="minorHAnsi"/>
          <w:color w:val="000000" w:themeColor="text1"/>
          <w:sz w:val="24"/>
          <w:szCs w:val="28"/>
        </w:rPr>
      </w:pPr>
      <w:r w:rsidRPr="00C10DBA">
        <w:rPr>
          <w:rFonts w:eastAsia="宋体" w:cstheme="minorHAnsi"/>
          <w:color w:val="000000" w:themeColor="text1"/>
          <w:sz w:val="24"/>
          <w:szCs w:val="28"/>
        </w:rPr>
        <w:t>Huh7 cells (2×10</w:t>
      </w:r>
      <w:r w:rsidRPr="00C10DBA">
        <w:rPr>
          <w:rFonts w:eastAsia="宋体" w:cstheme="minorHAnsi"/>
          <w:color w:val="000000" w:themeColor="text1"/>
          <w:sz w:val="24"/>
          <w:szCs w:val="28"/>
          <w:vertAlign w:val="superscript"/>
        </w:rPr>
        <w:t>6</w:t>
      </w:r>
      <w:r w:rsidRPr="00C10DBA">
        <w:rPr>
          <w:rFonts w:eastAsia="宋体" w:cstheme="minorHAnsi"/>
          <w:color w:val="000000" w:themeColor="text1"/>
          <w:sz w:val="24"/>
          <w:szCs w:val="28"/>
        </w:rPr>
        <w:t xml:space="preserve"> in 100 μl) and an equal volume of Matrigel were mixed and then injected subcutaneously into immune-deficient mice for the </w:t>
      </w:r>
      <w:bookmarkStart w:id="1" w:name="_Hlk106218847"/>
      <w:r w:rsidRPr="00C10DBA">
        <w:rPr>
          <w:rFonts w:eastAsia="宋体" w:cstheme="minorHAnsi"/>
          <w:color w:val="000000" w:themeColor="text1"/>
          <w:sz w:val="24"/>
          <w:szCs w:val="28"/>
        </w:rPr>
        <w:t>establishment of the mouse model</w:t>
      </w:r>
      <w:bookmarkEnd w:id="1"/>
      <w:r w:rsidRPr="00C10DBA">
        <w:rPr>
          <w:rFonts w:eastAsia="宋体" w:cstheme="minorHAnsi"/>
          <w:color w:val="000000" w:themeColor="text1"/>
          <w:sz w:val="24"/>
          <w:szCs w:val="28"/>
        </w:rPr>
        <w:t>. The immune system was reconstituted by injecting CD3</w:t>
      </w:r>
      <w:r w:rsidRPr="00C10DBA">
        <w:rPr>
          <w:rFonts w:eastAsia="宋体" w:cstheme="minorHAnsi"/>
          <w:color w:val="000000" w:themeColor="text1"/>
          <w:sz w:val="24"/>
          <w:szCs w:val="28"/>
          <w:vertAlign w:val="superscript"/>
        </w:rPr>
        <w:t>+</w:t>
      </w:r>
      <w:r w:rsidRPr="00C10DBA">
        <w:rPr>
          <w:rFonts w:eastAsia="宋体" w:cstheme="minorHAnsi"/>
          <w:color w:val="000000" w:themeColor="text1"/>
          <w:sz w:val="24"/>
          <w:szCs w:val="28"/>
        </w:rPr>
        <w:t xml:space="preserve"> T cells into the </w:t>
      </w:r>
      <w:r w:rsidRPr="00C10DBA">
        <w:rPr>
          <w:rFonts w:eastAsia="宋体" w:cstheme="minorHAnsi"/>
          <w:color w:val="000000" w:themeColor="text1"/>
          <w:sz w:val="24"/>
          <w:szCs w:val="28"/>
        </w:rPr>
        <w:lastRenderedPageBreak/>
        <w:t>tail vein of the mice, followed by therapy with PD1 mAb or an IgG. The tumor sizes were measured every week using vernier calipers. Finally, a paraffin section was constructed for the immunohistochemistry staining of CD8 and CD3.</w:t>
      </w:r>
    </w:p>
    <w:p w14:paraId="7C26F910" w14:textId="511C3611" w:rsidR="00492CA5" w:rsidRPr="00C10DBA" w:rsidRDefault="00492CA5" w:rsidP="00492CA5">
      <w:pPr>
        <w:pStyle w:val="3"/>
        <w:spacing w:before="0" w:line="360" w:lineRule="auto"/>
        <w:rPr>
          <w:rFonts w:eastAsia="宋体" w:cstheme="minorHAnsi"/>
          <w:b w:val="0"/>
          <w:bCs w:val="0"/>
          <w:color w:val="000000" w:themeColor="text1"/>
          <w:sz w:val="24"/>
          <w:szCs w:val="28"/>
        </w:rPr>
      </w:pPr>
      <w:bookmarkStart w:id="2" w:name="_Hlk106221659"/>
      <w:r w:rsidRPr="00C10DBA">
        <w:rPr>
          <w:rFonts w:eastAsia="宋体" w:cstheme="minorHAnsi"/>
          <w:b w:val="0"/>
          <w:bCs w:val="0"/>
          <w:sz w:val="24"/>
          <w:szCs w:val="28"/>
        </w:rPr>
        <w:t>1.</w:t>
      </w:r>
      <w:r w:rsidR="00BE043F">
        <w:rPr>
          <w:rFonts w:eastAsia="宋体" w:cstheme="minorHAnsi"/>
          <w:b w:val="0"/>
          <w:bCs w:val="0"/>
          <w:sz w:val="24"/>
          <w:szCs w:val="28"/>
        </w:rPr>
        <w:t>5</w:t>
      </w:r>
      <w:r w:rsidRPr="00C10DBA">
        <w:rPr>
          <w:rFonts w:eastAsia="宋体" w:cstheme="minorHAnsi"/>
          <w:b w:val="0"/>
          <w:bCs w:val="0"/>
          <w:sz w:val="24"/>
          <w:szCs w:val="28"/>
        </w:rPr>
        <w:t xml:space="preserve">. </w:t>
      </w:r>
      <w:r w:rsidRPr="00C10DBA">
        <w:rPr>
          <w:rFonts w:eastAsia="宋体" w:cstheme="minorHAnsi"/>
          <w:b w:val="0"/>
          <w:bCs w:val="0"/>
          <w:color w:val="000000" w:themeColor="text1"/>
          <w:sz w:val="24"/>
          <w:szCs w:val="28"/>
        </w:rPr>
        <w:t>EdU assay</w:t>
      </w:r>
    </w:p>
    <w:bookmarkEnd w:id="2"/>
    <w:p w14:paraId="7E2DDE3C" w14:textId="77777777" w:rsidR="00492CA5" w:rsidRPr="00C10DBA" w:rsidRDefault="00492CA5" w:rsidP="00492CA5">
      <w:pPr>
        <w:spacing w:line="360" w:lineRule="auto"/>
        <w:ind w:firstLineChars="50" w:firstLine="120"/>
        <w:contextualSpacing/>
        <w:rPr>
          <w:rFonts w:eastAsia="宋体" w:cstheme="minorHAnsi"/>
          <w:color w:val="000000" w:themeColor="text1"/>
          <w:sz w:val="24"/>
          <w:szCs w:val="28"/>
        </w:rPr>
      </w:pPr>
      <w:r w:rsidRPr="00C10DBA">
        <w:rPr>
          <w:rFonts w:eastAsia="宋体" w:cstheme="minorHAnsi"/>
          <w:color w:val="000000" w:themeColor="text1"/>
          <w:sz w:val="24"/>
          <w:szCs w:val="28"/>
        </w:rPr>
        <w:t>The EdU assay was conducted in the co-culture system following the manufacturer's protocol. Briefly, the cells were exposed to 10μM of EdU for one hour. Jurkat T cells were collected and treated with 70% ethanol for 15 min for fixing. The cell membrane system was penetrated with 0.1% Triton-X 100 solution, followed by incubation with Azide Alexa Fluor 488. Next, the DAPI solution was added for the staining of genomic DNA. A fluorescence microscope was employed to visualize the positive EdU cells.</w:t>
      </w:r>
    </w:p>
    <w:p w14:paraId="40B394B7" w14:textId="04AE6C10" w:rsidR="00492CA5" w:rsidRPr="00C10DBA" w:rsidRDefault="00492CA5" w:rsidP="00492CA5">
      <w:pPr>
        <w:pStyle w:val="3"/>
        <w:spacing w:before="0" w:line="360" w:lineRule="auto"/>
        <w:rPr>
          <w:rFonts w:eastAsia="宋体" w:cstheme="minorHAnsi"/>
          <w:b w:val="0"/>
          <w:bCs w:val="0"/>
          <w:color w:val="000000" w:themeColor="text1"/>
          <w:sz w:val="24"/>
          <w:szCs w:val="28"/>
        </w:rPr>
      </w:pPr>
      <w:bookmarkStart w:id="3" w:name="_Hlk106527366"/>
      <w:r w:rsidRPr="00C10DBA">
        <w:rPr>
          <w:rFonts w:eastAsia="宋体" w:cstheme="minorHAnsi"/>
          <w:b w:val="0"/>
          <w:bCs w:val="0"/>
          <w:sz w:val="24"/>
          <w:szCs w:val="28"/>
        </w:rPr>
        <w:t>1.</w:t>
      </w:r>
      <w:r w:rsidR="00BE043F">
        <w:rPr>
          <w:rFonts w:eastAsia="宋体" w:cstheme="minorHAnsi"/>
          <w:b w:val="0"/>
          <w:bCs w:val="0"/>
          <w:sz w:val="24"/>
          <w:szCs w:val="28"/>
        </w:rPr>
        <w:t>6</w:t>
      </w:r>
      <w:r w:rsidRPr="00C10DBA">
        <w:rPr>
          <w:rFonts w:eastAsia="宋体" w:cstheme="minorHAnsi"/>
          <w:b w:val="0"/>
          <w:bCs w:val="0"/>
          <w:sz w:val="24"/>
          <w:szCs w:val="28"/>
        </w:rPr>
        <w:t xml:space="preserve">. </w:t>
      </w:r>
      <w:r w:rsidRPr="00C10DBA">
        <w:rPr>
          <w:rFonts w:eastAsia="宋体" w:cstheme="minorHAnsi"/>
          <w:b w:val="0"/>
          <w:bCs w:val="0"/>
          <w:color w:val="000000" w:themeColor="text1"/>
          <w:sz w:val="24"/>
          <w:szCs w:val="28"/>
        </w:rPr>
        <w:t>Flow cytometry assay</w:t>
      </w:r>
    </w:p>
    <w:bookmarkEnd w:id="3"/>
    <w:p w14:paraId="445D0021" w14:textId="77777777" w:rsidR="00492CA5" w:rsidRPr="00C10DBA" w:rsidRDefault="00492CA5" w:rsidP="00492CA5">
      <w:pPr>
        <w:spacing w:line="360" w:lineRule="auto"/>
        <w:ind w:firstLineChars="50" w:firstLine="120"/>
        <w:contextualSpacing/>
        <w:rPr>
          <w:rFonts w:eastAsia="宋体" w:cstheme="minorHAnsi"/>
          <w:color w:val="000000" w:themeColor="text1"/>
          <w:sz w:val="24"/>
          <w:szCs w:val="28"/>
        </w:rPr>
      </w:pPr>
      <w:r w:rsidRPr="00C10DBA">
        <w:rPr>
          <w:rFonts w:eastAsia="宋体" w:cstheme="minorHAnsi"/>
          <w:color w:val="000000" w:themeColor="text1"/>
          <w:sz w:val="24"/>
          <w:szCs w:val="28"/>
        </w:rPr>
        <w:t>Jurkat T cell pellet was collected from the co-culture system and treated with 70% ethanol for 15 min for fixing. The RNA in the cells was digested using RNase, and the genomic DNA was stained with 1 mg/ml of PI for 30 min. After filtering through a 400-mesh sieve, the PI fluorescence intensity of the genomic DNA was recorded using a flow cytometer (FACSCalibur). Afterward, the cell cycle distribution was determined.</w:t>
      </w:r>
    </w:p>
    <w:p w14:paraId="3EDACF0D" w14:textId="326C1B67" w:rsidR="00492CA5" w:rsidRPr="00C10DBA" w:rsidRDefault="00492CA5" w:rsidP="00492CA5">
      <w:pPr>
        <w:pStyle w:val="3"/>
        <w:spacing w:before="0" w:line="360" w:lineRule="auto"/>
        <w:rPr>
          <w:rFonts w:eastAsia="宋体" w:cstheme="minorHAnsi"/>
          <w:b w:val="0"/>
          <w:bCs w:val="0"/>
          <w:color w:val="000000" w:themeColor="text1"/>
          <w:sz w:val="24"/>
          <w:szCs w:val="28"/>
        </w:rPr>
      </w:pPr>
      <w:r w:rsidRPr="00C10DBA">
        <w:rPr>
          <w:rFonts w:eastAsia="宋体" w:cstheme="minorHAnsi"/>
          <w:b w:val="0"/>
          <w:bCs w:val="0"/>
          <w:sz w:val="24"/>
          <w:szCs w:val="28"/>
        </w:rPr>
        <w:t>1.</w:t>
      </w:r>
      <w:r w:rsidR="00BE043F">
        <w:rPr>
          <w:rFonts w:eastAsia="宋体" w:cstheme="minorHAnsi"/>
          <w:b w:val="0"/>
          <w:bCs w:val="0"/>
          <w:sz w:val="24"/>
          <w:szCs w:val="28"/>
        </w:rPr>
        <w:t>7</w:t>
      </w:r>
      <w:r w:rsidRPr="00C10DBA">
        <w:rPr>
          <w:rFonts w:eastAsia="宋体" w:cstheme="minorHAnsi"/>
          <w:b w:val="0"/>
          <w:bCs w:val="0"/>
          <w:sz w:val="24"/>
          <w:szCs w:val="28"/>
        </w:rPr>
        <w:t xml:space="preserve">. </w:t>
      </w:r>
      <w:r w:rsidRPr="00C10DBA">
        <w:rPr>
          <w:rFonts w:eastAsia="宋体" w:cstheme="minorHAnsi"/>
          <w:b w:val="0"/>
          <w:bCs w:val="0"/>
          <w:color w:val="000000" w:themeColor="text1"/>
          <w:sz w:val="24"/>
          <w:szCs w:val="28"/>
        </w:rPr>
        <w:t>Immunohistochemistry assay</w:t>
      </w:r>
    </w:p>
    <w:p w14:paraId="6B45F020" w14:textId="77777777" w:rsidR="00492CA5" w:rsidRPr="00C10DBA" w:rsidRDefault="00492CA5" w:rsidP="00492CA5">
      <w:pPr>
        <w:spacing w:line="360" w:lineRule="auto"/>
        <w:ind w:firstLineChars="50" w:firstLine="120"/>
        <w:contextualSpacing/>
        <w:rPr>
          <w:rFonts w:eastAsia="宋体" w:cstheme="minorHAnsi"/>
          <w:color w:val="FF0000"/>
          <w:sz w:val="24"/>
          <w:szCs w:val="28"/>
        </w:rPr>
      </w:pPr>
      <w:r w:rsidRPr="00C10DBA">
        <w:rPr>
          <w:rFonts w:eastAsia="宋体" w:cstheme="minorHAnsi"/>
          <w:color w:val="000000" w:themeColor="text1"/>
          <w:sz w:val="24"/>
          <w:szCs w:val="28"/>
        </w:rPr>
        <w:t>Tissue sections were treated with xylene for deparaffination followed by dehydration using a gradient alcohol. In a pressure cooker, tissue sections were mixed with an antigen retrieval solution, and the endogenous peroxidase was blocked using hydrogen peroxide. The tissue section was then incubated with the primary antibodies for NGF, NGFR, CD3, and CD8 at 37°C for 60 min followed by labeling with biotin-labeled goat anti-rabbit/mice IgG. After another incubation with horseradish enzyme-labeled streptavidin for 30 min, freshly prepared DAB solution was added to the tissue section. Next, hematoxylin staining was performed, followed by another round of xylene treatment and dehydration using gradient alcohol. A microscope was employed to visualize the expressions of NGF, NGFR, CD3, and CD8 in the tissues.</w:t>
      </w:r>
    </w:p>
    <w:p w14:paraId="7519E39F" w14:textId="31EF7A11" w:rsidR="00492CA5" w:rsidRPr="00C10DBA" w:rsidRDefault="00492CA5" w:rsidP="00492CA5">
      <w:pPr>
        <w:keepNext/>
        <w:keepLines/>
        <w:spacing w:after="260" w:line="360" w:lineRule="auto"/>
        <w:outlineLvl w:val="2"/>
        <w:rPr>
          <w:rFonts w:eastAsia="宋体" w:cstheme="minorHAnsi"/>
          <w:color w:val="000000" w:themeColor="text1"/>
          <w:sz w:val="24"/>
          <w:szCs w:val="28"/>
        </w:rPr>
      </w:pPr>
      <w:bookmarkStart w:id="4" w:name="_Hlk80818451"/>
      <w:r w:rsidRPr="00C10DBA">
        <w:rPr>
          <w:rFonts w:eastAsia="宋体" w:cstheme="minorHAnsi"/>
          <w:sz w:val="24"/>
          <w:szCs w:val="28"/>
        </w:rPr>
        <w:lastRenderedPageBreak/>
        <w:t>1.</w:t>
      </w:r>
      <w:r w:rsidR="00BE043F">
        <w:rPr>
          <w:rFonts w:eastAsia="宋体" w:cstheme="minorHAnsi"/>
          <w:sz w:val="24"/>
          <w:szCs w:val="28"/>
        </w:rPr>
        <w:t>8</w:t>
      </w:r>
      <w:r w:rsidRPr="00C10DBA">
        <w:rPr>
          <w:rFonts w:eastAsia="宋体" w:cstheme="minorHAnsi"/>
          <w:sz w:val="24"/>
          <w:szCs w:val="28"/>
        </w:rPr>
        <w:t xml:space="preserve">. </w:t>
      </w:r>
      <w:r w:rsidRPr="00C10DBA">
        <w:rPr>
          <w:rFonts w:eastAsia="宋体" w:cstheme="minorHAnsi"/>
          <w:color w:val="000000" w:themeColor="text1"/>
          <w:sz w:val="24"/>
          <w:szCs w:val="28"/>
        </w:rPr>
        <w:t>Immunoblot assay</w:t>
      </w:r>
    </w:p>
    <w:bookmarkEnd w:id="4"/>
    <w:p w14:paraId="7D3E4F75" w14:textId="77777777" w:rsidR="00492CA5" w:rsidRPr="00C10DBA" w:rsidRDefault="00492CA5" w:rsidP="00492CA5">
      <w:pPr>
        <w:spacing w:line="360" w:lineRule="auto"/>
        <w:ind w:firstLineChars="50" w:firstLine="120"/>
        <w:rPr>
          <w:rFonts w:cstheme="minorHAnsi"/>
          <w:color w:val="000000" w:themeColor="text1"/>
          <w:sz w:val="24"/>
          <w:szCs w:val="28"/>
        </w:rPr>
      </w:pPr>
      <w:r w:rsidRPr="00C10DBA">
        <w:rPr>
          <w:rFonts w:cstheme="minorHAnsi"/>
          <w:color w:val="000000" w:themeColor="text1"/>
          <w:sz w:val="24"/>
          <w:szCs w:val="28"/>
        </w:rPr>
        <w:t>The protein in the tissues or cell pellets was extracted using RIPA buffer and then quantified using the BCA Protein Quantitation Kit from Solarbio Life Sciences. After being separated on SDS-PAGE gels, the protein was transferred to PVDF membranes, which were then incubated with the primary antibody (NGF, NGFR, α-tubulin, PREX1, HDAC1, tubulin, and β-actin) for the individual antigen. Specific antigen-conjugated primary antibody was then recognized using the HRP-linked secondary antibody. Tanon imaging system was employed for detecting the target bands after incubation with the electrochemiluminescence solution for two mins.</w:t>
      </w:r>
    </w:p>
    <w:p w14:paraId="5A7B2FB7" w14:textId="3CE2F12A" w:rsidR="00492CA5" w:rsidRPr="00C10DBA" w:rsidRDefault="00492CA5" w:rsidP="00492CA5">
      <w:pPr>
        <w:keepNext/>
        <w:keepLines/>
        <w:spacing w:after="260" w:line="360" w:lineRule="auto"/>
        <w:outlineLvl w:val="2"/>
        <w:rPr>
          <w:rFonts w:eastAsia="宋体" w:cstheme="minorHAnsi"/>
          <w:color w:val="000000" w:themeColor="text1"/>
          <w:sz w:val="24"/>
          <w:szCs w:val="28"/>
        </w:rPr>
      </w:pPr>
      <w:r w:rsidRPr="00C10DBA">
        <w:rPr>
          <w:rFonts w:eastAsia="宋体" w:cstheme="minorHAnsi"/>
          <w:color w:val="000000" w:themeColor="text1"/>
          <w:sz w:val="24"/>
          <w:szCs w:val="28"/>
        </w:rPr>
        <w:t>1.</w:t>
      </w:r>
      <w:r w:rsidR="00BE043F">
        <w:rPr>
          <w:rFonts w:eastAsia="宋体" w:cstheme="minorHAnsi"/>
          <w:color w:val="000000" w:themeColor="text1"/>
          <w:sz w:val="24"/>
          <w:szCs w:val="28"/>
        </w:rPr>
        <w:t>9</w:t>
      </w:r>
      <w:r w:rsidRPr="00C10DBA">
        <w:rPr>
          <w:rFonts w:eastAsia="宋体" w:cstheme="minorHAnsi"/>
          <w:color w:val="000000" w:themeColor="text1"/>
          <w:sz w:val="24"/>
          <w:szCs w:val="28"/>
        </w:rPr>
        <w:t>. Separation of monomeric and polymeric tubulin</w:t>
      </w:r>
    </w:p>
    <w:p w14:paraId="42E27531" w14:textId="39F3622D" w:rsidR="00492CA5" w:rsidRPr="00C10DBA" w:rsidRDefault="00492CA5" w:rsidP="00492CA5">
      <w:pPr>
        <w:spacing w:line="360" w:lineRule="auto"/>
        <w:ind w:firstLineChars="50" w:firstLine="120"/>
        <w:rPr>
          <w:rFonts w:cstheme="minorHAnsi"/>
          <w:color w:val="000000" w:themeColor="text1"/>
          <w:sz w:val="24"/>
          <w:szCs w:val="28"/>
        </w:rPr>
      </w:pPr>
      <w:r w:rsidRPr="00C10DBA">
        <w:rPr>
          <w:rFonts w:cstheme="minorHAnsi"/>
          <w:color w:val="000000" w:themeColor="text1"/>
          <w:sz w:val="24"/>
          <w:szCs w:val="28"/>
        </w:rPr>
        <w:t xml:space="preserve">The monomeric tubulin in Jurkat T cells was extracted using the monomeric extraction buffer, as described by T.L. </w:t>
      </w:r>
      <w:r w:rsidRPr="00C10DBA">
        <w:rPr>
          <w:rFonts w:cstheme="minorHAnsi"/>
          <w:color w:val="000000" w:themeColor="text1"/>
          <w:sz w:val="24"/>
          <w:szCs w:val="28"/>
        </w:rPr>
        <w:fldChar w:fldCharType="begin">
          <w:fldData xml:space="preserve">PEVuZE5vdGU+PENpdGU+PEF1dGhvcj5MZWU8L0F1dGhvcj48WWVhcj4yMDE1PC9ZZWFyPjxSZWNO
dW0+MjgzPC9SZWNOdW0+PERpc3BsYXlUZXh0PlsxNV08L0Rpc3BsYXlUZXh0PjxyZWNvcmQ+PHJl
Yy1udW1iZXI+MjgzPC9yZWMtbnVtYmVyPjxmb3JlaWduLWtleXM+PGtleSBhcHA9IkVOIiBkYi1p
ZD0ieHhwOTV3dGF5Mnp4cnpldnR2ZXB6eHRsZGV4MHBwZnRzZGZ0IiB0aW1lc3RhbXA9IjE2NTU3
MDg4ODAiPjI4Mzwva2V5PjwvZm9yZWlnbi1rZXlzPjxyZWYtdHlwZSBuYW1lPSJKb3VybmFsIEFy
dGljbGUiPjE3PC9yZWYtdHlwZT48Y29udHJpYnV0b3JzPjxhdXRob3JzPjxhdXRob3I+TGVlLCBT
LiBULjwvYXV0aG9yPjxhdXRob3I+TGVlLCBKLiBZLjwvYXV0aG9yPjxhdXRob3I+SGFuLCBDLiBS
LjwvYXV0aG9yPjxhdXRob3I+S2ltLCBZLiBILjwvYXV0aG9yPjxhdXRob3I+SnVuIGRvLCBZLjwv
YXV0aG9yPjxhdXRob3I+VGF1YiwgRC48L2F1dGhvcj48YXV0aG9yPktpbSwgWS4gSC48L2F1dGhv
cj48L2F1dGhvcnM+PC9jb250cmlidXRvcnM+PGF1dGgtYWRkcmVzcz5MYWJvcmF0b3J5IG9mIElt
bXVub2Jpb2xvZ3ksIFNjaG9vbCBvZiBMaWZlIFNjaWVuY2UgYW5kIEJpb3RlY2hub2xvZ3ksIENv
bGxlZ2Ugb2YgTmF0dXJhbCBTY2llbmNlcywgS3l1bmdwb29rIE5hdGlvbmFsIFVuaXZlcnNpdHks
IERhZWd1IDcwMi03MDEsIFJlcHVibGljIG9mIEtvcmVhLiYjeEQ7TGFib3JhdG9yeSBvZiBJbW11
bm9iaW9sb2d5LCBTY2hvb2wgb2YgTGlmZSBTY2llbmNlIGFuZCBCaW90ZWNobm9sb2d5LCBDb2xs
ZWdlIG9mIE5hdHVyYWwgU2NpZW5jZXMsIEt5dW5ncG9vayBOYXRpb25hbCBVbml2ZXJzaXR5LCBE
YWVndSA3MDItNzAxLCBSZXB1YmxpYyBvZiBLb3JlYTsgRGFlZ3UgU2NpZW5jZSBIaWdoIFNjaG9v
bCwgRGFlZ3UgNzA2LTg1MiwgUmVwdWJsaWMgb2YgS29yZWEuJiN4RDtJbnN0aXR1dGUgb2YgTGlm
ZSBTY2llbmNlIGFuZCBCaW90ZWNobm9sb2d5LCBLeXVuZ3Bvb2sgTmF0aW9uYWwgVW5pdmVyc2l0
eSwgRGFlZ3UgNzAyLTcwMSwgUmVwdWJsaWMgb2YgS29yZWEuJiN4RDtDZW50ZXIgZm9yIFRyYW5z
bGF0aW9uYWwgU3R1ZGllcywgTWVkaWNhbCBTZXJ2aWNlcywgVmV0ZXJhbnMgQWRtaW5pc3RyYXRp
b24gTWVkaWNhbCBDZW50ZXIsIERlcGFydG1lbnQgb2YgVmV0ZXJhbiBBZmZhaXJzLCBXYXNoaW5n
dG9uLCBEQyAyMDQyMiwgVVNBLiYjeEQ7TGFib3JhdG9yeSBvZiBJbW11bm9iaW9sb2d5LCBTY2hv
b2wgb2YgTGlmZSBTY2llbmNlIGFuZCBCaW90ZWNobm9sb2d5LCBDb2xsZWdlIG9mIE5hdHVyYWwg
U2NpZW5jZXMsIEt5dW5ncG9vayBOYXRpb25hbCBVbml2ZXJzaXR5LCBEYWVndSA3MDItNzAxLCBS
ZXB1YmxpYyBvZiBLb3JlYS4gRWxlY3Ryb25pYyBhZGRyZXNzOiB5a2ltQGtudS5hYy5rci48L2F1
dGgtYWRkcmVzcz48dGl0bGVzPjx0aXRsZT5EZXBlbmRlbmN5IG9mIDItbWV0aG94eWVzdHJhZGlv
bC1pbmR1Y2VkIG1pdG9jaG9uZHJpYWwgYXBvcHRvc2lzIG9uIG1pdG90aWMgc3BpbmRsZSBuZXR3
b3JrIGltcGFpcm1lbnQgYW5kIHByb21ldGFwaGFzZSBhcnJlc3QgaW4gaHVtYW4gSnVya2F0IFQg
Y2VsbHM8L3RpdGxlPjxzZWNvbmRhcnktdGl0bGU+QmlvY2hlbSBQaGFybWFjb2w8L3NlY29uZGFy
eS10aXRsZT48YWx0LXRpdGxlPkJpb2NoZW1pY2FsIHBoYXJtYWNvbG9neTwvYWx0LXRpdGxlPjwv
dGl0bGVzPjxwZXJpb2RpY2FsPjxmdWxsLXRpdGxlPkJpb2NoZW0gUGhhcm1hY29sPC9mdWxsLXRp
dGxlPjxhYmJyLTE+QmlvY2hlbWljYWwgcGhhcm1hY29sb2d5PC9hYmJyLTE+PC9wZXJpb2RpY2Fs
PjxhbHQtcGVyaW9kaWNhbD48ZnVsbC10aXRsZT5CaW9jaGVtIFBoYXJtYWNvbDwvZnVsbC10aXRs
ZT48YWJici0xPkJpb2NoZW1pY2FsIHBoYXJtYWNvbG9neTwvYWJici0xPjwvYWx0LXBlcmlvZGlj
YWw+PHBhZ2VzPjI1Ny02OTwvcGFnZXM+PHZvbHVtZT45NDwvdm9sdW1lPjxudW1iZXI+NDwvbnVt
YmVyPjxlZGl0aW9uPjIwMTUvMDMvMDQ8L2VkaXRpb24+PGtleXdvcmRzPjxrZXl3b3JkPjItTWV0
aG94eWVzdHJhZGlvbDwva2V5d29yZD48a2V5d29yZD5BbnRpbmVvcGxhc3RpYyBBZ2VudHMvKnBo
YXJtYWNvbG9neTwva2V5d29yZD48a2V5d29yZD5BcG9wdG9zaXMvKmRydWcgZWZmZWN0czwva2V5
d29yZD48a2V5d29yZD5DYXNwYXNlIDMvbWV0YWJvbGlzbTwva2V5d29yZD48a2V5d29yZD5Fbnp5
bWUgQWN0aXZhdGlvbjwva2V5d29yZD48a2V5d29yZD5Fc3RyYWRpb2wvKmFuYWxvZ3MgJmFtcDsg
ZGVyaXZhdGl2ZXMvcGhhcm1hY29sb2d5PC9rZXl3b3JkPjxrZXl3b3JkPkcxIFBoYXNlIENlbGwg
Q3ljbGUgQ2hlY2twb2ludHMvZHJ1ZyBlZmZlY3RzPC9rZXl3b3JkPjxrZXl3b3JkPkcyIFBoYXNl
IENlbGwgQ3ljbGUgQ2hlY2twb2ludHMvZHJ1ZyBlZmZlY3RzPC9rZXl3b3JkPjxrZXl3b3JkPkh1
bWFuczwva2V5d29yZD48a2V5d29yZD5KdXJrYXQgQ2VsbHM8L2tleXdvcmQ+PGtleXdvcmQ+TWlj
cm90dWJ1bGVzL2RydWcgZWZmZWN0cy9tZXRhYm9saXNtPC9rZXl3b3JkPjxrZXl3b3JkPk1pdG9j
aG9uZHJpYS8qZHJ1ZyBlZmZlY3RzL3BoeXNpb2xvZ3k8L2tleXdvcmQ+PGtleXdvcmQ+TWl0b3Np
czwva2V5d29yZD48a2V5d29yZD5QaG9zcGhvcnlsYXRpb248L2tleXdvcmQ+PGtleXdvcmQ+UHJv
bWV0YXBoYXNlLypkcnVnIGVmZmVjdHM8L2tleXdvcmQ+PGtleXdvcmQ+UHJvdG8tT25jb2dlbmUg
UHJvdGVpbnMgYy1iY2wtMi9nZW5ldGljcy9tZXRhYm9saXNtPC9rZXl3b3JkPjxrZXl3b3JkPlNw
aW5kbGUgQXBwYXJhdHVzLypkcnVnIGVmZmVjdHMvcGh5c2lvbG9neTwva2V5d29yZD48a2V5d29y
ZD5DZGsxIGFjdGl2YXRpb248L2tleXdvcmQ+PGtleXdvcmQ+TWl0b2Nob25kcmlhbCBhcG9wdG9z
aXM8L2tleXdvcmQ+PGtleXdvcmQ+TWl0b3RpYyBzcGluZGxlIGRhbWFnZTwva2V5d29yZD48a2V5
d29yZD5QaG9zcGhvcnlsYXRpb24gb2YgQmNsLTIgZmFtaWx5IHByb3RlaW5zPC9rZXl3b3JkPjxr
ZXl3b3JkPlByb21ldGFwaGFzZSBhcnJlc3Q8L2tleXdvcmQ+PC9rZXl3b3Jkcz48ZGF0ZXM+PHll
YXI+MjAxNTwveWVhcj48cHViLWRhdGVzPjxkYXRlPkFwciAxNTwvZGF0ZT48L3B1Yi1kYXRlcz48
L2RhdGVzPjxpc2JuPjAwMDYtMjk1MjwvaXNibj48YWNjZXNzaW9uLW51bT4yNTczMjE5NDwvYWNj
ZXNzaW9uLW51bT48dXJscz48L3VybHM+PGVsZWN0cm9uaWMtcmVzb3VyY2UtbnVtPjEwLjEwMTYv
ai5iY3AuMjAxNS4wMi4wMTE8L2VsZWN0cm9uaWMtcmVzb3VyY2UtbnVtPjxyZW1vdGUtZGF0YWJh
c2UtcHJvdmlkZXI+TkxNPC9yZW1vdGUtZGF0YWJhc2UtcHJvdmlkZXI+PGxhbmd1YWdlPmVuZzwv
bGFuZ3VhZ2U+PC9yZWNvcmQ+PC9DaXRlPjwvRW5kTm90ZT5=
</w:fldData>
        </w:fldChar>
      </w:r>
      <w:r w:rsidRPr="00C10DBA">
        <w:rPr>
          <w:rFonts w:cstheme="minorHAnsi"/>
          <w:color w:val="000000" w:themeColor="text1"/>
          <w:sz w:val="24"/>
          <w:szCs w:val="28"/>
        </w:rPr>
        <w:instrText xml:space="preserve"> ADDIN EN.CITE </w:instrText>
      </w:r>
      <w:r w:rsidRPr="00C10DBA">
        <w:rPr>
          <w:rFonts w:cstheme="minorHAnsi"/>
          <w:color w:val="000000" w:themeColor="text1"/>
          <w:sz w:val="24"/>
          <w:szCs w:val="28"/>
        </w:rPr>
        <w:fldChar w:fldCharType="begin">
          <w:fldData xml:space="preserve">PEVuZE5vdGU+PENpdGU+PEF1dGhvcj5MZWU8L0F1dGhvcj48WWVhcj4yMDE1PC9ZZWFyPjxSZWNO
dW0+MjgzPC9SZWNOdW0+PERpc3BsYXlUZXh0PlsxNV08L0Rpc3BsYXlUZXh0PjxyZWNvcmQ+PHJl
Yy1udW1iZXI+MjgzPC9yZWMtbnVtYmVyPjxmb3JlaWduLWtleXM+PGtleSBhcHA9IkVOIiBkYi1p
ZD0ieHhwOTV3dGF5Mnp4cnpldnR2ZXB6eHRsZGV4MHBwZnRzZGZ0IiB0aW1lc3RhbXA9IjE2NTU3
MDg4ODAiPjI4Mzwva2V5PjwvZm9yZWlnbi1rZXlzPjxyZWYtdHlwZSBuYW1lPSJKb3VybmFsIEFy
dGljbGUiPjE3PC9yZWYtdHlwZT48Y29udHJpYnV0b3JzPjxhdXRob3JzPjxhdXRob3I+TGVlLCBT
LiBULjwvYXV0aG9yPjxhdXRob3I+TGVlLCBKLiBZLjwvYXV0aG9yPjxhdXRob3I+SGFuLCBDLiBS
LjwvYXV0aG9yPjxhdXRob3I+S2ltLCBZLiBILjwvYXV0aG9yPjxhdXRob3I+SnVuIGRvLCBZLjwv
YXV0aG9yPjxhdXRob3I+VGF1YiwgRC48L2F1dGhvcj48YXV0aG9yPktpbSwgWS4gSC48L2F1dGhv
cj48L2F1dGhvcnM+PC9jb250cmlidXRvcnM+PGF1dGgtYWRkcmVzcz5MYWJvcmF0b3J5IG9mIElt
bXVub2Jpb2xvZ3ksIFNjaG9vbCBvZiBMaWZlIFNjaWVuY2UgYW5kIEJpb3RlY2hub2xvZ3ksIENv
bGxlZ2Ugb2YgTmF0dXJhbCBTY2llbmNlcywgS3l1bmdwb29rIE5hdGlvbmFsIFVuaXZlcnNpdHks
IERhZWd1IDcwMi03MDEsIFJlcHVibGljIG9mIEtvcmVhLiYjeEQ7TGFib3JhdG9yeSBvZiBJbW11
bm9iaW9sb2d5LCBTY2hvb2wgb2YgTGlmZSBTY2llbmNlIGFuZCBCaW90ZWNobm9sb2d5LCBDb2xs
ZWdlIG9mIE5hdHVyYWwgU2NpZW5jZXMsIEt5dW5ncG9vayBOYXRpb25hbCBVbml2ZXJzaXR5LCBE
YWVndSA3MDItNzAxLCBSZXB1YmxpYyBvZiBLb3JlYTsgRGFlZ3UgU2NpZW5jZSBIaWdoIFNjaG9v
bCwgRGFlZ3UgNzA2LTg1MiwgUmVwdWJsaWMgb2YgS29yZWEuJiN4RDtJbnN0aXR1dGUgb2YgTGlm
ZSBTY2llbmNlIGFuZCBCaW90ZWNobm9sb2d5LCBLeXVuZ3Bvb2sgTmF0aW9uYWwgVW5pdmVyc2l0
eSwgRGFlZ3UgNzAyLTcwMSwgUmVwdWJsaWMgb2YgS29yZWEuJiN4RDtDZW50ZXIgZm9yIFRyYW5z
bGF0aW9uYWwgU3R1ZGllcywgTWVkaWNhbCBTZXJ2aWNlcywgVmV0ZXJhbnMgQWRtaW5pc3RyYXRp
b24gTWVkaWNhbCBDZW50ZXIsIERlcGFydG1lbnQgb2YgVmV0ZXJhbiBBZmZhaXJzLCBXYXNoaW5n
dG9uLCBEQyAyMDQyMiwgVVNBLiYjeEQ7TGFib3JhdG9yeSBvZiBJbW11bm9iaW9sb2d5LCBTY2hv
b2wgb2YgTGlmZSBTY2llbmNlIGFuZCBCaW90ZWNobm9sb2d5LCBDb2xsZWdlIG9mIE5hdHVyYWwg
U2NpZW5jZXMsIEt5dW5ncG9vayBOYXRpb25hbCBVbml2ZXJzaXR5LCBEYWVndSA3MDItNzAxLCBS
ZXB1YmxpYyBvZiBLb3JlYS4gRWxlY3Ryb25pYyBhZGRyZXNzOiB5a2ltQGtudS5hYy5rci48L2F1
dGgtYWRkcmVzcz48dGl0bGVzPjx0aXRsZT5EZXBlbmRlbmN5IG9mIDItbWV0aG94eWVzdHJhZGlv
bC1pbmR1Y2VkIG1pdG9jaG9uZHJpYWwgYXBvcHRvc2lzIG9uIG1pdG90aWMgc3BpbmRsZSBuZXR3
b3JrIGltcGFpcm1lbnQgYW5kIHByb21ldGFwaGFzZSBhcnJlc3QgaW4gaHVtYW4gSnVya2F0IFQg
Y2VsbHM8L3RpdGxlPjxzZWNvbmRhcnktdGl0bGU+QmlvY2hlbSBQaGFybWFjb2w8L3NlY29uZGFy
eS10aXRsZT48YWx0LXRpdGxlPkJpb2NoZW1pY2FsIHBoYXJtYWNvbG9neTwvYWx0LXRpdGxlPjwv
dGl0bGVzPjxwZXJpb2RpY2FsPjxmdWxsLXRpdGxlPkJpb2NoZW0gUGhhcm1hY29sPC9mdWxsLXRp
dGxlPjxhYmJyLTE+QmlvY2hlbWljYWwgcGhhcm1hY29sb2d5PC9hYmJyLTE+PC9wZXJpb2RpY2Fs
PjxhbHQtcGVyaW9kaWNhbD48ZnVsbC10aXRsZT5CaW9jaGVtIFBoYXJtYWNvbDwvZnVsbC10aXRs
ZT48YWJici0xPkJpb2NoZW1pY2FsIHBoYXJtYWNvbG9neTwvYWJici0xPjwvYWx0LXBlcmlvZGlj
YWw+PHBhZ2VzPjI1Ny02OTwvcGFnZXM+PHZvbHVtZT45NDwvdm9sdW1lPjxudW1iZXI+NDwvbnVt
YmVyPjxlZGl0aW9uPjIwMTUvMDMvMDQ8L2VkaXRpb24+PGtleXdvcmRzPjxrZXl3b3JkPjItTWV0
aG94eWVzdHJhZGlvbDwva2V5d29yZD48a2V5d29yZD5BbnRpbmVvcGxhc3RpYyBBZ2VudHMvKnBo
YXJtYWNvbG9neTwva2V5d29yZD48a2V5d29yZD5BcG9wdG9zaXMvKmRydWcgZWZmZWN0czwva2V5
d29yZD48a2V5d29yZD5DYXNwYXNlIDMvbWV0YWJvbGlzbTwva2V5d29yZD48a2V5d29yZD5Fbnp5
bWUgQWN0aXZhdGlvbjwva2V5d29yZD48a2V5d29yZD5Fc3RyYWRpb2wvKmFuYWxvZ3MgJmFtcDsg
ZGVyaXZhdGl2ZXMvcGhhcm1hY29sb2d5PC9rZXl3b3JkPjxrZXl3b3JkPkcxIFBoYXNlIENlbGwg
Q3ljbGUgQ2hlY2twb2ludHMvZHJ1ZyBlZmZlY3RzPC9rZXl3b3JkPjxrZXl3b3JkPkcyIFBoYXNl
IENlbGwgQ3ljbGUgQ2hlY2twb2ludHMvZHJ1ZyBlZmZlY3RzPC9rZXl3b3JkPjxrZXl3b3JkPkh1
bWFuczwva2V5d29yZD48a2V5d29yZD5KdXJrYXQgQ2VsbHM8L2tleXdvcmQ+PGtleXdvcmQ+TWlj
cm90dWJ1bGVzL2RydWcgZWZmZWN0cy9tZXRhYm9saXNtPC9rZXl3b3JkPjxrZXl3b3JkPk1pdG9j
aG9uZHJpYS8qZHJ1ZyBlZmZlY3RzL3BoeXNpb2xvZ3k8L2tleXdvcmQ+PGtleXdvcmQ+TWl0b3Np
czwva2V5d29yZD48a2V5d29yZD5QaG9zcGhvcnlsYXRpb248L2tleXdvcmQ+PGtleXdvcmQ+UHJv
bWV0YXBoYXNlLypkcnVnIGVmZmVjdHM8L2tleXdvcmQ+PGtleXdvcmQ+UHJvdG8tT25jb2dlbmUg
UHJvdGVpbnMgYy1iY2wtMi9nZW5ldGljcy9tZXRhYm9saXNtPC9rZXl3b3JkPjxrZXl3b3JkPlNw
aW5kbGUgQXBwYXJhdHVzLypkcnVnIGVmZmVjdHMvcGh5c2lvbG9neTwva2V5d29yZD48a2V5d29y
ZD5DZGsxIGFjdGl2YXRpb248L2tleXdvcmQ+PGtleXdvcmQ+TWl0b2Nob25kcmlhbCBhcG9wdG9z
aXM8L2tleXdvcmQ+PGtleXdvcmQ+TWl0b3RpYyBzcGluZGxlIGRhbWFnZTwva2V5d29yZD48a2V5
d29yZD5QaG9zcGhvcnlsYXRpb24gb2YgQmNsLTIgZmFtaWx5IHByb3RlaW5zPC9rZXl3b3JkPjxr
ZXl3b3JkPlByb21ldGFwaGFzZSBhcnJlc3Q8L2tleXdvcmQ+PC9rZXl3b3Jkcz48ZGF0ZXM+PHll
YXI+MjAxNTwveWVhcj48cHViLWRhdGVzPjxkYXRlPkFwciAxNTwvZGF0ZT48L3B1Yi1kYXRlcz48
L2RhdGVzPjxpc2JuPjAwMDYtMjk1MjwvaXNibj48YWNjZXNzaW9uLW51bT4yNTczMjE5NDwvYWNj
ZXNzaW9uLW51bT48dXJscz48L3VybHM+PGVsZWN0cm9uaWMtcmVzb3VyY2UtbnVtPjEwLjEwMTYv
ai5iY3AuMjAxNS4wMi4wMTE8L2VsZWN0cm9uaWMtcmVzb3VyY2UtbnVtPjxyZW1vdGUtZGF0YWJh
c2UtcHJvdmlkZXI+TkxNPC9yZW1vdGUtZGF0YWJhc2UtcHJvdmlkZXI+PGxhbmd1YWdlPmVuZzwv
bGFuZ3VhZ2U+PC9yZWNvcmQ+PC9DaXRlPjwvRW5kTm90ZT5=
</w:fldData>
        </w:fldChar>
      </w:r>
      <w:r w:rsidRPr="00C10DBA">
        <w:rPr>
          <w:rFonts w:cstheme="minorHAnsi"/>
          <w:color w:val="000000" w:themeColor="text1"/>
          <w:sz w:val="24"/>
          <w:szCs w:val="28"/>
        </w:rPr>
        <w:instrText xml:space="preserve"> ADDIN EN.CITE.DATA </w:instrText>
      </w:r>
      <w:r w:rsidRPr="00C10DBA">
        <w:rPr>
          <w:rFonts w:cstheme="minorHAnsi"/>
          <w:color w:val="000000" w:themeColor="text1"/>
          <w:sz w:val="24"/>
          <w:szCs w:val="28"/>
        </w:rPr>
      </w:r>
      <w:r w:rsidRPr="00C10DBA">
        <w:rPr>
          <w:rFonts w:cstheme="minorHAnsi"/>
          <w:color w:val="000000" w:themeColor="text1"/>
          <w:sz w:val="24"/>
          <w:szCs w:val="28"/>
        </w:rPr>
        <w:fldChar w:fldCharType="end"/>
      </w:r>
      <w:r w:rsidRPr="00C10DBA">
        <w:rPr>
          <w:rFonts w:cstheme="minorHAnsi"/>
          <w:color w:val="000000" w:themeColor="text1"/>
          <w:sz w:val="24"/>
          <w:szCs w:val="28"/>
        </w:rPr>
      </w:r>
      <w:r w:rsidRPr="00C10DBA">
        <w:rPr>
          <w:rFonts w:cstheme="minorHAnsi"/>
          <w:color w:val="000000" w:themeColor="text1"/>
          <w:sz w:val="24"/>
          <w:szCs w:val="28"/>
        </w:rPr>
        <w:fldChar w:fldCharType="separate"/>
      </w:r>
      <w:r w:rsidRPr="00C10DBA">
        <w:rPr>
          <w:rFonts w:cstheme="minorHAnsi"/>
          <w:noProof/>
          <w:color w:val="000000" w:themeColor="text1"/>
          <w:sz w:val="24"/>
          <w:szCs w:val="28"/>
        </w:rPr>
        <w:t>[</w:t>
      </w:r>
      <w:r w:rsidR="007456AF">
        <w:rPr>
          <w:rFonts w:cstheme="minorHAnsi"/>
          <w:noProof/>
          <w:color w:val="000000" w:themeColor="text1"/>
          <w:sz w:val="24"/>
          <w:szCs w:val="28"/>
        </w:rPr>
        <w:t>1</w:t>
      </w:r>
      <w:r w:rsidRPr="00C10DBA">
        <w:rPr>
          <w:rFonts w:cstheme="minorHAnsi"/>
          <w:noProof/>
          <w:color w:val="000000" w:themeColor="text1"/>
          <w:sz w:val="24"/>
          <w:szCs w:val="28"/>
        </w:rPr>
        <w:t>]</w:t>
      </w:r>
      <w:r w:rsidRPr="00C10DBA">
        <w:rPr>
          <w:rFonts w:cstheme="minorHAnsi"/>
          <w:color w:val="000000" w:themeColor="text1"/>
          <w:sz w:val="24"/>
          <w:szCs w:val="28"/>
        </w:rPr>
        <w:fldChar w:fldCharType="end"/>
      </w:r>
      <w:r w:rsidRPr="00C10DBA">
        <w:rPr>
          <w:rFonts w:cstheme="minorHAnsi"/>
          <w:color w:val="000000" w:themeColor="text1"/>
          <w:sz w:val="24"/>
          <w:szCs w:val="28"/>
        </w:rPr>
        <w:t>. The monomeric fraction of tubulin in the NP-40 solution was collected after 10 min of centrifugation at 13, 000g. Subsequently, the polymeric fraction of tubulin in the insoluble pellet was resuspended in RIPA buffer, followed by 15 min of centrifugation at 13,000 g. After boiling in the SDS loading buffer for 5 minutes, an equivalent amount of total protein was separated on a 12% SDS-PAGE gel</w:t>
      </w:r>
      <w:bookmarkStart w:id="5" w:name="_Hlk106095918"/>
      <w:r w:rsidRPr="00C10DBA">
        <w:rPr>
          <w:rFonts w:cstheme="minorHAnsi"/>
          <w:color w:val="000000" w:themeColor="text1"/>
          <w:sz w:val="24"/>
          <w:szCs w:val="28"/>
        </w:rPr>
        <w:t>.</w:t>
      </w:r>
      <w:bookmarkEnd w:id="5"/>
    </w:p>
    <w:p w14:paraId="04B6C05B" w14:textId="5912A69A" w:rsidR="00492CA5" w:rsidRPr="00C10DBA" w:rsidRDefault="00492CA5" w:rsidP="00492CA5">
      <w:pPr>
        <w:keepNext/>
        <w:keepLines/>
        <w:spacing w:after="260" w:line="360" w:lineRule="auto"/>
        <w:outlineLvl w:val="2"/>
        <w:rPr>
          <w:rFonts w:eastAsia="宋体" w:cstheme="minorHAnsi"/>
          <w:color w:val="000000" w:themeColor="text1"/>
          <w:sz w:val="24"/>
          <w:szCs w:val="28"/>
        </w:rPr>
      </w:pPr>
      <w:r w:rsidRPr="00C10DBA">
        <w:rPr>
          <w:rFonts w:eastAsia="宋体" w:cstheme="minorHAnsi"/>
          <w:sz w:val="24"/>
          <w:szCs w:val="28"/>
        </w:rPr>
        <w:t>1.</w:t>
      </w:r>
      <w:r w:rsidR="00BE043F">
        <w:rPr>
          <w:rFonts w:eastAsia="宋体" w:cstheme="minorHAnsi"/>
          <w:sz w:val="24"/>
          <w:szCs w:val="28"/>
        </w:rPr>
        <w:t>10</w:t>
      </w:r>
      <w:r w:rsidRPr="00C10DBA">
        <w:rPr>
          <w:rFonts w:eastAsia="宋体" w:cstheme="minorHAnsi"/>
          <w:sz w:val="24"/>
          <w:szCs w:val="28"/>
        </w:rPr>
        <w:t xml:space="preserve">. </w:t>
      </w:r>
      <w:r w:rsidRPr="00C10DBA">
        <w:rPr>
          <w:rFonts w:eastAsia="宋体" w:cstheme="minorHAnsi"/>
          <w:color w:val="000000" w:themeColor="text1"/>
          <w:sz w:val="24"/>
          <w:szCs w:val="28"/>
        </w:rPr>
        <w:t>Nuclear extraction</w:t>
      </w:r>
    </w:p>
    <w:p w14:paraId="71FE1795" w14:textId="23E71322" w:rsidR="00492CA5" w:rsidRPr="00C10DBA" w:rsidRDefault="00492CA5" w:rsidP="00492CA5">
      <w:pPr>
        <w:spacing w:line="360" w:lineRule="auto"/>
        <w:ind w:firstLineChars="50" w:firstLine="120"/>
        <w:rPr>
          <w:rFonts w:cstheme="minorHAnsi"/>
          <w:color w:val="FF0000"/>
          <w:sz w:val="24"/>
          <w:szCs w:val="28"/>
        </w:rPr>
      </w:pPr>
      <w:r w:rsidRPr="00C10DBA">
        <w:rPr>
          <w:rFonts w:cstheme="minorHAnsi"/>
          <w:color w:val="000000" w:themeColor="text1"/>
          <w:sz w:val="24"/>
          <w:szCs w:val="28"/>
        </w:rPr>
        <w:t xml:space="preserve">The unclear fraction of Jurkat T cells was separated as described in previous report </w:t>
      </w:r>
      <w:r w:rsidRPr="00C10DBA">
        <w:rPr>
          <w:rFonts w:cstheme="minorHAnsi"/>
          <w:color w:val="000000" w:themeColor="text1"/>
          <w:sz w:val="24"/>
          <w:szCs w:val="28"/>
        </w:rPr>
        <w:fldChar w:fldCharType="begin">
          <w:fldData xml:space="preserve">PEVuZE5vdGU+PENpdGU+PEF1dGhvcj5HYW88L0F1dGhvcj48WWVhcj4yMDIyPC9ZZWFyPjxSZWNO
dW0+Mjg0PC9SZWNOdW0+PERpc3BsYXlUZXh0Pls1XTwvRGlzcGxheVRleHQ+PHJlY29yZD48cmVj
LW51bWJlcj4yODQ8L3JlYy1udW1iZXI+PGZvcmVpZ24ta2V5cz48a2V5IGFwcD0iRU4iIGRiLWlk
PSJ4eHA5NXd0YXkyenhyemV2dHZlcHp4dGxkZXgwcHBmdHNkZnQiIHRpbWVzdGFtcD0iMTY1NTcw
ODkxOSI+Mjg0PC9rZXk+PC9mb3JlaWduLWtleXM+PHJlZi10eXBlIG5hbWU9IkpvdXJuYWwgQXJ0
aWNsZSI+MTc8L3JlZi10eXBlPjxjb250cmlidXRvcnM+PGF1dGhvcnM+PGF1dGhvcj5HYW8sIFku
PC9hdXRob3I+PGF1dGhvcj5YdSwgUS48L2F1dGhvcj48YXV0aG9yPkxpLCBYLjwvYXV0aG9yPjxh
dXRob3I+R3VvLCBZLjwvYXV0aG9yPjxhdXRob3I+WmhhbmcsIEIuPC9hdXRob3I+PGF1dGhvcj5K
aW4sIFkuPC9hdXRob3I+PGF1dGhvcj5aaHUsIEMuPC9hdXRob3I+PGF1dGhvcj5TaGVuLCBZLjwv
YXV0aG9yPjxhdXRob3I+WWFuZywgUC48L2F1dGhvcj48YXV0aG9yPlNoaSwgWS48L2F1dGhvcj48
YXV0aG9yPkppbiwgUi48L2F1dGhvcj48YXV0aG9yPkxpdSwgRC48L2F1dGhvcj48YXV0aG9yPk91
eWFuZywgWS48L2F1dGhvcj48YXV0aG9yPkxpdSwgWC48L2F1dGhvcj48YXV0aG9yPldhbmcsIFcu
PC9hdXRob3I+PGF1dGhvcj5DaGVuLCBELjwvYXV0aG9yPjxhdXRob3I+WWFuZywgVC48L2F1dGhv
cj48L2F1dGhvcnM+PC9jb250cmlidXRvcnM+PGF1dGgtYWRkcmVzcz5CZWlqaW5nIEluc3RpdHV0
ZSBvZiBIZXBhdG9sb2d5LCBDYXBpdGFsIE1lZGljYWwgVW5pdmVyc2l0eSwgQmVpamluZywgMTAw
MDY5LCBDaGluYS4mI3hEO09yZ2FuIFRyYW5zcGxhbnRhdGlvbiBDZW50ZXIsIFRoZSBBZmZpbGlh
dGVkIEhvc3BpdGFsIG9mIFFpbmdkYW8gVW5pdmVyc2l0eSwgUWluZ2RhbyBDaXR5LCAyNjYwMDMs
IENoaW5hLiYjeEQ7RGVwYXJ0bWVudCBvZiBQYXRob2xvZ3ksIElubmVyIE1vbmdvbGlhIEJhb2dh
bmcgSG9zcGl0YWwsIEJhb3RvdSwgMDE0MDEwLCBDaGluYS4mI3hEO1NjaG9vbCBvZiBDaGVtaWNh
bCwgQmlvbG9naWNhbCBhbmQgRW52aXJvbm1lbnRhbCBFbmdpbmVlcmluZywgQ2FybmVnaWUgTWVs
bG9uIFVuaXZlcnNpdHksIENvcnZhbGxpcywgUEEsIDk3MzMxLCBVU0EuJiN4RDtEZXBhcnRtZW50
IG9mIENsaW5pY2FsIExhYm9yYXRvcnksIEhhaWRpYW4gTWF0ZXJuYWwmYW1wO0NoaWxkIEhlYWx0
aCBIb3NwaXRhbCwgQmVpamluZywgMTAwMDgwLCBDaGluYS4mI3hEO0JlaWppbmcgSW5zdGl0dXRl
IG9mIEhlcGF0b2xvZ3ksIENhcGl0YWwgTWVkaWNhbCBVbml2ZXJzaXR5LCBCZWlqaW5nLCAxMDAw
NjksIENoaW5hLiAxMjAzNjIwNjc3QHFxLmNvbS4mI3hEO09yZ2FuIFRyYW5zcGxhbnRhdGlvbiBD
ZW50ZXIsIFRoZSBBZmZpbGlhdGVkIEhvc3BpdGFsIG9mIFFpbmdkYW8gVW5pdmVyc2l0eSwgUWlu
Z2RhbyBDaXR5LCAyNjYwMDMsIENoaW5hLiAxMjAzNjIwNjc3QHFxLmNvbS48L2F1dGgtYWRkcmVz
cz48dGl0bGVzPjx0aXRsZT5IZXRlcm9nZW5laXR5IGluZHVjZWQgR1pNQS1GMlIgY29tbXVuaWNh
dGlvbiBpbmVmZmljaWVudCBpbXBhaXJzIGFudGl0dW1vciBpbW11bm90aGVyYXB5IG9mIFBELTEg
bUFiIHRocm91Z2ggSkFLMi9TVEFUMSBzaWduYWwgc3VwcHJlc3Npb24gaW4gaGVwYXRvY2VsbHVs
YXIgY2FyY2lub21hPC90aXRsZT48c2Vjb25kYXJ5LXRpdGxlPkNlbGwgRGVhdGggRGlzPC9zZWNv
bmRhcnktdGl0bGU+PGFsdC10aXRsZT5DZWxsIGRlYXRoICZhbXA7IGRpc2Vhc2U8L2FsdC10aXRs
ZT48L3RpdGxlcz48cGVyaW9kaWNhbD48ZnVsbC10aXRsZT5DZWxsIERlYXRoIERpczwvZnVsbC10
aXRsZT48YWJici0xPkNlbGwgZGVhdGggJmFtcDsgZGlzZWFzZTwvYWJici0xPjwvcGVyaW9kaWNh
bD48YWx0LXBlcmlvZGljYWw+PGZ1bGwtdGl0bGU+Q2VsbCBEZWF0aCBEaXM8L2Z1bGwtdGl0bGU+
PGFiYnItMT5DZWxsIGRlYXRoICZhbXA7IGRpc2Vhc2U8L2FiYnItMT48L2FsdC1wZXJpb2RpY2Fs
PjxwYWdlcz4yMTM8L3BhZ2VzPjx2b2x1bWU+MTM8L3ZvbHVtZT48bnVtYmVyPjM8L251bWJlcj48
ZWRpdGlvbj4yMDIyLzAzLzA5PC9lZGl0aW9uPjxrZXl3b3Jkcz48a2V5d29yZD5BbmltYWxzPC9r
ZXl3b3JkPjxrZXl3b3JkPkI3LUgxIEFudGlnZW4vbWV0YWJvbGlzbTwva2V5d29yZD48a2V5d29y
ZD4qQ2FyY2lub21hLCBIZXBhdG9jZWxsdWxhci9tZXRhYm9saXNtPC9rZXl3b3JkPjxrZXl3b3Jk
PkNlbGwgTGluZSwgVHVtb3I8L2tleXdvcmQ+PGtleXdvcmQ+R3Jhbnp5bWVzL21ldGFib2xpc208
L2tleXdvcmQ+PGtleXdvcmQ+SHVtYW5zPC9rZXl3b3JkPjxrZXl3b3JkPkltbXVub3RoZXJhcHk8
L2tleXdvcmQ+PGtleXdvcmQ+SmFudXMgS2luYXNlIDIvbWV0YWJvbGlzbTwva2V5d29yZD48a2V5
d29yZD4qTGl2ZXIgTmVvcGxhc21zL21ldGFib2xpc208L2tleXdvcmQ+PGtleXdvcmQ+TWljZTwv
a2V5d29yZD48a2V5d29yZD5Qcm9ncmFtbWVkIENlbGwgRGVhdGggMSBSZWNlcHRvci9tZXRhYm9s
aXNtPC9rZXl3b3JkPjxrZXl3b3JkPlNUQVQxIFRyYW5zY3JpcHRpb24gRmFjdG9yL21ldGFib2xp
c208L2tleXdvcmQ+PGtleXdvcmQ+VC1MeW1waG9jeXRlcy9tZXRhYm9saXNtPC9rZXl3b3JkPjwv
a2V5d29yZHM+PGRhdGVzPjx5ZWFyPjIwMjI8L3llYXI+PHB1Yi1kYXRlcz48ZGF0ZT5NYXIgNzwv
ZGF0ZT48L3B1Yi1kYXRlcz48L2RhdGVzPjxhY2Nlc3Npb24tbnVtPjM1MjU2NTg5PC9hY2Nlc3Np
b24tbnVtPjx1cmxzPjwvdXJscz48Y3VzdG9tMj5QTUM4OTAxOTEyPC9jdXN0b20yPjxlbGVjdHJv
bmljLXJlc291cmNlLW51bT4xMC4xMDM4L3M0MTQxOS0wMjItMDQ2NTQtNzwvZWxlY3Ryb25pYy1y
ZXNvdXJjZS1udW0+PHJlbW90ZS1kYXRhYmFzZS1wcm92aWRlcj5OTE08L3JlbW90ZS1kYXRhYmFz
ZS1wcm92aWRlcj48bGFuZ3VhZ2U+ZW5nPC9sYW5ndWFnZT48L3JlY29yZD48L0NpdGU+PC9FbmRO
b3RlPgB=
</w:fldData>
        </w:fldChar>
      </w:r>
      <w:r w:rsidRPr="00C10DBA">
        <w:rPr>
          <w:rFonts w:cstheme="minorHAnsi"/>
          <w:color w:val="000000" w:themeColor="text1"/>
          <w:sz w:val="24"/>
          <w:szCs w:val="28"/>
        </w:rPr>
        <w:instrText xml:space="preserve"> ADDIN EN.CITE </w:instrText>
      </w:r>
      <w:r w:rsidRPr="00C10DBA">
        <w:rPr>
          <w:rFonts w:cstheme="minorHAnsi"/>
          <w:color w:val="000000" w:themeColor="text1"/>
          <w:sz w:val="24"/>
          <w:szCs w:val="28"/>
        </w:rPr>
        <w:fldChar w:fldCharType="begin">
          <w:fldData xml:space="preserve">PEVuZE5vdGU+PENpdGU+PEF1dGhvcj5HYW88L0F1dGhvcj48WWVhcj4yMDIyPC9ZZWFyPjxSZWNO
dW0+Mjg0PC9SZWNOdW0+PERpc3BsYXlUZXh0Pls1XTwvRGlzcGxheVRleHQ+PHJlY29yZD48cmVj
LW51bWJlcj4yODQ8L3JlYy1udW1iZXI+PGZvcmVpZ24ta2V5cz48a2V5IGFwcD0iRU4iIGRiLWlk
PSJ4eHA5NXd0YXkyenhyemV2dHZlcHp4dGxkZXgwcHBmdHNkZnQiIHRpbWVzdGFtcD0iMTY1NTcw
ODkxOSI+Mjg0PC9rZXk+PC9mb3JlaWduLWtleXM+PHJlZi10eXBlIG5hbWU9IkpvdXJuYWwgQXJ0
aWNsZSI+MTc8L3JlZi10eXBlPjxjb250cmlidXRvcnM+PGF1dGhvcnM+PGF1dGhvcj5HYW8sIFku
PC9hdXRob3I+PGF1dGhvcj5YdSwgUS48L2F1dGhvcj48YXV0aG9yPkxpLCBYLjwvYXV0aG9yPjxh
dXRob3I+R3VvLCBZLjwvYXV0aG9yPjxhdXRob3I+WmhhbmcsIEIuPC9hdXRob3I+PGF1dGhvcj5K
aW4sIFkuPC9hdXRob3I+PGF1dGhvcj5aaHUsIEMuPC9hdXRob3I+PGF1dGhvcj5TaGVuLCBZLjwv
YXV0aG9yPjxhdXRob3I+WWFuZywgUC48L2F1dGhvcj48YXV0aG9yPlNoaSwgWS48L2F1dGhvcj48
YXV0aG9yPkppbiwgUi48L2F1dGhvcj48YXV0aG9yPkxpdSwgRC48L2F1dGhvcj48YXV0aG9yPk91
eWFuZywgWS48L2F1dGhvcj48YXV0aG9yPkxpdSwgWC48L2F1dGhvcj48YXV0aG9yPldhbmcsIFcu
PC9hdXRob3I+PGF1dGhvcj5DaGVuLCBELjwvYXV0aG9yPjxhdXRob3I+WWFuZywgVC48L2F1dGhv
cj48L2F1dGhvcnM+PC9jb250cmlidXRvcnM+PGF1dGgtYWRkcmVzcz5CZWlqaW5nIEluc3RpdHV0
ZSBvZiBIZXBhdG9sb2d5LCBDYXBpdGFsIE1lZGljYWwgVW5pdmVyc2l0eSwgQmVpamluZywgMTAw
MDY5LCBDaGluYS4mI3hEO09yZ2FuIFRyYW5zcGxhbnRhdGlvbiBDZW50ZXIsIFRoZSBBZmZpbGlh
dGVkIEhvc3BpdGFsIG9mIFFpbmdkYW8gVW5pdmVyc2l0eSwgUWluZ2RhbyBDaXR5LCAyNjYwMDMs
IENoaW5hLiYjeEQ7RGVwYXJ0bWVudCBvZiBQYXRob2xvZ3ksIElubmVyIE1vbmdvbGlhIEJhb2dh
bmcgSG9zcGl0YWwsIEJhb3RvdSwgMDE0MDEwLCBDaGluYS4mI3hEO1NjaG9vbCBvZiBDaGVtaWNh
bCwgQmlvbG9naWNhbCBhbmQgRW52aXJvbm1lbnRhbCBFbmdpbmVlcmluZywgQ2FybmVnaWUgTWVs
bG9uIFVuaXZlcnNpdHksIENvcnZhbGxpcywgUEEsIDk3MzMxLCBVU0EuJiN4RDtEZXBhcnRtZW50
IG9mIENsaW5pY2FsIExhYm9yYXRvcnksIEhhaWRpYW4gTWF0ZXJuYWwmYW1wO0NoaWxkIEhlYWx0
aCBIb3NwaXRhbCwgQmVpamluZywgMTAwMDgwLCBDaGluYS4mI3hEO0JlaWppbmcgSW5zdGl0dXRl
IG9mIEhlcGF0b2xvZ3ksIENhcGl0YWwgTWVkaWNhbCBVbml2ZXJzaXR5LCBCZWlqaW5nLCAxMDAw
NjksIENoaW5hLiAxMjAzNjIwNjc3QHFxLmNvbS4mI3hEO09yZ2FuIFRyYW5zcGxhbnRhdGlvbiBD
ZW50ZXIsIFRoZSBBZmZpbGlhdGVkIEhvc3BpdGFsIG9mIFFpbmdkYW8gVW5pdmVyc2l0eSwgUWlu
Z2RhbyBDaXR5LCAyNjYwMDMsIENoaW5hLiAxMjAzNjIwNjc3QHFxLmNvbS48L2F1dGgtYWRkcmVz
cz48dGl0bGVzPjx0aXRsZT5IZXRlcm9nZW5laXR5IGluZHVjZWQgR1pNQS1GMlIgY29tbXVuaWNh
dGlvbiBpbmVmZmljaWVudCBpbXBhaXJzIGFudGl0dW1vciBpbW11bm90aGVyYXB5IG9mIFBELTEg
bUFiIHRocm91Z2ggSkFLMi9TVEFUMSBzaWduYWwgc3VwcHJlc3Npb24gaW4gaGVwYXRvY2VsbHVs
YXIgY2FyY2lub21hPC90aXRsZT48c2Vjb25kYXJ5LXRpdGxlPkNlbGwgRGVhdGggRGlzPC9zZWNv
bmRhcnktdGl0bGU+PGFsdC10aXRsZT5DZWxsIGRlYXRoICZhbXA7IGRpc2Vhc2U8L2FsdC10aXRs
ZT48L3RpdGxlcz48cGVyaW9kaWNhbD48ZnVsbC10aXRsZT5DZWxsIERlYXRoIERpczwvZnVsbC10
aXRsZT48YWJici0xPkNlbGwgZGVhdGggJmFtcDsgZGlzZWFzZTwvYWJici0xPjwvcGVyaW9kaWNh
bD48YWx0LXBlcmlvZGljYWw+PGZ1bGwtdGl0bGU+Q2VsbCBEZWF0aCBEaXM8L2Z1bGwtdGl0bGU+
PGFiYnItMT5DZWxsIGRlYXRoICZhbXA7IGRpc2Vhc2U8L2FiYnItMT48L2FsdC1wZXJpb2RpY2Fs
PjxwYWdlcz4yMTM8L3BhZ2VzPjx2b2x1bWU+MTM8L3ZvbHVtZT48bnVtYmVyPjM8L251bWJlcj48
ZWRpdGlvbj4yMDIyLzAzLzA5PC9lZGl0aW9uPjxrZXl3b3Jkcz48a2V5d29yZD5BbmltYWxzPC9r
ZXl3b3JkPjxrZXl3b3JkPkI3LUgxIEFudGlnZW4vbWV0YWJvbGlzbTwva2V5d29yZD48a2V5d29y
ZD4qQ2FyY2lub21hLCBIZXBhdG9jZWxsdWxhci9tZXRhYm9saXNtPC9rZXl3b3JkPjxrZXl3b3Jk
PkNlbGwgTGluZSwgVHVtb3I8L2tleXdvcmQ+PGtleXdvcmQ+R3Jhbnp5bWVzL21ldGFib2xpc208
L2tleXdvcmQ+PGtleXdvcmQ+SHVtYW5zPC9rZXl3b3JkPjxrZXl3b3JkPkltbXVub3RoZXJhcHk8
L2tleXdvcmQ+PGtleXdvcmQ+SmFudXMgS2luYXNlIDIvbWV0YWJvbGlzbTwva2V5d29yZD48a2V5
d29yZD4qTGl2ZXIgTmVvcGxhc21zL21ldGFib2xpc208L2tleXdvcmQ+PGtleXdvcmQ+TWljZTwv
a2V5d29yZD48a2V5d29yZD5Qcm9ncmFtbWVkIENlbGwgRGVhdGggMSBSZWNlcHRvci9tZXRhYm9s
aXNtPC9rZXl3b3JkPjxrZXl3b3JkPlNUQVQxIFRyYW5zY3JpcHRpb24gRmFjdG9yL21ldGFib2xp
c208L2tleXdvcmQ+PGtleXdvcmQ+VC1MeW1waG9jeXRlcy9tZXRhYm9saXNtPC9rZXl3b3JkPjwv
a2V5d29yZHM+PGRhdGVzPjx5ZWFyPjIwMjI8L3llYXI+PHB1Yi1kYXRlcz48ZGF0ZT5NYXIgNzwv
ZGF0ZT48L3B1Yi1kYXRlcz48L2RhdGVzPjxhY2Nlc3Npb24tbnVtPjM1MjU2NTg5PC9hY2Nlc3Np
b24tbnVtPjx1cmxzPjwvdXJscz48Y3VzdG9tMj5QTUM4OTAxOTEyPC9jdXN0b20yPjxlbGVjdHJv
bmljLXJlc291cmNlLW51bT4xMC4xMDM4L3M0MTQxOS0wMjItMDQ2NTQtNzwvZWxlY3Ryb25pYy1y
ZXNvdXJjZS1udW0+PHJlbW90ZS1kYXRhYmFzZS1wcm92aWRlcj5OTE08L3JlbW90ZS1kYXRhYmFz
ZS1wcm92aWRlcj48bGFuZ3VhZ2U+ZW5nPC9sYW5ndWFnZT48L3JlY29yZD48L0NpdGU+PC9FbmRO
b3RlPgB=
</w:fldData>
        </w:fldChar>
      </w:r>
      <w:r w:rsidRPr="00C10DBA">
        <w:rPr>
          <w:rFonts w:cstheme="minorHAnsi"/>
          <w:color w:val="000000" w:themeColor="text1"/>
          <w:sz w:val="24"/>
          <w:szCs w:val="28"/>
        </w:rPr>
        <w:instrText xml:space="preserve"> ADDIN EN.CITE.DATA </w:instrText>
      </w:r>
      <w:r w:rsidRPr="00C10DBA">
        <w:rPr>
          <w:rFonts w:cstheme="minorHAnsi"/>
          <w:color w:val="000000" w:themeColor="text1"/>
          <w:sz w:val="24"/>
          <w:szCs w:val="28"/>
        </w:rPr>
      </w:r>
      <w:r w:rsidRPr="00C10DBA">
        <w:rPr>
          <w:rFonts w:cstheme="minorHAnsi"/>
          <w:color w:val="000000" w:themeColor="text1"/>
          <w:sz w:val="24"/>
          <w:szCs w:val="28"/>
        </w:rPr>
        <w:fldChar w:fldCharType="end"/>
      </w:r>
      <w:r w:rsidRPr="00C10DBA">
        <w:rPr>
          <w:rFonts w:cstheme="minorHAnsi"/>
          <w:color w:val="000000" w:themeColor="text1"/>
          <w:sz w:val="24"/>
          <w:szCs w:val="28"/>
        </w:rPr>
      </w:r>
      <w:r w:rsidRPr="00C10DBA">
        <w:rPr>
          <w:rFonts w:cstheme="minorHAnsi"/>
          <w:color w:val="000000" w:themeColor="text1"/>
          <w:sz w:val="24"/>
          <w:szCs w:val="28"/>
        </w:rPr>
        <w:fldChar w:fldCharType="separate"/>
      </w:r>
      <w:r w:rsidRPr="00C10DBA">
        <w:rPr>
          <w:rFonts w:cstheme="minorHAnsi"/>
          <w:noProof/>
          <w:color w:val="000000" w:themeColor="text1"/>
          <w:sz w:val="24"/>
          <w:szCs w:val="28"/>
        </w:rPr>
        <w:t>[</w:t>
      </w:r>
      <w:r w:rsidR="007456AF">
        <w:rPr>
          <w:rFonts w:cstheme="minorHAnsi"/>
          <w:noProof/>
          <w:color w:val="000000" w:themeColor="text1"/>
          <w:sz w:val="24"/>
          <w:szCs w:val="28"/>
        </w:rPr>
        <w:t>2</w:t>
      </w:r>
      <w:r w:rsidRPr="00C10DBA">
        <w:rPr>
          <w:rFonts w:cstheme="minorHAnsi"/>
          <w:noProof/>
          <w:color w:val="000000" w:themeColor="text1"/>
          <w:sz w:val="24"/>
          <w:szCs w:val="28"/>
        </w:rPr>
        <w:t>]</w:t>
      </w:r>
      <w:r w:rsidRPr="00C10DBA">
        <w:rPr>
          <w:rFonts w:cstheme="minorHAnsi"/>
          <w:color w:val="000000" w:themeColor="text1"/>
          <w:sz w:val="24"/>
          <w:szCs w:val="28"/>
        </w:rPr>
        <w:fldChar w:fldCharType="end"/>
      </w:r>
      <w:r w:rsidRPr="00C10DBA">
        <w:rPr>
          <w:rFonts w:cstheme="minorHAnsi"/>
          <w:color w:val="000000" w:themeColor="text1"/>
          <w:sz w:val="24"/>
          <w:szCs w:val="28"/>
        </w:rPr>
        <w:t xml:space="preserve">. Briefly, </w:t>
      </w:r>
      <w:bookmarkStart w:id="6" w:name="_Hlk106096544"/>
      <w:r w:rsidRPr="00C10DBA">
        <w:rPr>
          <w:rFonts w:cstheme="minorHAnsi"/>
          <w:color w:val="000000" w:themeColor="text1"/>
          <w:sz w:val="24"/>
          <w:szCs w:val="28"/>
        </w:rPr>
        <w:t>the cell pellet was collected from the co-culture system, resuspended</w:t>
      </w:r>
      <w:bookmarkEnd w:id="6"/>
      <w:r w:rsidRPr="00C10DBA">
        <w:rPr>
          <w:rFonts w:cstheme="minorHAnsi"/>
          <w:color w:val="000000" w:themeColor="text1"/>
          <w:sz w:val="24"/>
          <w:szCs w:val="28"/>
        </w:rPr>
        <w:t xml:space="preserve"> in the pre-extraction buffer, and centrifuged at 8,000g. The obtained cytoplasmic fraction was transferred to a fresh EP tube. Subsequently, the insoluble nuclear pellet was resuspended in the extraction buffer and sonicated in an ultrasonic disintegrator. The nuclear fraction was collected after centrifugation at 12,000g.</w:t>
      </w:r>
    </w:p>
    <w:p w14:paraId="3BDB95A2" w14:textId="59BDE985" w:rsidR="00492CA5" w:rsidRPr="00C10DBA" w:rsidRDefault="00492CA5" w:rsidP="00492CA5">
      <w:pPr>
        <w:keepNext/>
        <w:keepLines/>
        <w:spacing w:after="260" w:line="360" w:lineRule="auto"/>
        <w:outlineLvl w:val="2"/>
        <w:rPr>
          <w:rFonts w:eastAsia="宋体" w:cstheme="minorHAnsi"/>
          <w:color w:val="000000" w:themeColor="text1"/>
          <w:sz w:val="24"/>
          <w:szCs w:val="28"/>
        </w:rPr>
      </w:pPr>
      <w:bookmarkStart w:id="7" w:name="_Hlk106527289"/>
      <w:r w:rsidRPr="00C10DBA">
        <w:rPr>
          <w:rFonts w:eastAsia="宋体" w:cstheme="minorHAnsi"/>
          <w:sz w:val="24"/>
          <w:szCs w:val="28"/>
        </w:rPr>
        <w:t>1.1</w:t>
      </w:r>
      <w:r w:rsidR="00BE043F">
        <w:rPr>
          <w:rFonts w:eastAsia="宋体" w:cstheme="minorHAnsi"/>
          <w:sz w:val="24"/>
          <w:szCs w:val="28"/>
        </w:rPr>
        <w:t>1</w:t>
      </w:r>
      <w:r w:rsidRPr="00C10DBA">
        <w:rPr>
          <w:rFonts w:eastAsia="宋体" w:cstheme="minorHAnsi"/>
          <w:sz w:val="24"/>
          <w:szCs w:val="28"/>
        </w:rPr>
        <w:t xml:space="preserve">. </w:t>
      </w:r>
      <w:r w:rsidRPr="00C10DBA">
        <w:rPr>
          <w:rFonts w:eastAsia="宋体" w:cstheme="minorHAnsi"/>
          <w:color w:val="000000" w:themeColor="text1"/>
          <w:sz w:val="24"/>
          <w:szCs w:val="28"/>
        </w:rPr>
        <w:t>Immunofluorescence staining</w:t>
      </w:r>
    </w:p>
    <w:p w14:paraId="72082DE8" w14:textId="77777777" w:rsidR="00492CA5" w:rsidRPr="00C10DBA" w:rsidRDefault="00492CA5" w:rsidP="00492CA5">
      <w:pPr>
        <w:spacing w:line="360" w:lineRule="auto"/>
        <w:ind w:firstLineChars="50" w:firstLine="120"/>
        <w:rPr>
          <w:rFonts w:cstheme="minorHAnsi"/>
          <w:color w:val="FF0000"/>
          <w:sz w:val="24"/>
          <w:szCs w:val="28"/>
        </w:rPr>
      </w:pPr>
      <w:bookmarkStart w:id="8" w:name="_Hlk106262117"/>
      <w:bookmarkEnd w:id="7"/>
      <w:r w:rsidRPr="00C10DBA">
        <w:rPr>
          <w:rFonts w:cstheme="minorHAnsi"/>
          <w:color w:val="000000" w:themeColor="text1"/>
          <w:sz w:val="24"/>
          <w:szCs w:val="28"/>
        </w:rPr>
        <w:t>Jurkat T cells were collected</w:t>
      </w:r>
      <w:bookmarkEnd w:id="8"/>
      <w:r w:rsidRPr="00C10DBA">
        <w:rPr>
          <w:rFonts w:cstheme="minorHAnsi"/>
          <w:color w:val="000000" w:themeColor="text1"/>
          <w:sz w:val="24"/>
          <w:szCs w:val="28"/>
        </w:rPr>
        <w:t xml:space="preserve"> from the co-culture system and resuspended in 75% alcohol for 15 min. </w:t>
      </w:r>
      <w:r w:rsidRPr="00C10DBA">
        <w:rPr>
          <w:rFonts w:eastAsia="宋体" w:cstheme="minorHAnsi"/>
          <w:color w:val="000000" w:themeColor="text1"/>
          <w:sz w:val="24"/>
          <w:szCs w:val="28"/>
        </w:rPr>
        <w:t xml:space="preserve">Triton X-100 was used for the penetration of the membrane system. </w:t>
      </w:r>
      <w:r w:rsidRPr="00C10DBA">
        <w:rPr>
          <w:rFonts w:eastAsia="宋体" w:cstheme="minorHAnsi"/>
          <w:color w:val="000000" w:themeColor="text1"/>
          <w:sz w:val="24"/>
          <w:szCs w:val="28"/>
        </w:rPr>
        <w:lastRenderedPageBreak/>
        <w:t>After three washes with PBS, the cell suspension was incubated with primary antibodies (α-tubulin, Lamin B, HDAC1, and H3-ser28)</w:t>
      </w:r>
      <w:r w:rsidRPr="00C10DBA">
        <w:rPr>
          <w:rFonts w:cstheme="minorHAnsi"/>
          <w:color w:val="000000" w:themeColor="text1"/>
          <w:sz w:val="24"/>
          <w:szCs w:val="28"/>
        </w:rPr>
        <w:t xml:space="preserve">. After </w:t>
      </w:r>
      <w:r w:rsidRPr="00C10DBA">
        <w:rPr>
          <w:rFonts w:eastAsia="宋体" w:cstheme="minorHAnsi"/>
          <w:color w:val="000000" w:themeColor="text1"/>
          <w:sz w:val="24"/>
          <w:szCs w:val="28"/>
        </w:rPr>
        <w:t>another three washes with</w:t>
      </w:r>
      <w:r w:rsidRPr="00C10DBA">
        <w:rPr>
          <w:rFonts w:cstheme="minorHAnsi"/>
          <w:color w:val="000000" w:themeColor="text1"/>
          <w:sz w:val="24"/>
          <w:szCs w:val="28"/>
        </w:rPr>
        <w:t xml:space="preserve"> PBS, secondary antibody, FITC, or TRITC connected and diluted at 1:400 was added, followed by incubation. Subsequently, the DNA content in the Jurkat T cells was stained using a DAPI solution. A fluorescence microscope was employed to observe the subcellular localization of </w:t>
      </w:r>
      <w:r w:rsidRPr="00C10DBA">
        <w:rPr>
          <w:rFonts w:eastAsia="宋体" w:cstheme="minorHAnsi"/>
          <w:color w:val="000000" w:themeColor="text1"/>
          <w:sz w:val="24"/>
          <w:szCs w:val="28"/>
        </w:rPr>
        <w:t>α-tubulin, Lamin B, and HDAC1.</w:t>
      </w:r>
    </w:p>
    <w:p w14:paraId="3ED6171D" w14:textId="56AC9F1D" w:rsidR="00492CA5" w:rsidRPr="00C10DBA" w:rsidRDefault="00492CA5" w:rsidP="00492CA5">
      <w:pPr>
        <w:pStyle w:val="3"/>
        <w:spacing w:before="0" w:line="360" w:lineRule="auto"/>
        <w:rPr>
          <w:rFonts w:eastAsia="宋体" w:cstheme="minorHAnsi"/>
          <w:b w:val="0"/>
          <w:bCs w:val="0"/>
          <w:color w:val="000000" w:themeColor="text1"/>
          <w:sz w:val="24"/>
          <w:szCs w:val="28"/>
        </w:rPr>
      </w:pPr>
      <w:r w:rsidRPr="00C10DBA">
        <w:rPr>
          <w:rFonts w:eastAsia="宋体" w:cstheme="minorHAnsi"/>
          <w:b w:val="0"/>
          <w:bCs w:val="0"/>
          <w:sz w:val="24"/>
          <w:szCs w:val="28"/>
        </w:rPr>
        <w:t>1.1</w:t>
      </w:r>
      <w:r w:rsidR="00BE043F">
        <w:rPr>
          <w:rFonts w:eastAsia="宋体" w:cstheme="minorHAnsi"/>
          <w:b w:val="0"/>
          <w:bCs w:val="0"/>
          <w:sz w:val="24"/>
          <w:szCs w:val="28"/>
        </w:rPr>
        <w:t>2</w:t>
      </w:r>
      <w:r w:rsidRPr="00C10DBA">
        <w:rPr>
          <w:rFonts w:eastAsia="宋体" w:cstheme="minorHAnsi"/>
          <w:b w:val="0"/>
          <w:bCs w:val="0"/>
          <w:sz w:val="24"/>
          <w:szCs w:val="28"/>
        </w:rPr>
        <w:t xml:space="preserve">. </w:t>
      </w:r>
      <w:r w:rsidRPr="00C10DBA">
        <w:rPr>
          <w:rFonts w:eastAsia="宋体" w:cstheme="minorHAnsi"/>
          <w:b w:val="0"/>
          <w:bCs w:val="0"/>
          <w:color w:val="000000" w:themeColor="text1"/>
          <w:sz w:val="24"/>
          <w:szCs w:val="28"/>
        </w:rPr>
        <w:t>Quantitative real-time polymerase chain reaction</w:t>
      </w:r>
    </w:p>
    <w:p w14:paraId="36419ADD" w14:textId="1FDC94B1" w:rsidR="00492CA5" w:rsidRDefault="00492CA5" w:rsidP="00492CA5">
      <w:pPr>
        <w:spacing w:line="360" w:lineRule="auto"/>
        <w:ind w:firstLineChars="50" w:firstLine="120"/>
        <w:contextualSpacing/>
        <w:rPr>
          <w:rFonts w:eastAsia="宋体" w:cstheme="minorHAnsi"/>
          <w:color w:val="000000" w:themeColor="text1"/>
          <w:sz w:val="24"/>
          <w:szCs w:val="28"/>
        </w:rPr>
      </w:pPr>
      <w:r w:rsidRPr="00C10DBA">
        <w:rPr>
          <w:rFonts w:cstheme="minorHAnsi"/>
          <w:color w:val="000000" w:themeColor="text1"/>
          <w:sz w:val="24"/>
          <w:szCs w:val="28"/>
        </w:rPr>
        <w:t xml:space="preserve">The tissue sample (100 mg) was homogenized in </w:t>
      </w:r>
      <w:r w:rsidRPr="00C10DBA">
        <w:rPr>
          <w:rFonts w:eastAsia="宋体" w:cstheme="minorHAnsi"/>
          <w:color w:val="000000" w:themeColor="text1"/>
          <w:sz w:val="24"/>
          <w:szCs w:val="28"/>
        </w:rPr>
        <w:t>TRIzol</w:t>
      </w:r>
      <w:r w:rsidRPr="00C10DBA">
        <w:rPr>
          <w:rFonts w:cstheme="minorHAnsi"/>
          <w:color w:val="000000" w:themeColor="text1"/>
          <w:sz w:val="24"/>
          <w:szCs w:val="28"/>
        </w:rPr>
        <w:t xml:space="preserve"> solution for total RNA isolation as described in a previous report</w:t>
      </w:r>
      <w:r w:rsidRPr="00C10DBA" w:rsidDel="00E569CE">
        <w:rPr>
          <w:rFonts w:cstheme="minorHAnsi"/>
          <w:color w:val="000000" w:themeColor="text1"/>
          <w:sz w:val="24"/>
          <w:szCs w:val="28"/>
        </w:rPr>
        <w:t xml:space="preserve"> </w:t>
      </w:r>
      <w:r w:rsidRPr="00C10DBA">
        <w:rPr>
          <w:rFonts w:cstheme="minorHAnsi"/>
          <w:color w:val="000000" w:themeColor="text1"/>
          <w:sz w:val="24"/>
          <w:szCs w:val="28"/>
        </w:rPr>
        <w:fldChar w:fldCharType="begin">
          <w:fldData xml:space="preserve">PEVuZE5vdGU+PENpdGU+PEF1dGhvcj5ZYW5nPC9BdXRob3I+PFllYXI+MjAyMjwvWWVhcj48UmVj
TnVtPjI4NTwvUmVjTnVtPjxEaXNwbGF5VGV4dD5bMTZdPC9EaXNwbGF5VGV4dD48cmVjb3JkPjxy
ZWMtbnVtYmVyPjI4NTwvcmVjLW51bWJlcj48Zm9yZWlnbi1rZXlzPjxrZXkgYXBwPSJFTiIgZGIt
aWQ9Inh4cDk1d3RheTJ6eHJ6ZXZ0dmVwenh0bGRleDBwcGZ0c2RmdCIgdGltZXN0YW1wPSIxNjU1
NzA4OTU1Ij4yODU8L2tleT48L2ZvcmVpZ24ta2V5cz48cmVmLXR5cGUgbmFtZT0iSm91cm5hbCBB
cnRpY2xlIj4xNzwvcmVmLXR5cGU+PGNvbnRyaWJ1dG9ycz48YXV0aG9ycz48YXV0aG9yPllhbmcs
IFQuPC9hdXRob3I+PGF1dGhvcj5aaHUsIEMuPC9hdXRob3I+PGF1dGhvcj5TaGksIFkuPC9hdXRo
b3I+PGF1dGhvcj5TaGVuLCBZLjwvYXV0aG9yPjxhdXRob3I+R2FvLCBZLjwvYXV0aG9yPjxhdXRo
b3I+WmhhbmcsIEIuPC9hdXRob3I+PGF1dGhvcj5KaW4sIFIuPC9hdXRob3I+PGF1dGhvcj5MaXUs
IEQuPC9hdXRob3I+PGF1dGhvcj5PdXlhbmcsIFkuPC9hdXRob3I+PGF1dGhvcj5MaXUsIFguPC9h
dXRob3I+PGF1dGhvcj5XYW5nLCBXLjwvYXV0aG9yPjxhdXRob3I+WWFuZywgUC48L2F1dGhvcj48
YXV0aG9yPlh1LCBRLjwvYXV0aG9yPjxhdXRob3I+Q2FpLCBKLjwvYXV0aG9yPjxhdXRob3I+Q2hl
biwgRC48L2F1dGhvcj48L2F1dGhvcnM+PC9jb250cmlidXRvcnM+PGF1dGgtYWRkcmVzcz5Pcmdh
biBUcmFuc3BsYW50YXRpb24gQ2VudGVyLCBUaGUgQWZmaWxpYXRlZCBIb3NwaXRhbCBvZiBRaW5n
ZGFvIFVuaXZlcnNpdHksIFFpbmdkYW8gQ2l0eSwgMjY2MDAzLCBDaGluYS4mI3hEO0JlaWppbmcg
SW5zdGl0dXRlIG9mIEhlcGF0b2xvZ3ksIENhcGl0YWwgTWVkaWNhbCBVbml2ZXJzaXR5LCBCZWlq
aW5nLCAxMDAwNjksIENoaW5hLiYjeEQ7RGVwYXJ0bWVudCBvZiBQYXRob2xvZ3ksIElubmVyIE1v
bmdvbGlhIEJhb2dhbmcgSG9zcGl0YWwsIDAxNDAxMCwgQmFvdG91LCBDaGluYS4mI3hEO0NvbGxl
Z2Ugb2YgRW5naW5lZXJpbmcsIEJpb21lZGljYWwgRW5naW5lZXJpbmcgRGVwYXJ0bWVudCwgQ2Fy
bmVnaWUgTWVsbG9uIFVuaXZlcnNpdHksIFBpdHRzYnVyZ2gsIFBBLCAxNTIxMywgVVNBLiYjeEQ7
RGVwYXJ0bWVudCBvZiBDbGluaWNhbCBMYWJvcmF0b3J5LCBIYWlkaWFuIE1hdGVybmFsJmFtcDtD
aGlsZCBIZWFsdGggSG9zcGl0YWwsIEJlaWppbmcsIDEwMDA4MCwgQ2hpbmEuJiN4RDtPcmdhbiBU
cmFuc3BsYW50YXRpb24gQ2VudGVyLCBUaGUgQWZmaWxpYXRlZCBIb3NwaXRhbCBvZiBRaW5nZGFv
IFVuaXZlcnNpdHksIFFpbmdkYW8gQ2l0eSwgMjY2MDAzLCBDaGluYS4geHVxaW5nZ3VvODg2NkAx
MjYuY29tLiYjeEQ7T3JnYW4gVHJhbnNwbGFudGF0aW9uIENlbnRlciwgVGhlIEFmZmlsaWF0ZWQg
SG9zcGl0YWwgb2YgUWluZ2RhbyBVbml2ZXJzaXR5LCBRaW5nZGFvIENpdHksIDI2NjAwMywgQ2hp
bmEuIGNhaWppbnpoZW5Ac2luYS5jb20uJiN4RDtPcmdhbiBUcmFuc3BsYW50YXRpb24gQ2VudGVy
LCBUaGUgQWZmaWxpYXRlZCBIb3NwaXRhbCBvZiBRaW5nZGFvIFVuaXZlcnNpdHksIFFpbmdkYW8g
Q2l0eSwgMjY2MDAzLCBDaGluYS4gZGV4aWNoZW5AY2NtdS5lZHUuY24uJiN4RDtCZWlqaW5nIElu
c3RpdHV0ZSBvZiBIZXBhdG9sb2d5LCBDYXBpdGFsIE1lZGljYWwgVW5pdmVyc2l0eSwgQmVpamlu
ZywgMTAwMDY5LCBDaGluYS4gZGV4aWNoZW5AY2NtdS5lZHUuY24uPC9hdXRoLWFkZHJlc3M+PHRp
dGxlcz48dGl0bGU+UkRJVnBTR1AgbW90aWYgb2YgQVNQUDIgYmluZHMgdG8gMTQtMy0zIGFuZCBl
bmhhbmNlcyBBU1BQMi9rMTgvMTQtMy0zIHRlcm5hcnkgY29tcGxleCBmb3JtdWxhdGlvbiB0byBw
cm9tb3RlIEJSQUYvTUVLL0VSSyBzaWduYWwgaW5oaWJpdGVkIGNlbGwgcHJvbGlmZXJhdGlvbiBp
biBoZXBhdG9jZWxsdWxhciBjYXJjaW5vbWE8L3RpdGxlPjxzZWNvbmRhcnktdGl0bGU+Q2FuY2Vy
IEdlbmUgVGhlcjwvc2Vjb25kYXJ5LXRpdGxlPjxhbHQtdGl0bGU+Q2FuY2VyIGdlbmUgdGhlcmFw
eTwvYWx0LXRpdGxlPjwvdGl0bGVzPjxwZXJpb2RpY2FsPjxmdWxsLXRpdGxlPkNhbmNlciBHZW5l
IFRoZXI8L2Z1bGwtdGl0bGU+PGFiYnItMT5DYW5jZXIgZ2VuZSB0aGVyYXB5PC9hYmJyLTE+PC9w
ZXJpb2RpY2FsPjxhbHQtcGVyaW9kaWNhbD48ZnVsbC10aXRsZT5DYW5jZXIgR2VuZSBUaGVyPC9m
dWxsLXRpdGxlPjxhYmJyLTE+Q2FuY2VyIGdlbmUgdGhlcmFweTwvYWJici0xPjwvYWx0LXBlcmlv
ZGljYWw+PGVkaXRpb24+MjAyMi8wNS8wNDwvZWRpdGlvbj48ZGF0ZXM+PHllYXI+MjAyMjwveWVh
cj48cHViLWRhdGVzPjxkYXRlPk1heSAzPC9kYXRlPjwvcHViLWRhdGVzPjwvZGF0ZXM+PGlzYm4+
MDkyOS0xOTAzPC9pc2JuPjxhY2Nlc3Npb24tbnVtPjM1NTA0OTUxPC9hY2Nlc3Npb24tbnVtPjx1
cmxzPjwvdXJscz48ZWxlY3Ryb25pYy1yZXNvdXJjZS1udW0+MTAuMTAzOC9zNDE0MTctMDIyLTAw
NDc0LTE8L2VsZWN0cm9uaWMtcmVzb3VyY2UtbnVtPjxyZW1vdGUtZGF0YWJhc2UtcHJvdmlkZXI+
TkxNPC9yZW1vdGUtZGF0YWJhc2UtcHJvdmlkZXI+PGxhbmd1YWdlPmVuZzwvbGFuZ3VhZ2U+PC9y
ZWNvcmQ+PC9DaXRlPjwvRW5kTm90ZT4A
</w:fldData>
        </w:fldChar>
      </w:r>
      <w:r w:rsidRPr="00C10DBA">
        <w:rPr>
          <w:rFonts w:cstheme="minorHAnsi"/>
          <w:color w:val="000000" w:themeColor="text1"/>
          <w:sz w:val="24"/>
          <w:szCs w:val="28"/>
        </w:rPr>
        <w:instrText xml:space="preserve"> ADDIN EN.CITE </w:instrText>
      </w:r>
      <w:r w:rsidRPr="00C10DBA">
        <w:rPr>
          <w:rFonts w:cstheme="minorHAnsi"/>
          <w:color w:val="000000" w:themeColor="text1"/>
          <w:sz w:val="24"/>
          <w:szCs w:val="28"/>
        </w:rPr>
        <w:fldChar w:fldCharType="begin">
          <w:fldData xml:space="preserve">PEVuZE5vdGU+PENpdGU+PEF1dGhvcj5ZYW5nPC9BdXRob3I+PFllYXI+MjAyMjwvWWVhcj48UmVj
TnVtPjI4NTwvUmVjTnVtPjxEaXNwbGF5VGV4dD5bMTZdPC9EaXNwbGF5VGV4dD48cmVjb3JkPjxy
ZWMtbnVtYmVyPjI4NTwvcmVjLW51bWJlcj48Zm9yZWlnbi1rZXlzPjxrZXkgYXBwPSJFTiIgZGIt
aWQ9Inh4cDk1d3RheTJ6eHJ6ZXZ0dmVwenh0bGRleDBwcGZ0c2RmdCIgdGltZXN0YW1wPSIxNjU1
NzA4OTU1Ij4yODU8L2tleT48L2ZvcmVpZ24ta2V5cz48cmVmLXR5cGUgbmFtZT0iSm91cm5hbCBB
cnRpY2xlIj4xNzwvcmVmLXR5cGU+PGNvbnRyaWJ1dG9ycz48YXV0aG9ycz48YXV0aG9yPllhbmcs
IFQuPC9hdXRob3I+PGF1dGhvcj5aaHUsIEMuPC9hdXRob3I+PGF1dGhvcj5TaGksIFkuPC9hdXRo
b3I+PGF1dGhvcj5TaGVuLCBZLjwvYXV0aG9yPjxhdXRob3I+R2FvLCBZLjwvYXV0aG9yPjxhdXRo
b3I+WmhhbmcsIEIuPC9hdXRob3I+PGF1dGhvcj5KaW4sIFIuPC9hdXRob3I+PGF1dGhvcj5MaXUs
IEQuPC9hdXRob3I+PGF1dGhvcj5PdXlhbmcsIFkuPC9hdXRob3I+PGF1dGhvcj5MaXUsIFguPC9h
dXRob3I+PGF1dGhvcj5XYW5nLCBXLjwvYXV0aG9yPjxhdXRob3I+WWFuZywgUC48L2F1dGhvcj48
YXV0aG9yPlh1LCBRLjwvYXV0aG9yPjxhdXRob3I+Q2FpLCBKLjwvYXV0aG9yPjxhdXRob3I+Q2hl
biwgRC48L2F1dGhvcj48L2F1dGhvcnM+PC9jb250cmlidXRvcnM+PGF1dGgtYWRkcmVzcz5Pcmdh
biBUcmFuc3BsYW50YXRpb24gQ2VudGVyLCBUaGUgQWZmaWxpYXRlZCBIb3NwaXRhbCBvZiBRaW5n
ZGFvIFVuaXZlcnNpdHksIFFpbmdkYW8gQ2l0eSwgMjY2MDAzLCBDaGluYS4mI3hEO0JlaWppbmcg
SW5zdGl0dXRlIG9mIEhlcGF0b2xvZ3ksIENhcGl0YWwgTWVkaWNhbCBVbml2ZXJzaXR5LCBCZWlq
aW5nLCAxMDAwNjksIENoaW5hLiYjeEQ7RGVwYXJ0bWVudCBvZiBQYXRob2xvZ3ksIElubmVyIE1v
bmdvbGlhIEJhb2dhbmcgSG9zcGl0YWwsIDAxNDAxMCwgQmFvdG91LCBDaGluYS4mI3hEO0NvbGxl
Z2Ugb2YgRW5naW5lZXJpbmcsIEJpb21lZGljYWwgRW5naW5lZXJpbmcgRGVwYXJ0bWVudCwgQ2Fy
bmVnaWUgTWVsbG9uIFVuaXZlcnNpdHksIFBpdHRzYnVyZ2gsIFBBLCAxNTIxMywgVVNBLiYjeEQ7
RGVwYXJ0bWVudCBvZiBDbGluaWNhbCBMYWJvcmF0b3J5LCBIYWlkaWFuIE1hdGVybmFsJmFtcDtD
aGlsZCBIZWFsdGggSG9zcGl0YWwsIEJlaWppbmcsIDEwMDA4MCwgQ2hpbmEuJiN4RDtPcmdhbiBU
cmFuc3BsYW50YXRpb24gQ2VudGVyLCBUaGUgQWZmaWxpYXRlZCBIb3NwaXRhbCBvZiBRaW5nZGFv
IFVuaXZlcnNpdHksIFFpbmdkYW8gQ2l0eSwgMjY2MDAzLCBDaGluYS4geHVxaW5nZ3VvODg2NkAx
MjYuY29tLiYjeEQ7T3JnYW4gVHJhbnNwbGFudGF0aW9uIENlbnRlciwgVGhlIEFmZmlsaWF0ZWQg
SG9zcGl0YWwgb2YgUWluZ2RhbyBVbml2ZXJzaXR5LCBRaW5nZGFvIENpdHksIDI2NjAwMywgQ2hp
bmEuIGNhaWppbnpoZW5Ac2luYS5jb20uJiN4RDtPcmdhbiBUcmFuc3BsYW50YXRpb24gQ2VudGVy
LCBUaGUgQWZmaWxpYXRlZCBIb3NwaXRhbCBvZiBRaW5nZGFvIFVuaXZlcnNpdHksIFFpbmdkYW8g
Q2l0eSwgMjY2MDAzLCBDaGluYS4gZGV4aWNoZW5AY2NtdS5lZHUuY24uJiN4RDtCZWlqaW5nIElu
c3RpdHV0ZSBvZiBIZXBhdG9sb2d5LCBDYXBpdGFsIE1lZGljYWwgVW5pdmVyc2l0eSwgQmVpamlu
ZywgMTAwMDY5LCBDaGluYS4gZGV4aWNoZW5AY2NtdS5lZHUuY24uPC9hdXRoLWFkZHJlc3M+PHRp
dGxlcz48dGl0bGU+UkRJVnBTR1AgbW90aWYgb2YgQVNQUDIgYmluZHMgdG8gMTQtMy0zIGFuZCBl
bmhhbmNlcyBBU1BQMi9rMTgvMTQtMy0zIHRlcm5hcnkgY29tcGxleCBmb3JtdWxhdGlvbiB0byBw
cm9tb3RlIEJSQUYvTUVLL0VSSyBzaWduYWwgaW5oaWJpdGVkIGNlbGwgcHJvbGlmZXJhdGlvbiBp
biBoZXBhdG9jZWxsdWxhciBjYXJjaW5vbWE8L3RpdGxlPjxzZWNvbmRhcnktdGl0bGU+Q2FuY2Vy
IEdlbmUgVGhlcjwvc2Vjb25kYXJ5LXRpdGxlPjxhbHQtdGl0bGU+Q2FuY2VyIGdlbmUgdGhlcmFw
eTwvYWx0LXRpdGxlPjwvdGl0bGVzPjxwZXJpb2RpY2FsPjxmdWxsLXRpdGxlPkNhbmNlciBHZW5l
IFRoZXI8L2Z1bGwtdGl0bGU+PGFiYnItMT5DYW5jZXIgZ2VuZSB0aGVyYXB5PC9hYmJyLTE+PC9w
ZXJpb2RpY2FsPjxhbHQtcGVyaW9kaWNhbD48ZnVsbC10aXRsZT5DYW5jZXIgR2VuZSBUaGVyPC9m
dWxsLXRpdGxlPjxhYmJyLTE+Q2FuY2VyIGdlbmUgdGhlcmFweTwvYWJici0xPjwvYWx0LXBlcmlv
ZGljYWw+PGVkaXRpb24+MjAyMi8wNS8wNDwvZWRpdGlvbj48ZGF0ZXM+PHllYXI+MjAyMjwveWVh
cj48cHViLWRhdGVzPjxkYXRlPk1heSAzPC9kYXRlPjwvcHViLWRhdGVzPjwvZGF0ZXM+PGlzYm4+
MDkyOS0xOTAzPC9pc2JuPjxhY2Nlc3Npb24tbnVtPjM1NTA0OTUxPC9hY2Nlc3Npb24tbnVtPjx1
cmxzPjwvdXJscz48ZWxlY3Ryb25pYy1yZXNvdXJjZS1udW0+MTAuMTAzOC9zNDE0MTctMDIyLTAw
NDc0LTE8L2VsZWN0cm9uaWMtcmVzb3VyY2UtbnVtPjxyZW1vdGUtZGF0YWJhc2UtcHJvdmlkZXI+
TkxNPC9yZW1vdGUtZGF0YWJhc2UtcHJvdmlkZXI+PGxhbmd1YWdlPmVuZzwvbGFuZ3VhZ2U+PC9y
ZWNvcmQ+PC9DaXRlPjwvRW5kTm90ZT4A
</w:fldData>
        </w:fldChar>
      </w:r>
      <w:r w:rsidRPr="00C10DBA">
        <w:rPr>
          <w:rFonts w:cstheme="minorHAnsi"/>
          <w:color w:val="000000" w:themeColor="text1"/>
          <w:sz w:val="24"/>
          <w:szCs w:val="28"/>
        </w:rPr>
        <w:instrText xml:space="preserve"> ADDIN EN.CITE.DATA </w:instrText>
      </w:r>
      <w:r w:rsidRPr="00C10DBA">
        <w:rPr>
          <w:rFonts w:cstheme="minorHAnsi"/>
          <w:color w:val="000000" w:themeColor="text1"/>
          <w:sz w:val="24"/>
          <w:szCs w:val="28"/>
        </w:rPr>
      </w:r>
      <w:r w:rsidRPr="00C10DBA">
        <w:rPr>
          <w:rFonts w:cstheme="minorHAnsi"/>
          <w:color w:val="000000" w:themeColor="text1"/>
          <w:sz w:val="24"/>
          <w:szCs w:val="28"/>
        </w:rPr>
        <w:fldChar w:fldCharType="end"/>
      </w:r>
      <w:r w:rsidRPr="00C10DBA">
        <w:rPr>
          <w:rFonts w:cstheme="minorHAnsi"/>
          <w:color w:val="000000" w:themeColor="text1"/>
          <w:sz w:val="24"/>
          <w:szCs w:val="28"/>
        </w:rPr>
      </w:r>
      <w:r w:rsidRPr="00C10DBA">
        <w:rPr>
          <w:rFonts w:cstheme="minorHAnsi"/>
          <w:color w:val="000000" w:themeColor="text1"/>
          <w:sz w:val="24"/>
          <w:szCs w:val="28"/>
        </w:rPr>
        <w:fldChar w:fldCharType="separate"/>
      </w:r>
      <w:r w:rsidRPr="00C10DBA">
        <w:rPr>
          <w:rFonts w:cstheme="minorHAnsi"/>
          <w:noProof/>
          <w:color w:val="000000" w:themeColor="text1"/>
          <w:sz w:val="24"/>
          <w:szCs w:val="28"/>
        </w:rPr>
        <w:t>[</w:t>
      </w:r>
      <w:r w:rsidR="007456AF">
        <w:rPr>
          <w:rFonts w:cstheme="minorHAnsi"/>
          <w:noProof/>
          <w:color w:val="000000" w:themeColor="text1"/>
          <w:sz w:val="24"/>
          <w:szCs w:val="28"/>
        </w:rPr>
        <w:t>3</w:t>
      </w:r>
      <w:r w:rsidRPr="00C10DBA">
        <w:rPr>
          <w:rFonts w:cstheme="minorHAnsi"/>
          <w:noProof/>
          <w:color w:val="000000" w:themeColor="text1"/>
          <w:sz w:val="24"/>
          <w:szCs w:val="28"/>
        </w:rPr>
        <w:t>]</w:t>
      </w:r>
      <w:r w:rsidRPr="00C10DBA">
        <w:rPr>
          <w:rFonts w:cstheme="minorHAnsi"/>
          <w:color w:val="000000" w:themeColor="text1"/>
          <w:sz w:val="24"/>
          <w:szCs w:val="28"/>
        </w:rPr>
        <w:fldChar w:fldCharType="end"/>
      </w:r>
      <w:r w:rsidRPr="00C10DBA">
        <w:rPr>
          <w:rFonts w:cstheme="minorHAnsi"/>
          <w:color w:val="000000" w:themeColor="text1"/>
          <w:sz w:val="24"/>
          <w:szCs w:val="28"/>
        </w:rPr>
        <w:t>. The extracted</w:t>
      </w:r>
      <w:r w:rsidRPr="00C10DBA">
        <w:rPr>
          <w:rFonts w:eastAsia="宋体" w:cstheme="minorHAnsi"/>
          <w:color w:val="000000" w:themeColor="text1"/>
          <w:sz w:val="24"/>
          <w:szCs w:val="28"/>
        </w:rPr>
        <w:t xml:space="preserve"> RNA (</w:t>
      </w:r>
      <w:r w:rsidRPr="00C10DBA">
        <w:rPr>
          <w:rFonts w:cstheme="minorHAnsi"/>
          <w:color w:val="000000" w:themeColor="text1"/>
          <w:sz w:val="24"/>
          <w:szCs w:val="28"/>
        </w:rPr>
        <w:t>500 ng/</w:t>
      </w:r>
      <w:r w:rsidRPr="00C10DBA">
        <w:rPr>
          <w:rFonts w:eastAsia="宋体" w:cstheme="minorHAnsi"/>
          <w:color w:val="000000" w:themeColor="text1"/>
          <w:sz w:val="24"/>
          <w:szCs w:val="28"/>
        </w:rPr>
        <w:t>µl) was stored in RNase-free water. SuperScript® III, a First-Strand Synthesis kit, was utilized to synthesize the cDNA as described previously</w:t>
      </w:r>
      <w:r w:rsidRPr="00C10DBA">
        <w:rPr>
          <w:rFonts w:eastAsia="宋体" w:cstheme="minorHAnsi"/>
          <w:color w:val="000000" w:themeColor="text1"/>
          <w:sz w:val="24"/>
          <w:szCs w:val="28"/>
        </w:rPr>
        <w:fldChar w:fldCharType="begin">
          <w:fldData xml:space="preserve">PEVuZE5vdGU+PENpdGU+PEF1dGhvcj5ZYW5nPC9BdXRob3I+PFllYXI+MjAyMDwvWWVhcj48UmVj
TnVtPjI4NjwvUmVjTnVtPjxEaXNwbGF5VGV4dD5bMTddPC9EaXNwbGF5VGV4dD48cmVjb3JkPjxy
ZWMtbnVtYmVyPjI4NjwvcmVjLW51bWJlcj48Zm9yZWlnbi1rZXlzPjxrZXkgYXBwPSJFTiIgZGIt
aWQ9Inh4cDk1d3RheTJ6eHJ6ZXZ0dmVwenh0bGRleDBwcGZ0c2RmdCIgdGltZXN0YW1wPSIxNjU1
NzA4OTk4Ij4yODY8L2tleT48L2ZvcmVpZ24ta2V5cz48cmVmLXR5cGUgbmFtZT0iSm91cm5hbCBB
cnRpY2xlIj4xNzwvcmVmLXR5cGU+PGNvbnRyaWJ1dG9ycz48YXV0aG9ycz48YXV0aG9yPllhbmcs
IFQuPC9hdXRob3I+PGF1dGhvcj5PdXlhbmcsIFkuPC9hdXRob3I+PGF1dGhvcj5HYW8sIFkuPC9h
dXRob3I+PGF1dGhvcj5MaXUsIEQuPC9hdXRob3I+PGF1dGhvcj5aYW5nLCBZLjwvYXV0aG9yPjxh
dXRob3I+Q2hlbiwgRC48L2F1dGhvcj48L2F1dGhvcnM+PC9jb250cmlidXRvcnM+PGF1dGgtYWRk
cmVzcz5UaGUgSW5zdGl0dXRlIG9mIFRyYW5zcGxhbnRhdGlvbiBTY2llbmNlLCBPcmdhbiBUcmFu
c3BsYW50YXRpb24gQ2VudGVyLCBUaGUgQWZmaWxpYXRlZCBIb3NwaXRhbCBvZiBRaW5nZGFvIFVu
aXZlcnNpdHksIFFpbmdkYW8sIFNoYW5kb25nIDI2NjAwMywgUC5SLiBDaGluYS4mI3hEO0JlaWpp
bmcgSW5zdGl0dXRlIG9mIEhlcGF0b2xvZ3ksIEJlaWppbmcgWW91YW4gSG9zcGl0YWwsIENhcGl0
YWwgTWVkaWNhbCBVbml2ZXJzaXR5LCBCZWlqaW5nIDEwMDA2OSwgUC5SLiBDaGluYS4mI3hEO0Rl
cGFydG1lbnQgb2YgQ2xpbmljYWwgTGFib3JhdG9yeSwgSGFpZGlhbiBNYXRlcm5hbCBhbmQgQ2hp
bGQgSGVhbHRoIEhvc3BpdGFsLCBCZWlqaW5nIDEwMDA4MCwgUC5SLiBDaGluYS48L2F1dGgtYWRk
cmVzcz48dGl0bGVzPjx0aXRsZT5FbnJpY2hlZCBoaWdo4oCRdGhyb3VnaHB1dCByZXZlcnNlIHRy
YW5zY3JpcHRpb27igJFxdWFudGl0YXRpdmUgUENSIHRlbXBsYXRlIHByZXBhcmF0aW9uIHdpdGhv
dXQgcHJl4oCRYW1wbGlmaWNhdGlvbjwvdGl0bGU+PHNlY29uZGFyeS10aXRsZT5Nb2wgTWVkIFJl
cDwvc2Vjb25kYXJ5LXRpdGxlPjxhbHQtdGl0bGU+TW9sZWN1bGFyIG1lZGljaW5lIHJlcG9ydHM8
L2FsdC10aXRsZT48L3RpdGxlcz48cGVyaW9kaWNhbD48ZnVsbC10aXRsZT5Nb2wgTWVkIFJlcDwv
ZnVsbC10aXRsZT48YWJici0xPk1vbGVjdWxhciBtZWRpY2luZSByZXBvcnRzPC9hYmJyLTE+PC9w
ZXJpb2RpY2FsPjxhbHQtcGVyaW9kaWNhbD48ZnVsbC10aXRsZT5Nb2wgTWVkIFJlcDwvZnVsbC10
aXRsZT48YWJici0xPk1vbGVjdWxhciBtZWRpY2luZSByZXBvcnRzPC9hYmJyLTE+PC9hbHQtcGVy
aW9kaWNhbD48cGFnZXM+MzU0MS0zNTQ4PC9wYWdlcz48dm9sdW1lPjIyPC92b2x1bWU+PG51bWJl
cj40PC9udW1iZXI+PGVkaXRpb24+MjAyMC8wOS8xOTwvZWRpdGlvbj48a2V5d29yZHM+PGtleXdv
cmQ+QWR1bHQ8L2tleXdvcmQ+PGtleXdvcmQ+QWdlZDwva2V5d29yZD48a2V5d29yZD5DZWxsIExp
bmUsIFR1bW9yPC9rZXl3b3JkPjxrZXl3b3JkPkZlbWFsZTwva2V5d29yZD48a2V5d29yZD5HZW5l
IEV4cHJlc3Npb24gUHJvZmlsaW5nLyptZXRob2RzPC9rZXl3b3JkPjxrZXl3b3JkPkhlcCBHMiBD
ZWxsczwva2V5d29yZD48a2V5d29yZD5IZXBhdGl0aXMgQi8qZGlhZ25vc2lzL2dlbmV0aWNzPC9r
ZXl3b3JkPjxrZXl3b3JkPkhpZ2gtVGhyb3VnaHB1dCBTY3JlZW5pbmcgQXNzYXlzPC9rZXl3b3Jk
PjxrZXl3b3JkPkh1bWFuczwva2V5d29yZD48a2V5d29yZD5NYWxlPC9rZXl3b3JkPjxrZXl3b3Jk
Pk1pZGRsZSBBZ2VkPC9rZXl3b3JkPjxrZXl3b3JkPlJlYWwtVGltZSBQb2x5bWVyYXNlIENoYWlu
IFJlYWN0aW9uLyptZXRob2RzPC9rZXl3b3JkPjwva2V5d29yZHM+PGRhdGVzPjx5ZWFyPjIwMjA8
L3llYXI+PHB1Yi1kYXRlcz48ZGF0ZT5PY3Q8L2RhdGU+PC9wdWItZGF0ZXM+PC9kYXRlcz48aXNi
bj4xNzkxLTI5OTc8L2lzYm4+PGFjY2Vzc2lvbi1udW0+MzI5NDUzOTE8L2FjY2Vzc2lvbi1udW0+
PHVybHM+PC91cmxzPjxlbGVjdHJvbmljLXJlc291cmNlLW51bT4xMC4zODkyL21tci4yMDIwLjEx
Mzg5PC9lbGVjdHJvbmljLXJlc291cmNlLW51bT48cmVtb3RlLWRhdGFiYXNlLXByb3ZpZGVyPk5M
TTwvcmVtb3RlLWRhdGFiYXNlLXByb3ZpZGVyPjxsYW5ndWFnZT5lbmc8L2xhbmd1YWdlPjwvcmVj
b3JkPjwvQ2l0ZT48L0VuZE5vdGU+
</w:fldData>
        </w:fldChar>
      </w:r>
      <w:r w:rsidRPr="00C10DBA">
        <w:rPr>
          <w:rFonts w:eastAsia="宋体" w:cstheme="minorHAnsi"/>
          <w:color w:val="000000" w:themeColor="text1"/>
          <w:sz w:val="24"/>
          <w:szCs w:val="28"/>
        </w:rPr>
        <w:instrText xml:space="preserve"> ADDIN EN.CITE </w:instrText>
      </w:r>
      <w:r w:rsidRPr="00C10DBA">
        <w:rPr>
          <w:rFonts w:eastAsia="宋体" w:cstheme="minorHAnsi"/>
          <w:color w:val="000000" w:themeColor="text1"/>
          <w:sz w:val="24"/>
          <w:szCs w:val="28"/>
        </w:rPr>
        <w:fldChar w:fldCharType="begin">
          <w:fldData xml:space="preserve">PEVuZE5vdGU+PENpdGU+PEF1dGhvcj5ZYW5nPC9BdXRob3I+PFllYXI+MjAyMDwvWWVhcj48UmVj
TnVtPjI4NjwvUmVjTnVtPjxEaXNwbGF5VGV4dD5bMTddPC9EaXNwbGF5VGV4dD48cmVjb3JkPjxy
ZWMtbnVtYmVyPjI4NjwvcmVjLW51bWJlcj48Zm9yZWlnbi1rZXlzPjxrZXkgYXBwPSJFTiIgZGIt
aWQ9Inh4cDk1d3RheTJ6eHJ6ZXZ0dmVwenh0bGRleDBwcGZ0c2RmdCIgdGltZXN0YW1wPSIxNjU1
NzA4OTk4Ij4yODY8L2tleT48L2ZvcmVpZ24ta2V5cz48cmVmLXR5cGUgbmFtZT0iSm91cm5hbCBB
cnRpY2xlIj4xNzwvcmVmLXR5cGU+PGNvbnRyaWJ1dG9ycz48YXV0aG9ycz48YXV0aG9yPllhbmcs
IFQuPC9hdXRob3I+PGF1dGhvcj5PdXlhbmcsIFkuPC9hdXRob3I+PGF1dGhvcj5HYW8sIFkuPC9h
dXRob3I+PGF1dGhvcj5MaXUsIEQuPC9hdXRob3I+PGF1dGhvcj5aYW5nLCBZLjwvYXV0aG9yPjxh
dXRob3I+Q2hlbiwgRC48L2F1dGhvcj48L2F1dGhvcnM+PC9jb250cmlidXRvcnM+PGF1dGgtYWRk
cmVzcz5UaGUgSW5zdGl0dXRlIG9mIFRyYW5zcGxhbnRhdGlvbiBTY2llbmNlLCBPcmdhbiBUcmFu
c3BsYW50YXRpb24gQ2VudGVyLCBUaGUgQWZmaWxpYXRlZCBIb3NwaXRhbCBvZiBRaW5nZGFvIFVu
aXZlcnNpdHksIFFpbmdkYW8sIFNoYW5kb25nIDI2NjAwMywgUC5SLiBDaGluYS4mI3hEO0JlaWpp
bmcgSW5zdGl0dXRlIG9mIEhlcGF0b2xvZ3ksIEJlaWppbmcgWW91YW4gSG9zcGl0YWwsIENhcGl0
YWwgTWVkaWNhbCBVbml2ZXJzaXR5LCBCZWlqaW5nIDEwMDA2OSwgUC5SLiBDaGluYS4mI3hEO0Rl
cGFydG1lbnQgb2YgQ2xpbmljYWwgTGFib3JhdG9yeSwgSGFpZGlhbiBNYXRlcm5hbCBhbmQgQ2hp
bGQgSGVhbHRoIEhvc3BpdGFsLCBCZWlqaW5nIDEwMDA4MCwgUC5SLiBDaGluYS48L2F1dGgtYWRk
cmVzcz48dGl0bGVzPjx0aXRsZT5FbnJpY2hlZCBoaWdo4oCRdGhyb3VnaHB1dCByZXZlcnNlIHRy
YW5zY3JpcHRpb27igJFxdWFudGl0YXRpdmUgUENSIHRlbXBsYXRlIHByZXBhcmF0aW9uIHdpdGhv
dXQgcHJl4oCRYW1wbGlmaWNhdGlvbjwvdGl0bGU+PHNlY29uZGFyeS10aXRsZT5Nb2wgTWVkIFJl
cDwvc2Vjb25kYXJ5LXRpdGxlPjxhbHQtdGl0bGU+TW9sZWN1bGFyIG1lZGljaW5lIHJlcG9ydHM8
L2FsdC10aXRsZT48L3RpdGxlcz48cGVyaW9kaWNhbD48ZnVsbC10aXRsZT5Nb2wgTWVkIFJlcDwv
ZnVsbC10aXRsZT48YWJici0xPk1vbGVjdWxhciBtZWRpY2luZSByZXBvcnRzPC9hYmJyLTE+PC9w
ZXJpb2RpY2FsPjxhbHQtcGVyaW9kaWNhbD48ZnVsbC10aXRsZT5Nb2wgTWVkIFJlcDwvZnVsbC10
aXRsZT48YWJici0xPk1vbGVjdWxhciBtZWRpY2luZSByZXBvcnRzPC9hYmJyLTE+PC9hbHQtcGVy
aW9kaWNhbD48cGFnZXM+MzU0MS0zNTQ4PC9wYWdlcz48dm9sdW1lPjIyPC92b2x1bWU+PG51bWJl
cj40PC9udW1iZXI+PGVkaXRpb24+MjAyMC8wOS8xOTwvZWRpdGlvbj48a2V5d29yZHM+PGtleXdv
cmQ+QWR1bHQ8L2tleXdvcmQ+PGtleXdvcmQ+QWdlZDwva2V5d29yZD48a2V5d29yZD5DZWxsIExp
bmUsIFR1bW9yPC9rZXl3b3JkPjxrZXl3b3JkPkZlbWFsZTwva2V5d29yZD48a2V5d29yZD5HZW5l
IEV4cHJlc3Npb24gUHJvZmlsaW5nLyptZXRob2RzPC9rZXl3b3JkPjxrZXl3b3JkPkhlcCBHMiBD
ZWxsczwva2V5d29yZD48a2V5d29yZD5IZXBhdGl0aXMgQi8qZGlhZ25vc2lzL2dlbmV0aWNzPC9r
ZXl3b3JkPjxrZXl3b3JkPkhpZ2gtVGhyb3VnaHB1dCBTY3JlZW5pbmcgQXNzYXlzPC9rZXl3b3Jk
PjxrZXl3b3JkPkh1bWFuczwva2V5d29yZD48a2V5d29yZD5NYWxlPC9rZXl3b3JkPjxrZXl3b3Jk
Pk1pZGRsZSBBZ2VkPC9rZXl3b3JkPjxrZXl3b3JkPlJlYWwtVGltZSBQb2x5bWVyYXNlIENoYWlu
IFJlYWN0aW9uLyptZXRob2RzPC9rZXl3b3JkPjwva2V5d29yZHM+PGRhdGVzPjx5ZWFyPjIwMjA8
L3llYXI+PHB1Yi1kYXRlcz48ZGF0ZT5PY3Q8L2RhdGU+PC9wdWItZGF0ZXM+PC9kYXRlcz48aXNi
bj4xNzkxLTI5OTc8L2lzYm4+PGFjY2Vzc2lvbi1udW0+MzI5NDUzOTE8L2FjY2Vzc2lvbi1udW0+
PHVybHM+PC91cmxzPjxlbGVjdHJvbmljLXJlc291cmNlLW51bT4xMC4zODkyL21tci4yMDIwLjEx
Mzg5PC9lbGVjdHJvbmljLXJlc291cmNlLW51bT48cmVtb3RlLWRhdGFiYXNlLXByb3ZpZGVyPk5M
TTwvcmVtb3RlLWRhdGFiYXNlLXByb3ZpZGVyPjxsYW5ndWFnZT5lbmc8L2xhbmd1YWdlPjwvcmVj
b3JkPjwvQ2l0ZT48L0VuZE5vdGU+
</w:fldData>
        </w:fldChar>
      </w:r>
      <w:r w:rsidRPr="00C10DBA">
        <w:rPr>
          <w:rFonts w:eastAsia="宋体" w:cstheme="minorHAnsi"/>
          <w:color w:val="000000" w:themeColor="text1"/>
          <w:sz w:val="24"/>
          <w:szCs w:val="28"/>
        </w:rPr>
        <w:instrText xml:space="preserve"> ADDIN EN.CITE.DATA </w:instrText>
      </w:r>
      <w:r w:rsidRPr="00C10DBA">
        <w:rPr>
          <w:rFonts w:eastAsia="宋体" w:cstheme="minorHAnsi"/>
          <w:color w:val="000000" w:themeColor="text1"/>
          <w:sz w:val="24"/>
          <w:szCs w:val="28"/>
        </w:rPr>
      </w:r>
      <w:r w:rsidRPr="00C10DBA">
        <w:rPr>
          <w:rFonts w:eastAsia="宋体" w:cstheme="minorHAnsi"/>
          <w:color w:val="000000" w:themeColor="text1"/>
          <w:sz w:val="24"/>
          <w:szCs w:val="28"/>
        </w:rPr>
        <w:fldChar w:fldCharType="end"/>
      </w:r>
      <w:r w:rsidRPr="00C10DBA">
        <w:rPr>
          <w:rFonts w:eastAsia="宋体" w:cstheme="minorHAnsi"/>
          <w:color w:val="000000" w:themeColor="text1"/>
          <w:sz w:val="24"/>
          <w:szCs w:val="28"/>
        </w:rPr>
      </w:r>
      <w:r w:rsidRPr="00C10DBA">
        <w:rPr>
          <w:rFonts w:eastAsia="宋体" w:cstheme="minorHAnsi"/>
          <w:color w:val="000000" w:themeColor="text1"/>
          <w:sz w:val="24"/>
          <w:szCs w:val="28"/>
        </w:rPr>
        <w:fldChar w:fldCharType="separate"/>
      </w:r>
      <w:r w:rsidRPr="00C10DBA">
        <w:rPr>
          <w:rFonts w:eastAsia="宋体" w:cstheme="minorHAnsi"/>
          <w:noProof/>
          <w:color w:val="000000" w:themeColor="text1"/>
          <w:sz w:val="24"/>
          <w:szCs w:val="28"/>
        </w:rPr>
        <w:t>[</w:t>
      </w:r>
      <w:r w:rsidR="007456AF">
        <w:rPr>
          <w:rFonts w:eastAsia="宋体" w:cstheme="minorHAnsi"/>
          <w:noProof/>
          <w:color w:val="000000" w:themeColor="text1"/>
          <w:sz w:val="24"/>
          <w:szCs w:val="28"/>
        </w:rPr>
        <w:t>4</w:t>
      </w:r>
      <w:r w:rsidRPr="00C10DBA">
        <w:rPr>
          <w:rFonts w:eastAsia="宋体" w:cstheme="minorHAnsi"/>
          <w:noProof/>
          <w:color w:val="000000" w:themeColor="text1"/>
          <w:sz w:val="24"/>
          <w:szCs w:val="28"/>
        </w:rPr>
        <w:t>]</w:t>
      </w:r>
      <w:r w:rsidRPr="00C10DBA">
        <w:rPr>
          <w:rFonts w:eastAsia="宋体" w:cstheme="minorHAnsi"/>
          <w:color w:val="000000" w:themeColor="text1"/>
          <w:sz w:val="24"/>
          <w:szCs w:val="28"/>
        </w:rPr>
        <w:fldChar w:fldCharType="end"/>
      </w:r>
      <w:r w:rsidRPr="00C10DBA">
        <w:rPr>
          <w:rFonts w:eastAsia="宋体" w:cstheme="minorHAnsi"/>
          <w:color w:val="000000" w:themeColor="text1"/>
          <w:sz w:val="24"/>
          <w:szCs w:val="28"/>
        </w:rPr>
        <w:t xml:space="preserve">. Sybr Green reagent was used for the </w:t>
      </w:r>
      <w:bookmarkStart w:id="9" w:name="_Hlk106173595"/>
      <w:r w:rsidRPr="00C10DBA">
        <w:rPr>
          <w:rFonts w:eastAsia="宋体" w:cstheme="minorHAnsi"/>
          <w:color w:val="000000" w:themeColor="text1"/>
          <w:sz w:val="24"/>
          <w:szCs w:val="28"/>
        </w:rPr>
        <w:t>quantitative real-time polymerase chain reaction</w:t>
      </w:r>
      <w:bookmarkEnd w:id="9"/>
      <w:r w:rsidRPr="00C10DBA">
        <w:rPr>
          <w:rFonts w:eastAsia="宋体" w:cstheme="minorHAnsi"/>
          <w:color w:val="000000" w:themeColor="text1"/>
          <w:sz w:val="24"/>
          <w:szCs w:val="28"/>
        </w:rPr>
        <w:t xml:space="preserve"> of the synthesized cDNA in the PCR machine by Applied Biosystems. The relative expressions of NGF and NGFR in HCC patients were determined using the -</w:t>
      </w:r>
      <w:r w:rsidRPr="00C10DBA">
        <w:rPr>
          <w:rFonts w:eastAsia="微软雅黑" w:cstheme="minorHAnsi"/>
          <w:color w:val="000000" w:themeColor="text1"/>
          <w:sz w:val="24"/>
          <w:szCs w:val="28"/>
        </w:rPr>
        <w:t>∆∆</w:t>
      </w:r>
      <w:r w:rsidRPr="00C10DBA">
        <w:rPr>
          <w:rFonts w:eastAsia="宋体" w:cstheme="minorHAnsi"/>
          <w:color w:val="000000" w:themeColor="text1"/>
          <w:sz w:val="24"/>
          <w:szCs w:val="28"/>
        </w:rPr>
        <w:t>Cq</w:t>
      </w:r>
      <w:r w:rsidRPr="00C10DBA">
        <w:rPr>
          <w:rFonts w:cstheme="minorHAnsi"/>
          <w:sz w:val="24"/>
        </w:rPr>
        <w:t xml:space="preserve"> </w:t>
      </w:r>
      <w:r w:rsidRPr="00C10DBA">
        <w:rPr>
          <w:rFonts w:eastAsia="宋体" w:cstheme="minorHAnsi"/>
          <w:color w:val="000000" w:themeColor="text1"/>
          <w:sz w:val="24"/>
          <w:szCs w:val="28"/>
        </w:rPr>
        <w:t>method. The primer pairs were synthesized in Sangon Biotech and are presented in Table S3.</w:t>
      </w:r>
    </w:p>
    <w:p w14:paraId="5C74EE45" w14:textId="0CE5C21C" w:rsidR="007456AF" w:rsidRDefault="007456AF" w:rsidP="007456AF">
      <w:pPr>
        <w:spacing w:line="360" w:lineRule="auto"/>
        <w:contextualSpacing/>
        <w:rPr>
          <w:rFonts w:eastAsia="宋体" w:cstheme="minorHAnsi"/>
          <w:color w:val="000000" w:themeColor="text1"/>
          <w:sz w:val="24"/>
          <w:szCs w:val="28"/>
        </w:rPr>
      </w:pPr>
    </w:p>
    <w:p w14:paraId="73F83004" w14:textId="1FCCA922" w:rsidR="007456AF" w:rsidRPr="00BA0AE2" w:rsidRDefault="00296BEA" w:rsidP="007456AF">
      <w:pPr>
        <w:rPr>
          <w:rFonts w:ascii="Calibri" w:hAnsi="Calibri" w:cs="Calibri"/>
          <w:b/>
          <w:sz w:val="28"/>
        </w:rPr>
      </w:pPr>
      <w:r w:rsidRPr="00296BEA">
        <w:rPr>
          <w:rFonts w:ascii="Calibri" w:hAnsi="Calibri" w:cs="Calibri"/>
          <w:b/>
          <w:sz w:val="28"/>
        </w:rPr>
        <w:t>Supplementary</w:t>
      </w:r>
      <w:r w:rsidRPr="00BA0AE2">
        <w:rPr>
          <w:rFonts w:ascii="Calibri" w:hAnsi="Calibri" w:cs="Calibri"/>
          <w:b/>
          <w:sz w:val="28"/>
        </w:rPr>
        <w:t xml:space="preserve"> </w:t>
      </w:r>
      <w:r w:rsidR="007456AF" w:rsidRPr="00BA0AE2">
        <w:rPr>
          <w:rFonts w:ascii="Calibri" w:hAnsi="Calibri" w:cs="Calibri"/>
          <w:b/>
          <w:sz w:val="28"/>
        </w:rPr>
        <w:t xml:space="preserve">References: </w:t>
      </w:r>
    </w:p>
    <w:p w14:paraId="577D7D4F" w14:textId="57CD604F" w:rsidR="007456AF" w:rsidRPr="007456AF" w:rsidRDefault="007456AF" w:rsidP="007456AF">
      <w:pPr>
        <w:pStyle w:val="a7"/>
        <w:shd w:val="clear" w:color="auto" w:fill="FFFFFF"/>
        <w:spacing w:before="75" w:after="75"/>
        <w:rPr>
          <w:rFonts w:ascii="Calibri" w:eastAsia="MS Mincho" w:hAnsi="Calibri" w:cs="Calibri"/>
          <w:color w:val="1C1D1E"/>
          <w:sz w:val="21"/>
          <w:szCs w:val="21"/>
        </w:rPr>
      </w:pPr>
      <w:r>
        <w:rPr>
          <w:rFonts w:ascii="Calibri" w:eastAsia="MS Mincho" w:hAnsi="Calibri" w:cs="Calibri"/>
          <w:color w:val="1C1D1E"/>
          <w:sz w:val="21"/>
          <w:szCs w:val="21"/>
        </w:rPr>
        <w:t>1</w:t>
      </w:r>
      <w:r w:rsidRPr="007456AF">
        <w:rPr>
          <w:rFonts w:ascii="Calibri" w:eastAsia="MS Mincho" w:hAnsi="Calibri" w:cs="Calibri"/>
          <w:color w:val="1C1D1E"/>
          <w:sz w:val="21"/>
          <w:szCs w:val="21"/>
        </w:rPr>
        <w:t xml:space="preserve">. Lee ST, Lee JY, Han CR, </w:t>
      </w:r>
      <w:r>
        <w:rPr>
          <w:rFonts w:asciiTheme="minorEastAsia" w:eastAsiaTheme="minorEastAsia" w:hAnsiTheme="minorEastAsia" w:cs="Calibri" w:hint="eastAsia"/>
          <w:color w:val="1C1D1E"/>
          <w:sz w:val="21"/>
          <w:szCs w:val="21"/>
          <w:lang w:eastAsia="zh-CN"/>
        </w:rPr>
        <w:t>et</w:t>
      </w:r>
      <w:r>
        <w:rPr>
          <w:rFonts w:ascii="Calibri" w:eastAsia="MS Mincho" w:hAnsi="Calibri" w:cs="Calibri"/>
          <w:color w:val="1C1D1E"/>
          <w:sz w:val="21"/>
          <w:szCs w:val="21"/>
        </w:rPr>
        <w:t xml:space="preserve"> al.</w:t>
      </w:r>
      <w:r w:rsidRPr="007456AF">
        <w:rPr>
          <w:rFonts w:ascii="Calibri" w:eastAsia="MS Mincho" w:hAnsi="Calibri" w:cs="Calibri"/>
          <w:color w:val="1C1D1E"/>
          <w:sz w:val="21"/>
          <w:szCs w:val="21"/>
        </w:rPr>
        <w:t xml:space="preserve"> Dependency of 2-methoxyestradiol-induced mitochondrial apoptosis on mitotic spindle network impairment and prometaphase arrest in human Jurkat T cells. Biochem Pharmacol</w:t>
      </w:r>
      <w:r>
        <w:rPr>
          <w:rFonts w:ascii="Calibri" w:eastAsia="MS Mincho" w:hAnsi="Calibri" w:cs="Calibri"/>
          <w:color w:val="1C1D1E"/>
          <w:sz w:val="21"/>
          <w:szCs w:val="21"/>
        </w:rPr>
        <w:t>.</w:t>
      </w:r>
      <w:r w:rsidRPr="007456AF">
        <w:rPr>
          <w:rFonts w:ascii="Calibri" w:eastAsia="MS Mincho" w:hAnsi="Calibri" w:cs="Calibri"/>
          <w:color w:val="1C1D1E"/>
          <w:sz w:val="21"/>
          <w:szCs w:val="21"/>
        </w:rPr>
        <w:t xml:space="preserve"> </w:t>
      </w:r>
      <w:r>
        <w:rPr>
          <w:rFonts w:ascii="Calibri" w:eastAsia="MS Mincho" w:hAnsi="Calibri" w:cs="Calibri"/>
          <w:color w:val="1C1D1E"/>
          <w:sz w:val="21"/>
          <w:szCs w:val="21"/>
        </w:rPr>
        <w:t>2015;</w:t>
      </w:r>
      <w:r w:rsidRPr="007456AF">
        <w:t xml:space="preserve"> </w:t>
      </w:r>
      <w:r w:rsidRPr="007456AF">
        <w:rPr>
          <w:rFonts w:ascii="Calibri" w:eastAsia="MS Mincho" w:hAnsi="Calibri" w:cs="Calibri"/>
          <w:color w:val="1C1D1E"/>
          <w:sz w:val="21"/>
          <w:szCs w:val="21"/>
        </w:rPr>
        <w:t>94(4):257-69. doi: 10.1016/j.bcp.2015.02.011.</w:t>
      </w:r>
    </w:p>
    <w:p w14:paraId="01DB818E" w14:textId="6351A9E6" w:rsidR="007456AF" w:rsidRPr="007456AF" w:rsidRDefault="007456AF" w:rsidP="007456AF">
      <w:pPr>
        <w:pStyle w:val="a7"/>
        <w:shd w:val="clear" w:color="auto" w:fill="FFFFFF"/>
        <w:spacing w:before="75" w:after="75"/>
        <w:rPr>
          <w:rFonts w:ascii="Calibri" w:eastAsia="MS Mincho" w:hAnsi="Calibri" w:cs="Calibri"/>
          <w:color w:val="1C1D1E"/>
          <w:sz w:val="21"/>
          <w:szCs w:val="21"/>
        </w:rPr>
      </w:pPr>
      <w:r>
        <w:rPr>
          <w:rFonts w:ascii="Calibri" w:eastAsia="MS Mincho" w:hAnsi="Calibri" w:cs="Calibri"/>
          <w:color w:val="1C1D1E"/>
          <w:sz w:val="21"/>
          <w:szCs w:val="21"/>
        </w:rPr>
        <w:t>2</w:t>
      </w:r>
      <w:r w:rsidRPr="007456AF">
        <w:rPr>
          <w:rFonts w:ascii="Calibri" w:eastAsia="MS Mincho" w:hAnsi="Calibri" w:cs="Calibri"/>
          <w:color w:val="1C1D1E"/>
          <w:sz w:val="21"/>
          <w:szCs w:val="21"/>
        </w:rPr>
        <w:t xml:space="preserve">. Gao Y, Xu Q, Li X, </w:t>
      </w:r>
      <w:r>
        <w:rPr>
          <w:rFonts w:asciiTheme="minorEastAsia" w:eastAsiaTheme="minorEastAsia" w:hAnsiTheme="minorEastAsia" w:cs="Calibri" w:hint="eastAsia"/>
          <w:color w:val="1C1D1E"/>
          <w:sz w:val="21"/>
          <w:szCs w:val="21"/>
          <w:lang w:eastAsia="zh-CN"/>
        </w:rPr>
        <w:t>et</w:t>
      </w:r>
      <w:r>
        <w:rPr>
          <w:rFonts w:ascii="Calibri" w:eastAsia="MS Mincho" w:hAnsi="Calibri" w:cs="Calibri"/>
          <w:color w:val="1C1D1E"/>
          <w:sz w:val="21"/>
          <w:szCs w:val="21"/>
        </w:rPr>
        <w:t xml:space="preserve"> al.</w:t>
      </w:r>
      <w:r w:rsidRPr="007456AF">
        <w:rPr>
          <w:rFonts w:ascii="Calibri" w:eastAsia="MS Mincho" w:hAnsi="Calibri" w:cs="Calibri"/>
          <w:color w:val="1C1D1E"/>
          <w:sz w:val="21"/>
          <w:szCs w:val="21"/>
        </w:rPr>
        <w:t xml:space="preserve"> Heterogeneity induced GZMA-F2R communication inefficient impairs antitumor immunotherapy of PD-1 mAb through JAK2/STAT1 signal suppression in hepatocellular carcinoma. Cell Death Dis</w:t>
      </w:r>
      <w:r>
        <w:rPr>
          <w:rFonts w:ascii="Calibri" w:eastAsia="MS Mincho" w:hAnsi="Calibri" w:cs="Calibri"/>
          <w:color w:val="1C1D1E"/>
          <w:sz w:val="21"/>
          <w:szCs w:val="21"/>
        </w:rPr>
        <w:t>.</w:t>
      </w:r>
      <w:r w:rsidRPr="007456AF">
        <w:rPr>
          <w:rFonts w:ascii="Calibri" w:eastAsia="MS Mincho" w:hAnsi="Calibri" w:cs="Calibri"/>
          <w:color w:val="1C1D1E"/>
          <w:sz w:val="21"/>
          <w:szCs w:val="21"/>
        </w:rPr>
        <w:t xml:space="preserve"> </w:t>
      </w:r>
      <w:r>
        <w:rPr>
          <w:rFonts w:ascii="Calibri" w:eastAsia="MS Mincho" w:hAnsi="Calibri" w:cs="Calibri"/>
          <w:color w:val="1C1D1E"/>
          <w:sz w:val="21"/>
          <w:szCs w:val="21"/>
        </w:rPr>
        <w:t xml:space="preserve">2022; </w:t>
      </w:r>
      <w:r w:rsidRPr="007456AF">
        <w:rPr>
          <w:rFonts w:ascii="Calibri" w:eastAsia="MS Mincho" w:hAnsi="Calibri" w:cs="Calibri"/>
          <w:color w:val="1C1D1E"/>
          <w:sz w:val="21"/>
          <w:szCs w:val="21"/>
        </w:rPr>
        <w:t>13(3):213. doi: 10.1038/s41419-022-04654-7.</w:t>
      </w:r>
    </w:p>
    <w:p w14:paraId="340F22EF" w14:textId="08DDEA3E" w:rsidR="007456AF" w:rsidRPr="007456AF" w:rsidRDefault="007456AF" w:rsidP="007456AF">
      <w:pPr>
        <w:pStyle w:val="a7"/>
        <w:shd w:val="clear" w:color="auto" w:fill="FFFFFF"/>
        <w:spacing w:before="75" w:after="75"/>
        <w:rPr>
          <w:rFonts w:ascii="Calibri" w:eastAsia="MS Mincho" w:hAnsi="Calibri" w:cs="Calibri"/>
          <w:color w:val="1C1D1E"/>
          <w:sz w:val="21"/>
          <w:szCs w:val="21"/>
        </w:rPr>
      </w:pPr>
      <w:r>
        <w:rPr>
          <w:rFonts w:ascii="Calibri" w:eastAsia="MS Mincho" w:hAnsi="Calibri" w:cs="Calibri"/>
          <w:color w:val="1C1D1E"/>
          <w:sz w:val="21"/>
          <w:szCs w:val="21"/>
        </w:rPr>
        <w:t>3</w:t>
      </w:r>
      <w:r w:rsidRPr="007456AF">
        <w:rPr>
          <w:rFonts w:ascii="Calibri" w:eastAsia="MS Mincho" w:hAnsi="Calibri" w:cs="Calibri"/>
          <w:color w:val="1C1D1E"/>
          <w:sz w:val="21"/>
          <w:szCs w:val="21"/>
        </w:rPr>
        <w:t xml:space="preserve">. Yang T, Zhu C, Shi Y, </w:t>
      </w:r>
      <w:r>
        <w:rPr>
          <w:rFonts w:asciiTheme="minorEastAsia" w:eastAsiaTheme="minorEastAsia" w:hAnsiTheme="minorEastAsia" w:cs="Calibri" w:hint="eastAsia"/>
          <w:color w:val="1C1D1E"/>
          <w:sz w:val="21"/>
          <w:szCs w:val="21"/>
          <w:lang w:eastAsia="zh-CN"/>
        </w:rPr>
        <w:t>et</w:t>
      </w:r>
      <w:r>
        <w:rPr>
          <w:rFonts w:ascii="Calibri" w:eastAsia="MS Mincho" w:hAnsi="Calibri" w:cs="Calibri"/>
          <w:color w:val="1C1D1E"/>
          <w:sz w:val="21"/>
          <w:szCs w:val="21"/>
        </w:rPr>
        <w:t xml:space="preserve"> al.</w:t>
      </w:r>
      <w:r w:rsidRPr="007456AF">
        <w:rPr>
          <w:rFonts w:ascii="Calibri" w:eastAsia="MS Mincho" w:hAnsi="Calibri" w:cs="Calibri"/>
          <w:color w:val="1C1D1E"/>
          <w:sz w:val="21"/>
          <w:szCs w:val="21"/>
        </w:rPr>
        <w:t xml:space="preserve"> RDIVpSGP motif of ASPP2 binds to 14-3-3 and enhances ASPP2/k18/14-3-3 ternary complex formulation to promote BRAF/MEK/ERK signal inhibited cell proliferation in hepatocellular carcinoma. Cancer Gene Ther.</w:t>
      </w:r>
      <w:r>
        <w:rPr>
          <w:rFonts w:ascii="Calibri" w:eastAsia="MS Mincho" w:hAnsi="Calibri" w:cs="Calibri"/>
          <w:color w:val="1C1D1E"/>
          <w:sz w:val="21"/>
          <w:szCs w:val="21"/>
        </w:rPr>
        <w:t xml:space="preserve"> 2022; </w:t>
      </w:r>
      <w:r w:rsidRPr="007456AF">
        <w:rPr>
          <w:rFonts w:ascii="Calibri" w:eastAsia="MS Mincho" w:hAnsi="Calibri" w:cs="Calibri"/>
          <w:color w:val="1C1D1E"/>
          <w:sz w:val="21"/>
          <w:szCs w:val="21"/>
        </w:rPr>
        <w:t>29(11):1616-1627. doi: 10.1038/s41417-022-00474-1.</w:t>
      </w:r>
    </w:p>
    <w:p w14:paraId="43BC09FC" w14:textId="6022E843" w:rsidR="007456AF" w:rsidRPr="007456AF" w:rsidRDefault="007456AF" w:rsidP="007456AF">
      <w:pPr>
        <w:pStyle w:val="a7"/>
        <w:shd w:val="clear" w:color="auto" w:fill="FFFFFF"/>
        <w:spacing w:before="75" w:after="75"/>
        <w:rPr>
          <w:rFonts w:ascii="Calibri" w:eastAsia="MS Mincho" w:hAnsi="Calibri" w:cs="Calibri"/>
          <w:color w:val="1C1D1E"/>
          <w:sz w:val="21"/>
          <w:szCs w:val="21"/>
        </w:rPr>
      </w:pPr>
      <w:r>
        <w:rPr>
          <w:rFonts w:ascii="Calibri" w:eastAsia="MS Mincho" w:hAnsi="Calibri" w:cs="Calibri"/>
          <w:color w:val="1C1D1E"/>
          <w:sz w:val="21"/>
          <w:szCs w:val="21"/>
        </w:rPr>
        <w:t>4</w:t>
      </w:r>
      <w:r w:rsidRPr="007456AF">
        <w:rPr>
          <w:rFonts w:ascii="Calibri" w:eastAsia="MS Mincho" w:hAnsi="Calibri" w:cs="Calibri"/>
          <w:color w:val="1C1D1E"/>
          <w:sz w:val="21"/>
          <w:szCs w:val="21"/>
        </w:rPr>
        <w:t>. Yang T, Ouyang Y, Gao Y, Liu D, Zang Y, Chen D</w:t>
      </w:r>
      <w:r>
        <w:rPr>
          <w:rFonts w:ascii="Calibri" w:eastAsia="MS Mincho" w:hAnsi="Calibri" w:cs="Calibri"/>
          <w:color w:val="1C1D1E"/>
          <w:sz w:val="21"/>
          <w:szCs w:val="21"/>
        </w:rPr>
        <w:t>.</w:t>
      </w:r>
      <w:r w:rsidRPr="007456AF">
        <w:rPr>
          <w:rFonts w:ascii="Calibri" w:eastAsia="MS Mincho" w:hAnsi="Calibri" w:cs="Calibri"/>
          <w:color w:val="1C1D1E"/>
          <w:sz w:val="21"/>
          <w:szCs w:val="21"/>
        </w:rPr>
        <w:t xml:space="preserve"> Enriched high</w:t>
      </w:r>
      <w:r w:rsidRPr="007456AF">
        <w:rPr>
          <w:rFonts w:ascii="MS Mincho" w:eastAsia="MS Mincho" w:hAnsi="MS Mincho" w:cs="MS Mincho" w:hint="eastAsia"/>
          <w:color w:val="1C1D1E"/>
          <w:sz w:val="21"/>
          <w:szCs w:val="21"/>
        </w:rPr>
        <w:t>‑</w:t>
      </w:r>
      <w:r w:rsidRPr="007456AF">
        <w:rPr>
          <w:rFonts w:ascii="Calibri" w:eastAsia="MS Mincho" w:hAnsi="Calibri" w:cs="Calibri"/>
          <w:color w:val="1C1D1E"/>
          <w:sz w:val="21"/>
          <w:szCs w:val="21"/>
        </w:rPr>
        <w:t>throughput reverse transcription</w:t>
      </w:r>
      <w:r w:rsidRPr="007456AF">
        <w:rPr>
          <w:rFonts w:ascii="MS Mincho" w:eastAsia="MS Mincho" w:hAnsi="MS Mincho" w:cs="MS Mincho" w:hint="eastAsia"/>
          <w:color w:val="1C1D1E"/>
          <w:sz w:val="21"/>
          <w:szCs w:val="21"/>
        </w:rPr>
        <w:t>‑</w:t>
      </w:r>
      <w:r w:rsidRPr="007456AF">
        <w:rPr>
          <w:rFonts w:ascii="Calibri" w:eastAsia="MS Mincho" w:hAnsi="Calibri" w:cs="Calibri"/>
          <w:color w:val="1C1D1E"/>
          <w:sz w:val="21"/>
          <w:szCs w:val="21"/>
        </w:rPr>
        <w:t>quantitative PCR template preparation without pre</w:t>
      </w:r>
      <w:r w:rsidRPr="007456AF">
        <w:rPr>
          <w:rFonts w:ascii="MS Mincho" w:eastAsia="MS Mincho" w:hAnsi="MS Mincho" w:cs="MS Mincho" w:hint="eastAsia"/>
          <w:color w:val="1C1D1E"/>
          <w:sz w:val="21"/>
          <w:szCs w:val="21"/>
        </w:rPr>
        <w:t>‑</w:t>
      </w:r>
      <w:r w:rsidRPr="007456AF">
        <w:rPr>
          <w:rFonts w:ascii="Calibri" w:eastAsia="MS Mincho" w:hAnsi="Calibri" w:cs="Calibri"/>
          <w:color w:val="1C1D1E"/>
          <w:sz w:val="21"/>
          <w:szCs w:val="21"/>
        </w:rPr>
        <w:t>amplification. Mol Med Rep</w:t>
      </w:r>
      <w:r>
        <w:rPr>
          <w:rFonts w:ascii="Calibri" w:eastAsia="MS Mincho" w:hAnsi="Calibri" w:cs="Calibri"/>
          <w:color w:val="1C1D1E"/>
          <w:sz w:val="21"/>
          <w:szCs w:val="21"/>
        </w:rPr>
        <w:t>.</w:t>
      </w:r>
      <w:r w:rsidRPr="007456AF">
        <w:rPr>
          <w:rFonts w:ascii="Calibri" w:eastAsia="MS Mincho" w:hAnsi="Calibri" w:cs="Calibri"/>
          <w:color w:val="1C1D1E"/>
          <w:sz w:val="21"/>
          <w:szCs w:val="21"/>
        </w:rPr>
        <w:t xml:space="preserve"> </w:t>
      </w:r>
      <w:r>
        <w:rPr>
          <w:rFonts w:ascii="Calibri" w:eastAsia="MS Mincho" w:hAnsi="Calibri" w:cs="Calibri"/>
          <w:color w:val="1C1D1E"/>
          <w:sz w:val="21"/>
          <w:szCs w:val="21"/>
        </w:rPr>
        <w:t xml:space="preserve">2020; </w:t>
      </w:r>
      <w:r w:rsidRPr="007456AF">
        <w:rPr>
          <w:rFonts w:ascii="Calibri" w:eastAsia="MS Mincho" w:hAnsi="Calibri" w:cs="Calibri"/>
          <w:color w:val="1C1D1E"/>
          <w:sz w:val="21"/>
          <w:szCs w:val="21"/>
        </w:rPr>
        <w:t>22(4):3541-3548. doi: 10.3892/mmr.2020.11389.</w:t>
      </w:r>
    </w:p>
    <w:p w14:paraId="27188A85" w14:textId="0C0CFF96" w:rsidR="00972E3F" w:rsidRPr="00C10DBA" w:rsidRDefault="000F200F" w:rsidP="00972E3F">
      <w:pPr>
        <w:widowControl/>
        <w:spacing w:line="480" w:lineRule="auto"/>
        <w:rPr>
          <w:rFonts w:eastAsia="宋体" w:cstheme="minorHAnsi"/>
          <w:b/>
          <w:bCs/>
          <w:color w:val="000000" w:themeColor="text1"/>
          <w:sz w:val="24"/>
          <w:szCs w:val="28"/>
        </w:rPr>
      </w:pPr>
      <w:r>
        <w:rPr>
          <w:rFonts w:eastAsia="宋体" w:cstheme="minorHAnsi"/>
          <w:b/>
          <w:bCs/>
          <w:color w:val="000000" w:themeColor="text1"/>
          <w:sz w:val="24"/>
          <w:szCs w:val="28"/>
        </w:rPr>
        <w:lastRenderedPageBreak/>
        <w:t xml:space="preserve">2. </w:t>
      </w:r>
      <w:r w:rsidR="00972E3F" w:rsidRPr="00C10DBA">
        <w:rPr>
          <w:rFonts w:eastAsia="宋体" w:cstheme="minorHAnsi"/>
          <w:b/>
          <w:bCs/>
          <w:color w:val="000000" w:themeColor="text1"/>
          <w:sz w:val="24"/>
          <w:szCs w:val="28"/>
        </w:rPr>
        <w:t>Supplementary Figure legends</w:t>
      </w:r>
    </w:p>
    <w:p w14:paraId="7B299C42" w14:textId="77777777" w:rsidR="00E74959" w:rsidRPr="00C10DBA" w:rsidRDefault="00E74959" w:rsidP="00E74959">
      <w:pPr>
        <w:spacing w:line="360" w:lineRule="auto"/>
        <w:rPr>
          <w:rFonts w:eastAsia="宋体" w:cstheme="minorHAnsi"/>
          <w:color w:val="000000" w:themeColor="text1"/>
          <w:sz w:val="24"/>
        </w:rPr>
      </w:pPr>
      <w:r w:rsidRPr="00C10DBA">
        <w:rPr>
          <w:rFonts w:eastAsia="宋体" w:cstheme="minorHAnsi"/>
          <w:b/>
          <w:bCs/>
          <w:color w:val="000000" w:themeColor="text1"/>
          <w:sz w:val="24"/>
        </w:rPr>
        <w:t>Supplementary Figure 1</w:t>
      </w:r>
      <w:r w:rsidRPr="00C10DBA">
        <w:rPr>
          <w:rFonts w:eastAsia="宋体" w:cstheme="minorHAnsi"/>
          <w:color w:val="000000" w:themeColor="text1"/>
          <w:sz w:val="24"/>
        </w:rPr>
        <w:t>. Landscape of the NGF-enriched GSEA pathway in pan-cancer analysis (33 cancer types) and LIHC. (A) GSEA depicting the pathway of NGF in the pan-cancer analysis. (B) The NGF-activated/suppressed pathway ratio in the pan-cancer analysis. (C) The NGF-activated hallmarks of apoptosis in LIHC and pan-cancer analysis. Ca The NGF-activated hallmarks of apoptosis in LIHC, Cb the correlation of NGF expression and hallmarks of apoptosis in LIHC and Cc the correlation of NGF expression and hallmarks of apoptosis in pan-cancer. (D) The NGF-activated hallmarks of mitotic spindle formation in LIHC and pan-cancer analysis. Da The NGF-activated hallmarks of mitotic spindle formation in LIHC, Db the correlation of NGF expression and hallmarks of mitotic spindle formation in LIHC and Dc the correlation of NGF expression and hallmarks of mitotic spindle formation in pan-cancer.</w:t>
      </w:r>
    </w:p>
    <w:p w14:paraId="065C8A7D" w14:textId="77777777" w:rsidR="00E74959" w:rsidRPr="00C10DBA" w:rsidRDefault="00E74959" w:rsidP="00E74959">
      <w:pPr>
        <w:spacing w:line="360" w:lineRule="auto"/>
        <w:rPr>
          <w:rFonts w:eastAsia="宋体" w:cstheme="minorHAnsi"/>
          <w:color w:val="000000" w:themeColor="text1"/>
          <w:sz w:val="24"/>
        </w:rPr>
      </w:pPr>
      <w:r w:rsidRPr="00C10DBA">
        <w:rPr>
          <w:rFonts w:eastAsia="宋体" w:cstheme="minorHAnsi"/>
          <w:b/>
          <w:bCs/>
          <w:color w:val="000000" w:themeColor="text1"/>
          <w:sz w:val="24"/>
        </w:rPr>
        <w:t>Supplementary Figure 2</w:t>
      </w:r>
      <w:r w:rsidRPr="00C10DBA">
        <w:rPr>
          <w:rFonts w:eastAsia="宋体" w:cstheme="minorHAnsi"/>
          <w:color w:val="000000" w:themeColor="text1"/>
          <w:sz w:val="24"/>
        </w:rPr>
        <w:t>. Landscape of the NGFR-enriched GSEA pathway in pan-cancer analysis (33 cancer types) and LIHC. (A) GSEA presenting the pathway of NGFR in the pan-cancer analysis. (B) The NGFR activated/suppressed pathway ratio in the pan-cancer analysis. (C) The NGFR-activated hallmarks of apoptosis in LIHC and pan-cancer analysis. Ca The NGFR-activated hallmarks of apoptosis in LIHC, Cb the correlation of NGFR expression and hallmarks of apoptosis in LIHC and Cc the correlation of NGFR expression and hallmarks of apoptosis in pan-cancer. (D) The NGFR-activated hallmarks of mitotic spindle formation in LIHC and pan-cancer analysis. Da The NGFR-activated hallmarks of mitotic spindle formation in LIHC, Db the correlation of NGFR expression and hallmarks of mitotic spindle formation in LIHC and Dc the correlation of NGFR expression and hallmarks of mitotic spindle formation in pan-cancer.</w:t>
      </w:r>
    </w:p>
    <w:p w14:paraId="765D7A4C" w14:textId="0834E66A" w:rsidR="00E74959" w:rsidRPr="00C10DBA" w:rsidRDefault="00E74959" w:rsidP="00E74959">
      <w:pPr>
        <w:spacing w:line="360" w:lineRule="auto"/>
        <w:rPr>
          <w:rFonts w:eastAsia="宋体" w:cstheme="minorHAnsi"/>
          <w:color w:val="000000" w:themeColor="text1"/>
          <w:sz w:val="24"/>
        </w:rPr>
      </w:pPr>
      <w:r w:rsidRPr="00C10DBA">
        <w:rPr>
          <w:rFonts w:eastAsia="宋体" w:cstheme="minorHAnsi"/>
          <w:b/>
          <w:bCs/>
          <w:color w:val="000000" w:themeColor="text1"/>
          <w:sz w:val="24"/>
        </w:rPr>
        <w:t>Supplementary Figure 3</w:t>
      </w:r>
      <w:r w:rsidRPr="00C10DBA">
        <w:rPr>
          <w:rFonts w:eastAsia="宋体" w:cstheme="minorHAnsi"/>
          <w:color w:val="000000" w:themeColor="text1"/>
          <w:sz w:val="24"/>
        </w:rPr>
        <w:t xml:space="preserve">. The NGF-NGFR communication inefficiency regulated singles. (A) Expression heatmap of the differentially expressed genes between NGF/NGFR low expression and NGF/NGFR high expression groups of tumors. (B) Volcano plot for the differentially expressed genes between NGF/NGFR low-expression and NGF/NGFR high-expression groups of tumors. (C) Gene enrichment analysis revealing the </w:t>
      </w:r>
      <w:r w:rsidRPr="00C10DBA">
        <w:rPr>
          <w:rFonts w:eastAsia="宋体" w:cstheme="minorHAnsi"/>
          <w:color w:val="000000" w:themeColor="text1"/>
          <w:sz w:val="24"/>
        </w:rPr>
        <w:lastRenderedPageBreak/>
        <w:t>molecular function of the differentially expressed genes between NGF/NGFR low expression and NGF/NGFR high-expression groups of tumors. (D) Gene enrichment analysis revealing the biological processes of the differentially expressed genes between the NGF/NGFR low-expression and NGF/NGFR high-expression groups of tumors. (E) Gene enrichment analysis revealing the cell composition related to the differentially expressed genes between the NGF/NGFR low-expression and NGF/NGFR high-expression groups of tumors. (F) Gene Set Enrichment Analysis of the differentially expressed genes between the NGF/NGFR low-expression and NGF/NGFR high-expression groups of tumors.</w:t>
      </w:r>
    </w:p>
    <w:p w14:paraId="55ECE1B0" w14:textId="6A63165A" w:rsidR="00E74959" w:rsidRPr="00C10DBA" w:rsidRDefault="00E74959" w:rsidP="00E74959">
      <w:pPr>
        <w:spacing w:line="480" w:lineRule="auto"/>
        <w:rPr>
          <w:rFonts w:eastAsia="宋体" w:cstheme="minorHAnsi"/>
          <w:color w:val="000000" w:themeColor="text1"/>
          <w:sz w:val="24"/>
          <w:szCs w:val="28"/>
        </w:rPr>
      </w:pPr>
      <w:r w:rsidRPr="00C10DBA">
        <w:rPr>
          <w:rFonts w:eastAsia="宋体" w:cstheme="minorHAnsi"/>
          <w:b/>
          <w:bCs/>
          <w:color w:val="000000" w:themeColor="text1"/>
          <w:sz w:val="24"/>
          <w:szCs w:val="28"/>
        </w:rPr>
        <w:t>Supplementary Figure 4</w:t>
      </w:r>
      <w:r w:rsidRPr="00C10DBA">
        <w:rPr>
          <w:rFonts w:eastAsia="宋体" w:cstheme="minorHAnsi"/>
          <w:color w:val="000000" w:themeColor="text1"/>
          <w:sz w:val="24"/>
          <w:szCs w:val="28"/>
        </w:rPr>
        <w:t>. NGF-NGFR communication inefficient in the antitumor immunotherapy of PD-1 mAb. (A-B) Tumors of Huh7 cell infected with NGF-shRNA-Lv in immunodeficient mice tail vein injected with NGFR-shRNA-rAd infected CD3+ T cells. Immune system reconstituted immunodeficient mice were exposed to PD-1 mAb, subsequently. n=6, *p&lt;0.05, **p&lt;0.01, ***p&lt;0.001, ****p&lt;0.0001. (C) CD3 and CD8 expression was recorded with immunohistochemistry staining in tumor tissues of mice. Scale bars, 60 μm.</w:t>
      </w:r>
    </w:p>
    <w:p w14:paraId="71CCB948" w14:textId="3135686F" w:rsidR="00E74959" w:rsidRPr="00C10DBA" w:rsidRDefault="00E74959" w:rsidP="00972E3F">
      <w:pPr>
        <w:spacing w:line="480" w:lineRule="auto"/>
        <w:rPr>
          <w:rFonts w:eastAsia="宋体" w:cstheme="minorHAnsi"/>
          <w:color w:val="000000" w:themeColor="text1"/>
          <w:sz w:val="24"/>
          <w:szCs w:val="28"/>
        </w:rPr>
      </w:pPr>
      <w:r w:rsidRPr="00C10DBA">
        <w:rPr>
          <w:rFonts w:eastAsia="宋体" w:cstheme="minorHAnsi"/>
          <w:b/>
          <w:bCs/>
          <w:color w:val="000000" w:themeColor="text1"/>
          <w:sz w:val="24"/>
          <w:szCs w:val="28"/>
        </w:rPr>
        <w:t>Supplementary Figure 5</w:t>
      </w:r>
      <w:r w:rsidRPr="00C10DBA">
        <w:rPr>
          <w:rFonts w:eastAsia="宋体" w:cstheme="minorHAnsi"/>
          <w:color w:val="000000" w:themeColor="text1"/>
          <w:sz w:val="24"/>
          <w:szCs w:val="28"/>
        </w:rPr>
        <w:t>. Function role of NGF and NGFR expression in HCC patients. Clinical role of NGF expression of the overall (A), disease-specific (B), disease-free interval (C), and progression-free survival (D) in LIHC patients. Clinical role of NGFR expression of the overall (E), disease-specific (F), disease-free interval (G), and progression-free survival (H) in LIHC patients.</w:t>
      </w:r>
    </w:p>
    <w:p w14:paraId="7E8309F1" w14:textId="77777777" w:rsidR="00E74959" w:rsidRPr="00C10DBA" w:rsidRDefault="00E74959" w:rsidP="00E74959">
      <w:pPr>
        <w:spacing w:line="360" w:lineRule="auto"/>
        <w:rPr>
          <w:rFonts w:eastAsia="宋体" w:cstheme="minorHAnsi"/>
          <w:color w:val="000000" w:themeColor="text1"/>
          <w:sz w:val="24"/>
        </w:rPr>
      </w:pPr>
      <w:r w:rsidRPr="00C10DBA">
        <w:rPr>
          <w:rFonts w:eastAsia="宋体" w:cstheme="minorHAnsi"/>
          <w:b/>
          <w:bCs/>
          <w:color w:val="000000" w:themeColor="text1"/>
          <w:sz w:val="24"/>
        </w:rPr>
        <w:t>Supplementary Figure 6</w:t>
      </w:r>
      <w:r w:rsidRPr="00C10DBA">
        <w:rPr>
          <w:rFonts w:eastAsia="宋体" w:cstheme="minorHAnsi"/>
          <w:color w:val="000000" w:themeColor="text1"/>
          <w:sz w:val="24"/>
        </w:rPr>
        <w:t xml:space="preserve">. The landscape of immune infiltration in the NGF high-expression and low-expression patients. (A) Bar plot illustrating immune infiltration in the NGF high-expression and low-expression LIHC patients (B) Heatmap illustrating immune infiltration in the NGF high-expression and low-expression LIHC patients. (C) Correlation of NGF expression with immune infiltration in pan-cancer analysis. (D) The </w:t>
      </w:r>
      <w:r w:rsidRPr="00C10DBA">
        <w:rPr>
          <w:rFonts w:eastAsia="宋体" w:cstheme="minorHAnsi"/>
          <w:color w:val="000000" w:themeColor="text1"/>
          <w:sz w:val="24"/>
        </w:rPr>
        <w:lastRenderedPageBreak/>
        <w:t>positive correlation of NGF expression with infiltrated</w:t>
      </w:r>
      <w:bookmarkStart w:id="10" w:name="_Hlk118044057"/>
      <w:r w:rsidRPr="00C10DBA">
        <w:rPr>
          <w:rFonts w:eastAsia="宋体" w:cstheme="minorHAnsi"/>
          <w:color w:val="000000" w:themeColor="text1"/>
          <w:sz w:val="24"/>
        </w:rPr>
        <w:t xml:space="preserve"> memory CD4</w:t>
      </w:r>
      <w:r w:rsidRPr="00C10DBA">
        <w:rPr>
          <w:rFonts w:eastAsia="宋体" w:cstheme="minorHAnsi"/>
          <w:color w:val="000000" w:themeColor="text1"/>
          <w:sz w:val="24"/>
          <w:vertAlign w:val="superscript"/>
        </w:rPr>
        <w:t>+</w:t>
      </w:r>
      <w:r w:rsidRPr="00C10DBA">
        <w:rPr>
          <w:rFonts w:eastAsia="宋体" w:cstheme="minorHAnsi"/>
          <w:color w:val="000000" w:themeColor="text1"/>
          <w:sz w:val="24"/>
        </w:rPr>
        <w:t xml:space="preserve"> T cells (Da), CD8</w:t>
      </w:r>
      <w:r w:rsidRPr="00C10DBA">
        <w:rPr>
          <w:rFonts w:eastAsia="宋体" w:cstheme="minorHAnsi"/>
          <w:color w:val="000000" w:themeColor="text1"/>
          <w:sz w:val="24"/>
          <w:vertAlign w:val="superscript"/>
        </w:rPr>
        <w:t>+</w:t>
      </w:r>
      <w:r w:rsidRPr="00C10DBA">
        <w:rPr>
          <w:rFonts w:eastAsia="宋体" w:cstheme="minorHAnsi"/>
          <w:color w:val="000000" w:themeColor="text1"/>
          <w:sz w:val="24"/>
        </w:rPr>
        <w:t xml:space="preserve"> T cells (Db) and activated NK cells (Dc) in LIHC</w:t>
      </w:r>
      <w:bookmarkEnd w:id="10"/>
      <w:r w:rsidRPr="00C10DBA">
        <w:rPr>
          <w:rFonts w:eastAsia="宋体" w:cstheme="minorHAnsi"/>
          <w:color w:val="000000" w:themeColor="text1"/>
          <w:sz w:val="24"/>
        </w:rPr>
        <w:t>.</w:t>
      </w:r>
    </w:p>
    <w:p w14:paraId="68F44835" w14:textId="1BF26EBA" w:rsidR="00E74959" w:rsidRPr="00C10DBA" w:rsidRDefault="00E74959" w:rsidP="00E74959">
      <w:pPr>
        <w:spacing w:line="360" w:lineRule="auto"/>
        <w:rPr>
          <w:rFonts w:eastAsia="宋体" w:cstheme="minorHAnsi"/>
          <w:color w:val="000000" w:themeColor="text1"/>
          <w:sz w:val="24"/>
        </w:rPr>
      </w:pPr>
      <w:r w:rsidRPr="00C10DBA">
        <w:rPr>
          <w:rFonts w:eastAsia="宋体" w:cstheme="minorHAnsi"/>
          <w:b/>
          <w:bCs/>
          <w:color w:val="000000" w:themeColor="text1"/>
          <w:sz w:val="24"/>
        </w:rPr>
        <w:t>Supplementary Figure 7</w:t>
      </w:r>
      <w:r w:rsidRPr="00C10DBA">
        <w:rPr>
          <w:rFonts w:eastAsia="宋体" w:cstheme="minorHAnsi"/>
          <w:color w:val="000000" w:themeColor="text1"/>
          <w:sz w:val="24"/>
        </w:rPr>
        <w:t>. Landscape of immune infiltration in the NGFR high-expression and low-expression patients. (A) Bar plot illustrating immune infiltration in the NGFR high-expression and low-expression LIHC patients (B) Heatmap illustrating immune infiltration in the NGFR high-expression and low-expression LIHC patients. (C) Correlation of NGF expression with immune infiltration in pan-cancer analysis. (D) The positive correlation of NGF expression with infiltrated memory CD4</w:t>
      </w:r>
      <w:r w:rsidRPr="00C10DBA">
        <w:rPr>
          <w:rFonts w:eastAsia="宋体" w:cstheme="minorHAnsi"/>
          <w:color w:val="000000" w:themeColor="text1"/>
          <w:sz w:val="24"/>
          <w:vertAlign w:val="superscript"/>
        </w:rPr>
        <w:t>+</w:t>
      </w:r>
      <w:r w:rsidRPr="00C10DBA">
        <w:rPr>
          <w:rFonts w:eastAsia="宋体" w:cstheme="minorHAnsi"/>
          <w:color w:val="000000" w:themeColor="text1"/>
          <w:sz w:val="24"/>
        </w:rPr>
        <w:t xml:space="preserve"> T cell in LIHC.</w:t>
      </w:r>
    </w:p>
    <w:p w14:paraId="46D23061" w14:textId="5DD204B9" w:rsidR="00E74959" w:rsidRPr="00C10DBA" w:rsidRDefault="00E74959" w:rsidP="00972E3F">
      <w:pPr>
        <w:spacing w:line="480" w:lineRule="auto"/>
        <w:rPr>
          <w:rFonts w:eastAsia="宋体" w:cstheme="minorHAnsi"/>
          <w:color w:val="000000" w:themeColor="text1"/>
          <w:sz w:val="24"/>
          <w:szCs w:val="28"/>
        </w:rPr>
      </w:pPr>
      <w:r w:rsidRPr="00C10DBA">
        <w:rPr>
          <w:rFonts w:eastAsia="宋体" w:cstheme="minorHAnsi"/>
          <w:b/>
          <w:bCs/>
          <w:color w:val="000000" w:themeColor="text1"/>
          <w:sz w:val="24"/>
          <w:szCs w:val="28"/>
        </w:rPr>
        <w:t>Supplementary Figure 8</w:t>
      </w:r>
      <w:r w:rsidRPr="00C10DBA">
        <w:rPr>
          <w:rFonts w:eastAsia="宋体" w:cstheme="minorHAnsi"/>
          <w:color w:val="000000" w:themeColor="text1"/>
          <w:sz w:val="24"/>
          <w:szCs w:val="28"/>
        </w:rPr>
        <w:t>. Co-expression of PD-1 and PD-L1 with NGF and NGFR. (A) Co-expression of NGF with PD-1 (Aa) and PD-L1 (Ab), and NGFR with PD-1 (Ac) and PD-L1 (Ad) in tumors from TCGA. (B) Co-expression of NGF with PD-1 (Ba) and PD-L1 (Bb), and NGFR with PD-1 (Bc) and PD-L1 (Bd) in tumors from LIHC. (C) Co-expression of NGF with PD-1 (Ca) and PD-L1 (Cb), and NGFR with PD-1 (Cc) and PD-L1 (Cd) in tumors from GTEx.</w:t>
      </w:r>
    </w:p>
    <w:p w14:paraId="7386E85B" w14:textId="3DC5CED4" w:rsidR="00972E3F" w:rsidRPr="00C10DBA" w:rsidRDefault="00972E3F" w:rsidP="00972E3F">
      <w:pPr>
        <w:spacing w:line="480" w:lineRule="auto"/>
        <w:rPr>
          <w:rFonts w:eastAsia="宋体" w:cstheme="minorHAnsi"/>
          <w:color w:val="000000" w:themeColor="text1"/>
          <w:sz w:val="24"/>
          <w:szCs w:val="28"/>
        </w:rPr>
      </w:pPr>
      <w:r w:rsidRPr="00C10DBA">
        <w:rPr>
          <w:rFonts w:eastAsia="宋体" w:cstheme="minorHAnsi"/>
          <w:b/>
          <w:bCs/>
          <w:color w:val="000000" w:themeColor="text1"/>
          <w:sz w:val="24"/>
          <w:szCs w:val="28"/>
        </w:rPr>
        <w:t xml:space="preserve">Supplementary Figure </w:t>
      </w:r>
      <w:r w:rsidR="00E74959" w:rsidRPr="00C10DBA">
        <w:rPr>
          <w:rFonts w:eastAsia="宋体" w:cstheme="minorHAnsi"/>
          <w:b/>
          <w:bCs/>
          <w:color w:val="000000" w:themeColor="text1"/>
          <w:sz w:val="24"/>
          <w:szCs w:val="28"/>
        </w:rPr>
        <w:t>9</w:t>
      </w:r>
      <w:r w:rsidRPr="00C10DBA">
        <w:rPr>
          <w:rFonts w:eastAsia="宋体" w:cstheme="minorHAnsi"/>
          <w:color w:val="000000" w:themeColor="text1"/>
          <w:sz w:val="24"/>
          <w:szCs w:val="28"/>
        </w:rPr>
        <w:t>. Edu staining of PREX1 expression on NGF-NGFR communication inefficient. (A) Edu staining was performed for the effect of PREX1-siRNA on cell proliferation of Jurkat cells. (B) Edu staining was performed for the effect of PREX1 overexpression on cell proliferation of Jurkat cells. Scale bars, 60 μm. Genomic DNA was stained in blue with DAPI solution. N=10, *p&lt;0.05, **p&lt;0.01, ***p&lt;0.001.</w:t>
      </w:r>
    </w:p>
    <w:p w14:paraId="545BA852" w14:textId="77777777" w:rsidR="00E74959" w:rsidRPr="00C10DBA" w:rsidRDefault="00E74959" w:rsidP="00E74959">
      <w:pPr>
        <w:spacing w:line="360" w:lineRule="auto"/>
        <w:rPr>
          <w:rFonts w:eastAsia="宋体" w:cstheme="minorHAnsi"/>
          <w:color w:val="000000"/>
          <w:sz w:val="24"/>
          <w:szCs w:val="28"/>
        </w:rPr>
      </w:pPr>
      <w:r w:rsidRPr="00C10DBA">
        <w:rPr>
          <w:rFonts w:eastAsia="宋体" w:cstheme="minorHAnsi"/>
          <w:b/>
          <w:bCs/>
          <w:color w:val="000000" w:themeColor="text1"/>
          <w:sz w:val="24"/>
        </w:rPr>
        <w:t>Supplementary</w:t>
      </w:r>
      <w:r w:rsidRPr="00C10DBA">
        <w:rPr>
          <w:rFonts w:eastAsia="宋体" w:cstheme="minorHAnsi"/>
          <w:b/>
          <w:bCs/>
          <w:color w:val="000000"/>
          <w:sz w:val="24"/>
          <w:szCs w:val="28"/>
        </w:rPr>
        <w:t xml:space="preserve"> Figure 10</w:t>
      </w:r>
      <w:r w:rsidRPr="00C10DBA">
        <w:rPr>
          <w:rFonts w:eastAsia="宋体" w:cstheme="minorHAnsi"/>
          <w:color w:val="000000"/>
          <w:sz w:val="24"/>
          <w:szCs w:val="28"/>
        </w:rPr>
        <w:t>. Function role of NGF and NGFR expressions in HCC patients. Clinical role of NGF/NGFR expression in the (A) overall, (B) disease-specific, (C) disease-free interval, and (D) progression-free survival in LIHC patients. (E-H) Cox multivariate proportional hazard regression model for multivariate analysis of the hazard ratios (HRs); low expression of NGF or NGFR could serve as an independent prognostic factor for the (E) overall, (F) disease-specific, (G) disease-free interval, and (H) progression-</w:t>
      </w:r>
      <w:r w:rsidRPr="00C10DBA">
        <w:rPr>
          <w:rFonts w:eastAsia="宋体" w:cstheme="minorHAnsi"/>
          <w:color w:val="000000"/>
          <w:sz w:val="24"/>
          <w:szCs w:val="28"/>
        </w:rPr>
        <w:lastRenderedPageBreak/>
        <w:t>free survival.</w:t>
      </w:r>
    </w:p>
    <w:p w14:paraId="2F2E5C35" w14:textId="0BBA1233" w:rsidR="00E74959" w:rsidRPr="00C10DBA" w:rsidRDefault="00E74959" w:rsidP="00E74959">
      <w:pPr>
        <w:spacing w:line="480" w:lineRule="auto"/>
        <w:rPr>
          <w:rFonts w:eastAsia="宋体" w:cstheme="minorHAnsi"/>
          <w:color w:val="000000" w:themeColor="text1"/>
          <w:sz w:val="24"/>
          <w:szCs w:val="28"/>
        </w:rPr>
      </w:pPr>
      <w:bookmarkStart w:id="11" w:name="_Hlk106551313"/>
      <w:r w:rsidRPr="00C10DBA">
        <w:rPr>
          <w:rFonts w:eastAsia="宋体" w:cstheme="minorHAnsi"/>
          <w:b/>
          <w:bCs/>
          <w:color w:val="000000" w:themeColor="text1"/>
          <w:sz w:val="24"/>
          <w:szCs w:val="28"/>
        </w:rPr>
        <w:t>Supplementary Figure 1</w:t>
      </w:r>
      <w:r w:rsidR="00BE043F">
        <w:rPr>
          <w:rFonts w:eastAsia="宋体" w:cstheme="minorHAnsi"/>
          <w:b/>
          <w:bCs/>
          <w:color w:val="000000" w:themeColor="text1"/>
          <w:sz w:val="24"/>
          <w:szCs w:val="28"/>
        </w:rPr>
        <w:t>1</w:t>
      </w:r>
      <w:r w:rsidRPr="00C10DBA">
        <w:rPr>
          <w:rFonts w:eastAsia="宋体" w:cstheme="minorHAnsi"/>
          <w:color w:val="000000" w:themeColor="text1"/>
          <w:sz w:val="24"/>
          <w:szCs w:val="28"/>
        </w:rPr>
        <w:t>.</w:t>
      </w:r>
      <w:bookmarkEnd w:id="11"/>
      <w:r w:rsidRPr="00C10DBA">
        <w:rPr>
          <w:rFonts w:eastAsia="宋体" w:cstheme="minorHAnsi"/>
          <w:color w:val="000000" w:themeColor="text1"/>
          <w:sz w:val="24"/>
          <w:szCs w:val="28"/>
        </w:rPr>
        <w:t xml:space="preserve"> H3-Ser28 staining of PREX1 expression on NGF-NGFR communication inefficient. (A) H3-Ser28 staining was performed for the effect of PREX1-siRNA on cell proliferation of Jurkat cells. (B) H3-Ser28 staining was performed for the effect of PREX1 overexpression on cell proliferation of Jurkat cells. Scale bars, 60 μm. Genomic DNA was stained in blue with DAPI solution. N=10, *p&lt;0.05, **p&lt;0.01, ***p&lt;0.001.</w:t>
      </w:r>
    </w:p>
    <w:p w14:paraId="3BFEB959" w14:textId="77777777" w:rsidR="00972E3F" w:rsidRPr="00C10DBA" w:rsidRDefault="00972E3F">
      <w:pPr>
        <w:rPr>
          <w:rFonts w:eastAsia="宋体" w:cstheme="minorHAnsi"/>
          <w:color w:val="000000" w:themeColor="text1"/>
          <w:sz w:val="24"/>
          <w:szCs w:val="28"/>
        </w:rPr>
      </w:pPr>
    </w:p>
    <w:sectPr w:rsidR="00972E3F" w:rsidRPr="00C10DB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4CCC08" w14:textId="77777777" w:rsidR="003C3A32" w:rsidRDefault="003C3A32" w:rsidP="00492CA5">
      <w:r>
        <w:separator/>
      </w:r>
    </w:p>
  </w:endnote>
  <w:endnote w:type="continuationSeparator" w:id="0">
    <w:p w14:paraId="0843C77A" w14:textId="77777777" w:rsidR="003C3A32" w:rsidRDefault="003C3A32" w:rsidP="00492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MS Mincho">
    <w:altName w:val="Yu Gothic"/>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D60EAE" w14:textId="77777777" w:rsidR="003C3A32" w:rsidRDefault="003C3A32" w:rsidP="00492CA5">
      <w:r>
        <w:separator/>
      </w:r>
    </w:p>
  </w:footnote>
  <w:footnote w:type="continuationSeparator" w:id="0">
    <w:p w14:paraId="33F276ED" w14:textId="77777777" w:rsidR="003C3A32" w:rsidRDefault="003C3A32" w:rsidP="00492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FDD"/>
    <w:rsid w:val="000F200F"/>
    <w:rsid w:val="00185BD0"/>
    <w:rsid w:val="00296BEA"/>
    <w:rsid w:val="003C3A32"/>
    <w:rsid w:val="00492CA5"/>
    <w:rsid w:val="005769C8"/>
    <w:rsid w:val="007456AF"/>
    <w:rsid w:val="00972E3F"/>
    <w:rsid w:val="00BE043F"/>
    <w:rsid w:val="00C10DBA"/>
    <w:rsid w:val="00D04D77"/>
    <w:rsid w:val="00D828B8"/>
    <w:rsid w:val="00E74959"/>
    <w:rsid w:val="00F72FDD"/>
    <w:rsid w:val="00F94332"/>
    <w:rsid w:val="00FC0D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3B4F7C"/>
  <w15:chartTrackingRefBased/>
  <w15:docId w15:val="{1F7FFB3C-ED73-4ECD-A674-372277974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2CA5"/>
    <w:pPr>
      <w:widowControl w:val="0"/>
      <w:jc w:val="both"/>
    </w:pPr>
  </w:style>
  <w:style w:type="paragraph" w:styleId="3">
    <w:name w:val="heading 3"/>
    <w:basedOn w:val="a"/>
    <w:next w:val="a"/>
    <w:link w:val="30"/>
    <w:uiPriority w:val="9"/>
    <w:unhideWhenUsed/>
    <w:qFormat/>
    <w:rsid w:val="00492CA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2CA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92CA5"/>
    <w:rPr>
      <w:sz w:val="18"/>
      <w:szCs w:val="18"/>
    </w:rPr>
  </w:style>
  <w:style w:type="paragraph" w:styleId="a5">
    <w:name w:val="footer"/>
    <w:basedOn w:val="a"/>
    <w:link w:val="a6"/>
    <w:uiPriority w:val="99"/>
    <w:unhideWhenUsed/>
    <w:rsid w:val="00492CA5"/>
    <w:pPr>
      <w:tabs>
        <w:tab w:val="center" w:pos="4153"/>
        <w:tab w:val="right" w:pos="8306"/>
      </w:tabs>
      <w:snapToGrid w:val="0"/>
      <w:jc w:val="left"/>
    </w:pPr>
    <w:rPr>
      <w:sz w:val="18"/>
      <w:szCs w:val="18"/>
    </w:rPr>
  </w:style>
  <w:style w:type="character" w:customStyle="1" w:styleId="a6">
    <w:name w:val="页脚 字符"/>
    <w:basedOn w:val="a0"/>
    <w:link w:val="a5"/>
    <w:uiPriority w:val="99"/>
    <w:rsid w:val="00492CA5"/>
    <w:rPr>
      <w:sz w:val="18"/>
      <w:szCs w:val="18"/>
    </w:rPr>
  </w:style>
  <w:style w:type="character" w:customStyle="1" w:styleId="30">
    <w:name w:val="标题 3 字符"/>
    <w:basedOn w:val="a0"/>
    <w:link w:val="3"/>
    <w:uiPriority w:val="9"/>
    <w:qFormat/>
    <w:rsid w:val="00492CA5"/>
    <w:rPr>
      <w:b/>
      <w:bCs/>
      <w:sz w:val="32"/>
      <w:szCs w:val="32"/>
    </w:rPr>
  </w:style>
  <w:style w:type="paragraph" w:styleId="a7">
    <w:name w:val="Normal (Web)"/>
    <w:basedOn w:val="a"/>
    <w:uiPriority w:val="99"/>
    <w:unhideWhenUsed/>
    <w:rsid w:val="007456AF"/>
    <w:pPr>
      <w:widowControl/>
      <w:spacing w:before="100" w:beforeAutospacing="1" w:after="100" w:afterAutospacing="1"/>
      <w:jc w:val="left"/>
    </w:pPr>
    <w:rPr>
      <w:rFonts w:ascii="Times New Roman" w:eastAsia="Times New Roman" w:hAnsi="Times New Roman" w:cs="Times New Roman"/>
      <w:kern w:val="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8</Pages>
  <Words>2209</Words>
  <Characters>12594</Characters>
  <Application>Microsoft Office Word</Application>
  <DocSecurity>0</DocSecurity>
  <Lines>104</Lines>
  <Paragraphs>29</Paragraphs>
  <ScaleCrop>false</ScaleCrop>
  <Company/>
  <LinksUpToDate>false</LinksUpToDate>
  <CharactersWithSpaces>14774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 庆国</dc:creator>
  <cp:keywords/>
  <dc:description/>
  <cp:lastModifiedBy>徐 庆国</cp:lastModifiedBy>
  <cp:revision>10</cp:revision>
  <dcterms:created xsi:type="dcterms:W3CDTF">2022-12-06T04:21:00Z</dcterms:created>
  <dcterms:modified xsi:type="dcterms:W3CDTF">2022-12-11T09:05:00Z</dcterms:modified>
</cp:coreProperties>
</file>