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87ADF" w14:textId="77777777" w:rsidR="000F5B93" w:rsidRPr="00F17989" w:rsidRDefault="000F5B93" w:rsidP="000F5B93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17989">
        <w:rPr>
          <w:rFonts w:ascii="Times New Roman" w:hAnsi="Times New Roman" w:cs="Times New Roman"/>
          <w:b/>
          <w:bCs/>
          <w:sz w:val="28"/>
          <w:szCs w:val="28"/>
        </w:rPr>
        <w:t xml:space="preserve">Appendix E1 </w:t>
      </w:r>
    </w:p>
    <w:p w14:paraId="077E8459" w14:textId="77777777" w:rsidR="000F5B93" w:rsidRPr="00F17989" w:rsidRDefault="000F5B93" w:rsidP="000F5B9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17989">
        <w:rPr>
          <w:rFonts w:ascii="Times New Roman" w:hAnsi="Times New Roman" w:cs="Times New Roman"/>
          <w:b/>
          <w:sz w:val="24"/>
          <w:szCs w:val="24"/>
        </w:rPr>
        <w:t xml:space="preserve">Neoadjuvant Treatment </w:t>
      </w:r>
    </w:p>
    <w:p w14:paraId="1BA7FAD0" w14:textId="77777777" w:rsidR="000F5B93" w:rsidRPr="00F17989" w:rsidRDefault="000F5B93" w:rsidP="000F5B93">
      <w:pPr>
        <w:spacing w:line="480" w:lineRule="auto"/>
        <w:ind w:firstLineChars="200" w:firstLine="440"/>
        <w:rPr>
          <w:rFonts w:ascii="Times New Roman" w:hAnsi="Times New Roman" w:cs="Times New Roman"/>
          <w:sz w:val="22"/>
        </w:rPr>
      </w:pPr>
      <w:r w:rsidRPr="00F17989">
        <w:rPr>
          <w:rFonts w:ascii="Times New Roman" w:hAnsi="Times New Roman" w:cs="Times New Roman"/>
          <w:kern w:val="0"/>
          <w:sz w:val="22"/>
        </w:rPr>
        <w:t xml:space="preserve">All patients included in this study </w:t>
      </w:r>
      <w:r w:rsidRPr="00F17989">
        <w:rPr>
          <w:rFonts w:ascii="Times New Roman" w:hAnsi="Times New Roman" w:cs="Times New Roman"/>
          <w:sz w:val="22"/>
        </w:rPr>
        <w:t xml:space="preserve">received </w:t>
      </w:r>
      <w:proofErr w:type="spellStart"/>
      <w:r w:rsidRPr="00F17989">
        <w:rPr>
          <w:rFonts w:ascii="Times New Roman" w:hAnsi="Times New Roman" w:cs="Times New Roman"/>
          <w:sz w:val="22"/>
        </w:rPr>
        <w:t>i.v.</w:t>
      </w:r>
      <w:proofErr w:type="spellEnd"/>
      <w:r w:rsidRPr="00F17989">
        <w:rPr>
          <w:rFonts w:ascii="Times New Roman" w:hAnsi="Times New Roman" w:cs="Times New Roman"/>
          <w:sz w:val="22"/>
        </w:rPr>
        <w:t xml:space="preserve"> infusion of cisplatin (25mg/m</w:t>
      </w:r>
      <w:r w:rsidRPr="00F17989">
        <w:rPr>
          <w:rFonts w:ascii="Times New Roman" w:hAnsi="Times New Roman" w:cs="Times New Roman"/>
          <w:sz w:val="22"/>
          <w:vertAlign w:val="superscript"/>
        </w:rPr>
        <w:t>2</w:t>
      </w:r>
      <w:r w:rsidRPr="00F17989">
        <w:rPr>
          <w:rFonts w:ascii="Times New Roman" w:hAnsi="Times New Roman" w:cs="Times New Roman"/>
          <w:sz w:val="22"/>
        </w:rPr>
        <w:t>) on day 1, 8 and 15, out of every 28 days for 4 cycles and paclitaxel (80mg/m</w:t>
      </w:r>
      <w:r w:rsidRPr="00F17989">
        <w:rPr>
          <w:rFonts w:ascii="Times New Roman" w:hAnsi="Times New Roman" w:cs="Times New Roman"/>
          <w:sz w:val="22"/>
          <w:vertAlign w:val="superscript"/>
        </w:rPr>
        <w:t>2</w:t>
      </w:r>
      <w:r w:rsidRPr="00F17989">
        <w:rPr>
          <w:rFonts w:ascii="Times New Roman" w:hAnsi="Times New Roman" w:cs="Times New Roman"/>
          <w:sz w:val="22"/>
        </w:rPr>
        <w:t xml:space="preserve">) by weekly on day 1 for 16 weeks. In some </w:t>
      </w:r>
      <w:r w:rsidRPr="00F17989" w:rsidDel="005F371D">
        <w:rPr>
          <w:rFonts w:ascii="Times New Roman" w:hAnsi="Times New Roman" w:cs="Times New Roman"/>
          <w:sz w:val="22"/>
        </w:rPr>
        <w:t xml:space="preserve">patients with </w:t>
      </w:r>
      <w:r w:rsidRPr="00F17989">
        <w:rPr>
          <w:rFonts w:ascii="Times New Roman" w:hAnsi="Times New Roman" w:cs="Times New Roman"/>
          <w:sz w:val="22"/>
        </w:rPr>
        <w:t>HER2</w:t>
      </w:r>
      <w:r w:rsidRPr="00F17989" w:rsidDel="005F371D">
        <w:rPr>
          <w:rFonts w:ascii="Times New Roman" w:hAnsi="Times New Roman" w:cs="Times New Roman"/>
          <w:sz w:val="22"/>
        </w:rPr>
        <w:t>/receptor-positive lesions</w:t>
      </w:r>
      <w:r w:rsidRPr="00F17989">
        <w:rPr>
          <w:rFonts w:ascii="Times New Roman" w:hAnsi="Times New Roman" w:cs="Times New Roman"/>
          <w:sz w:val="22"/>
        </w:rPr>
        <w:t xml:space="preserve">, concomitant trastuzumab was used in combination with the chemotherapy regimen at a weekly basis (the first dose, 4mg/kg; the subsequent dose, 2mg/kg on day 1 weekly for 16 weeks.). Patients with hormone receptor-positive breast cancer in SHPD002 were randomized to chemotherapy combined with endocrine therapy on the basis of their menstrual status or chemotherapy alone. In SHPD002, premenopausal patients with </w:t>
      </w:r>
      <w:r w:rsidRPr="00F17989">
        <w:rPr>
          <w:rFonts w:ascii="Times New Roman" w:hAnsi="Times New Roman" w:cs="Times New Roman"/>
          <w:kern w:val="0"/>
          <w:sz w:val="22"/>
        </w:rPr>
        <w:t>triple-negative</w:t>
      </w:r>
      <w:r w:rsidRPr="00F17989">
        <w:rPr>
          <w:rFonts w:ascii="Times New Roman" w:hAnsi="Times New Roman" w:cs="Times New Roman"/>
          <w:sz w:val="22"/>
        </w:rPr>
        <w:t xml:space="preserve"> breast cancer were randomized to chemotherapy with or without </w:t>
      </w:r>
      <w:r w:rsidRPr="00EF2884">
        <w:rPr>
          <w:rFonts w:ascii="Times New Roman" w:hAnsi="Times New Roman" w:cs="Times New Roman"/>
          <w:sz w:val="22"/>
        </w:rPr>
        <w:t>suppression of ovarian function</w:t>
      </w:r>
      <w:r w:rsidRPr="00F17989">
        <w:rPr>
          <w:rFonts w:ascii="Times New Roman" w:hAnsi="Times New Roman" w:cs="Times New Roman"/>
          <w:sz w:val="22"/>
        </w:rPr>
        <w:t xml:space="preserve">. Surgery was performed within one week after the final contrast-enhanced ultrasound (CEUS) examination. The final CEUS examination was performed at least 2 days </w:t>
      </w:r>
      <w:r>
        <w:rPr>
          <w:rFonts w:ascii="Times New Roman" w:hAnsi="Times New Roman" w:cs="Times New Roman"/>
          <w:sz w:val="22"/>
        </w:rPr>
        <w:t xml:space="preserve">after </w:t>
      </w:r>
      <w:r w:rsidRPr="00F17989">
        <w:rPr>
          <w:rFonts w:ascii="Times New Roman" w:hAnsi="Times New Roman" w:cs="Times New Roman"/>
          <w:sz w:val="22"/>
        </w:rPr>
        <w:t>the final chemotherapy.</w:t>
      </w:r>
    </w:p>
    <w:p w14:paraId="164DC50C" w14:textId="77777777" w:rsidR="000F5B93" w:rsidRPr="00F17989" w:rsidRDefault="000F5B93" w:rsidP="000F5B93">
      <w:pPr>
        <w:widowControl/>
        <w:autoSpaceDE w:val="0"/>
        <w:autoSpaceDN w:val="0"/>
        <w:adjustRightInd w:val="0"/>
        <w:spacing w:after="240"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F17989">
        <w:rPr>
          <w:rFonts w:ascii="Times New Roman" w:hAnsi="Times New Roman" w:cs="Times New Roman"/>
          <w:sz w:val="24"/>
          <w:szCs w:val="24"/>
        </w:rPr>
        <w:t xml:space="preserve"> </w:t>
      </w:r>
      <w:r w:rsidRPr="00F17989">
        <w:rPr>
          <w:rFonts w:ascii="Times New Roman" w:hAnsi="Times New Roman" w:cs="Times New Roman"/>
          <w:b/>
          <w:sz w:val="24"/>
          <w:szCs w:val="24"/>
        </w:rPr>
        <w:t xml:space="preserve">CEUS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F17989">
        <w:rPr>
          <w:rFonts w:ascii="Times New Roman" w:hAnsi="Times New Roman" w:cs="Times New Roman"/>
          <w:b/>
          <w:sz w:val="24"/>
          <w:szCs w:val="24"/>
        </w:rPr>
        <w:t xml:space="preserve">xamination and 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I</w:t>
      </w:r>
      <w:r w:rsidRPr="00F17989">
        <w:rPr>
          <w:rFonts w:ascii="Times New Roman" w:hAnsi="Times New Roman" w:cs="Times New Roman"/>
          <w:b/>
          <w:kern w:val="0"/>
          <w:sz w:val="24"/>
          <w:szCs w:val="24"/>
        </w:rPr>
        <w:t xml:space="preserve">mage Analysis </w:t>
      </w:r>
    </w:p>
    <w:p w14:paraId="408D1BC6" w14:textId="77777777" w:rsidR="000F5B93" w:rsidRPr="00F17989" w:rsidRDefault="000F5B93" w:rsidP="000F5B93">
      <w:pPr>
        <w:widowControl/>
        <w:autoSpaceDE w:val="0"/>
        <w:autoSpaceDN w:val="0"/>
        <w:adjustRightInd w:val="0"/>
        <w:spacing w:line="480" w:lineRule="auto"/>
        <w:ind w:firstLine="482"/>
        <w:rPr>
          <w:rFonts w:ascii="Times New Roman" w:hAnsi="Times New Roman" w:cs="Times New Roman"/>
          <w:sz w:val="22"/>
        </w:rPr>
      </w:pPr>
      <w:r w:rsidRPr="00F17989">
        <w:rPr>
          <w:rFonts w:ascii="Times New Roman" w:hAnsi="Times New Roman" w:cs="Times New Roman"/>
          <w:sz w:val="22"/>
        </w:rPr>
        <w:t xml:space="preserve">The ultrasonography examination in 2D B-mode was performed using </w:t>
      </w:r>
      <w:proofErr w:type="spellStart"/>
      <w:r w:rsidRPr="00F17989">
        <w:rPr>
          <w:rFonts w:ascii="Times New Roman" w:hAnsi="Times New Roman" w:cs="Times New Roman"/>
          <w:sz w:val="22"/>
        </w:rPr>
        <w:t>MyLab</w:t>
      </w:r>
      <w:proofErr w:type="spellEnd"/>
      <w:r w:rsidRPr="00F17989">
        <w:rPr>
          <w:rFonts w:ascii="Times New Roman" w:hAnsi="Times New Roman" w:cs="Times New Roman"/>
          <w:sz w:val="22"/>
        </w:rPr>
        <w:t xml:space="preserve"> Twice (</w:t>
      </w:r>
      <w:proofErr w:type="spellStart"/>
      <w:r w:rsidRPr="00F17989">
        <w:rPr>
          <w:rFonts w:ascii="Times New Roman" w:hAnsi="Times New Roman" w:cs="Times New Roman"/>
          <w:sz w:val="22"/>
        </w:rPr>
        <w:t>Esaote</w:t>
      </w:r>
      <w:proofErr w:type="spellEnd"/>
      <w:r w:rsidRPr="00F17989">
        <w:rPr>
          <w:rFonts w:ascii="Times New Roman" w:hAnsi="Times New Roman" w:cs="Times New Roman"/>
          <w:sz w:val="22"/>
        </w:rPr>
        <w:t xml:space="preserve">, Genoa, Italy) with a 4–13-MHz LA523 linear transducer. </w:t>
      </w:r>
      <w:bookmarkStart w:id="0" w:name="_Hlk112705375"/>
      <w:r w:rsidRPr="00F17989">
        <w:rPr>
          <w:rFonts w:ascii="Times New Roman" w:hAnsi="Times New Roman" w:cs="Times New Roman"/>
          <w:sz w:val="22"/>
        </w:rPr>
        <w:t>Color Doppler US</w:t>
      </w:r>
      <w:bookmarkEnd w:id="0"/>
      <w:r w:rsidRPr="00F17989">
        <w:rPr>
          <w:rFonts w:ascii="Times New Roman" w:hAnsi="Times New Roman" w:cs="Times New Roman"/>
          <w:sz w:val="22"/>
        </w:rPr>
        <w:t xml:space="preserve"> was performed to </w:t>
      </w:r>
      <w:r w:rsidRPr="00F17989">
        <w:rPr>
          <w:rFonts w:ascii="Times New Roman" w:hAnsi="Times New Roman" w:cs="Times New Roman"/>
          <w:kern w:val="0"/>
          <w:sz w:val="22"/>
        </w:rPr>
        <w:t>dynamically observe the whole lesion, and t</w:t>
      </w:r>
      <w:r w:rsidRPr="00F17989">
        <w:rPr>
          <w:rFonts w:ascii="Times New Roman" w:hAnsi="Times New Roman" w:cs="Times New Roman"/>
          <w:sz w:val="22"/>
        </w:rPr>
        <w:t>he plane with the richest vessels was identified by</w:t>
      </w:r>
      <w:r w:rsidRPr="00F17989">
        <w:rPr>
          <w:rFonts w:ascii="Times New Roman" w:hAnsi="Times New Roman" w:cs="Times New Roman"/>
          <w:kern w:val="0"/>
          <w:sz w:val="22"/>
        </w:rPr>
        <w:t xml:space="preserve"> </w:t>
      </w:r>
      <w:r>
        <w:rPr>
          <w:rFonts w:ascii="Times New Roman" w:hAnsi="Times New Roman" w:cs="Times New Roman"/>
          <w:kern w:val="0"/>
          <w:sz w:val="22"/>
        </w:rPr>
        <w:t>two</w:t>
      </w:r>
      <w:r w:rsidRPr="00F17989">
        <w:rPr>
          <w:rFonts w:ascii="Times New Roman" w:hAnsi="Times New Roman" w:cs="Times New Roman"/>
          <w:kern w:val="0"/>
          <w:sz w:val="22"/>
        </w:rPr>
        <w:t xml:space="preserve"> </w:t>
      </w:r>
      <w:bookmarkStart w:id="1" w:name="_Hlk113958771"/>
      <w:r w:rsidRPr="005F097B">
        <w:rPr>
          <w:rFonts w:ascii="Times New Roman" w:hAnsi="Times New Roman" w:cs="Times New Roman"/>
          <w:kern w:val="0"/>
          <w:sz w:val="22"/>
        </w:rPr>
        <w:t>board-certified breast radiologist</w:t>
      </w:r>
      <w:bookmarkEnd w:id="1"/>
      <w:r w:rsidRPr="005F097B">
        <w:rPr>
          <w:rFonts w:ascii="Times New Roman" w:hAnsi="Times New Roman" w:cs="Times New Roman"/>
          <w:kern w:val="0"/>
          <w:sz w:val="22"/>
        </w:rPr>
        <w:t>s</w:t>
      </w:r>
      <w:r w:rsidRPr="00F17989">
        <w:rPr>
          <w:rFonts w:ascii="Times New Roman" w:hAnsi="Times New Roman" w:cs="Times New Roman"/>
          <w:kern w:val="0"/>
          <w:sz w:val="22"/>
        </w:rPr>
        <w:t xml:space="preserve"> for CEUS (C.F.W. </w:t>
      </w:r>
      <w:r>
        <w:rPr>
          <w:rFonts w:ascii="Times New Roman" w:hAnsi="Times New Roman" w:cs="Times New Roman"/>
          <w:kern w:val="0"/>
          <w:sz w:val="22"/>
        </w:rPr>
        <w:t xml:space="preserve">and L.W. both </w:t>
      </w:r>
      <w:r w:rsidRPr="00F17989">
        <w:rPr>
          <w:rFonts w:ascii="Times New Roman" w:hAnsi="Times New Roman" w:cs="Times New Roman"/>
          <w:kern w:val="0"/>
          <w:sz w:val="22"/>
        </w:rPr>
        <w:t>with 8 years of experience in breast CEUS)</w:t>
      </w:r>
      <w:r w:rsidRPr="00F17989">
        <w:rPr>
          <w:rFonts w:ascii="Times New Roman" w:hAnsi="Times New Roman" w:cs="Times New Roman"/>
          <w:sz w:val="22"/>
        </w:rPr>
        <w:t xml:space="preserve">. </w:t>
      </w:r>
      <w:r w:rsidRPr="00F17989">
        <w:rPr>
          <w:rFonts w:ascii="Times New Roman" w:hAnsi="Times New Roman" w:cs="Times New Roman"/>
          <w:kern w:val="0"/>
          <w:sz w:val="22"/>
        </w:rPr>
        <w:t xml:space="preserve">If uncertainty occurred, another </w:t>
      </w:r>
      <w:r w:rsidRPr="00425145">
        <w:rPr>
          <w:rFonts w:ascii="Times New Roman" w:hAnsi="Times New Roman" w:cs="Times New Roman"/>
          <w:kern w:val="0"/>
          <w:sz w:val="22"/>
        </w:rPr>
        <w:t>board-certified breast radiologist</w:t>
      </w:r>
      <w:r w:rsidRPr="00F17989">
        <w:rPr>
          <w:rFonts w:ascii="Times New Roman" w:hAnsi="Times New Roman" w:cs="Times New Roman"/>
          <w:kern w:val="0"/>
          <w:sz w:val="22"/>
        </w:rPr>
        <w:t xml:space="preserve"> (</w:t>
      </w:r>
      <w:r>
        <w:rPr>
          <w:rFonts w:ascii="Times New Roman" w:hAnsi="Times New Roman" w:cs="Times New Roman"/>
          <w:kern w:val="0"/>
          <w:sz w:val="22"/>
        </w:rPr>
        <w:t>F.</w:t>
      </w:r>
      <w:r w:rsidRPr="00F17989">
        <w:rPr>
          <w:rFonts w:ascii="Times New Roman" w:hAnsi="Times New Roman" w:cs="Times New Roman"/>
          <w:kern w:val="0"/>
          <w:sz w:val="22"/>
        </w:rPr>
        <w:t xml:space="preserve">H.L. with more than 10 years of experience in breast CEUS) reviewed the image until consensus was achieved. </w:t>
      </w:r>
      <w:r w:rsidRPr="00EF2884">
        <w:rPr>
          <w:rFonts w:ascii="Times New Roman" w:hAnsi="Times New Roman" w:cs="Times New Roman"/>
          <w:sz w:val="22"/>
        </w:rPr>
        <w:t xml:space="preserve">The selected plane for CEUS should, if possible, include the lesion and its surrounding normal tissue. </w:t>
      </w:r>
      <w:r w:rsidRPr="00F17989">
        <w:rPr>
          <w:rFonts w:ascii="Times New Roman" w:hAnsi="Times New Roman" w:cs="Times New Roman"/>
          <w:sz w:val="22"/>
        </w:rPr>
        <w:t xml:space="preserve">For CEUS examination, the machine parameters were </w:t>
      </w:r>
      <w:r w:rsidRPr="00F17989">
        <w:rPr>
          <w:rFonts w:ascii="Times New Roman" w:hAnsi="Times New Roman" w:cs="Times New Roman"/>
          <w:sz w:val="22"/>
        </w:rPr>
        <w:lastRenderedPageBreak/>
        <w:t>adjusted as follows: frequency, general-M mode; gain, 45%; and derated pressure, 50kPa (expressing a mechanical index of 0.06).</w:t>
      </w:r>
    </w:p>
    <w:p w14:paraId="006F6089" w14:textId="77777777" w:rsidR="000F5B93" w:rsidRPr="00F17989" w:rsidRDefault="000F5B93" w:rsidP="000F5B93">
      <w:pPr>
        <w:widowControl/>
        <w:autoSpaceDE w:val="0"/>
        <w:autoSpaceDN w:val="0"/>
        <w:adjustRightInd w:val="0"/>
        <w:spacing w:after="240" w:line="480" w:lineRule="auto"/>
        <w:jc w:val="left"/>
        <w:rPr>
          <w:rFonts w:ascii="Times New Roman" w:hAnsi="Times New Roman" w:cs="Times New Roman"/>
          <w:sz w:val="22"/>
        </w:rPr>
      </w:pPr>
      <w:r w:rsidRPr="00F17989">
        <w:rPr>
          <w:rFonts w:ascii="Times New Roman" w:hAnsi="Times New Roman" w:cs="Times New Roman"/>
          <w:color w:val="101010"/>
          <w:kern w:val="0"/>
          <w:sz w:val="22"/>
        </w:rPr>
        <w:t xml:space="preserve">    </w:t>
      </w:r>
      <w:r w:rsidRPr="00F17989">
        <w:rPr>
          <w:rFonts w:ascii="Times New Roman" w:hAnsi="Times New Roman" w:cs="Times New Roman"/>
          <w:sz w:val="22"/>
        </w:rPr>
        <w:t xml:space="preserve">A volume of 2.5 mL (for contrast-tuned imaging) of </w:t>
      </w:r>
      <w:proofErr w:type="spellStart"/>
      <w:r w:rsidRPr="00F17989">
        <w:rPr>
          <w:rFonts w:ascii="Times New Roman" w:hAnsi="Times New Roman" w:cs="Times New Roman"/>
          <w:sz w:val="22"/>
        </w:rPr>
        <w:t>SonoVue</w:t>
      </w:r>
      <w:proofErr w:type="spellEnd"/>
      <w:r w:rsidRPr="00F17989">
        <w:rPr>
          <w:rFonts w:ascii="Times New Roman" w:hAnsi="Times New Roman" w:cs="Times New Roman"/>
          <w:sz w:val="22"/>
        </w:rPr>
        <w:t xml:space="preserve"> was injected via the antecubital vein in a bolus fashion through a 20-gauge intravenous cannula within 1-2 s, followed by a flush with 5 mL of 0.9% normal saline solution. Continuous imaging was performed immediately after injection of the </w:t>
      </w:r>
      <w:proofErr w:type="spellStart"/>
      <w:r w:rsidRPr="00F17989">
        <w:rPr>
          <w:rFonts w:ascii="Times New Roman" w:hAnsi="Times New Roman" w:cs="Times New Roman"/>
          <w:sz w:val="22"/>
        </w:rPr>
        <w:t>SonoVue</w:t>
      </w:r>
      <w:proofErr w:type="spellEnd"/>
      <w:r w:rsidRPr="00F17989">
        <w:rPr>
          <w:rFonts w:ascii="Times New Roman" w:hAnsi="Times New Roman" w:cs="Times New Roman"/>
          <w:sz w:val="22"/>
        </w:rPr>
        <w:t xml:space="preserve"> and lasted for 6 minutes. The quantitative acquisition time for kinetic analysis was 3 minutes. After a waiting period of 15 minutes, 2.4 mL of the contrast agent was administrated for </w:t>
      </w:r>
      <w:r w:rsidRPr="00F17989">
        <w:rPr>
          <w:rFonts w:ascii="Times New Roman" w:hAnsi="Times New Roman" w:cs="Times New Roman"/>
          <w:kern w:val="0"/>
          <w:sz w:val="22"/>
        </w:rPr>
        <w:t>microflow imaging</w:t>
      </w:r>
      <w:r w:rsidRPr="00F17989">
        <w:rPr>
          <w:rFonts w:ascii="Times New Roman" w:hAnsi="Times New Roman" w:cs="Times New Roman"/>
          <w:sz w:val="22"/>
        </w:rPr>
        <w:t xml:space="preserve"> for qualitative analysis. </w:t>
      </w:r>
      <w:r w:rsidRPr="00EF2884">
        <w:rPr>
          <w:rFonts w:ascii="Times New Roman" w:hAnsi="Times New Roman" w:cs="Times New Roman"/>
          <w:sz w:val="22"/>
        </w:rPr>
        <w:t xml:space="preserve">According to the guidelines of the American Joint Committee on Cancer, the assessment was always performed in the same single tumor if the patient had multicentric or multifocal diseases. </w:t>
      </w:r>
      <w:r w:rsidRPr="00F17989">
        <w:rPr>
          <w:rFonts w:ascii="Times New Roman" w:hAnsi="Times New Roman" w:cs="Times New Roman"/>
          <w:sz w:val="22"/>
        </w:rPr>
        <w:t>In this study, only the lesion with the largest diameter was evaluated in patients with multiple lesions.</w:t>
      </w:r>
    </w:p>
    <w:p w14:paraId="4BD726EF" w14:textId="77777777" w:rsidR="000F5B93" w:rsidRPr="00F17989" w:rsidRDefault="000F5B93" w:rsidP="000F5B93">
      <w:pPr>
        <w:widowControl/>
        <w:autoSpaceDE w:val="0"/>
        <w:autoSpaceDN w:val="0"/>
        <w:adjustRightInd w:val="0"/>
        <w:spacing w:after="240" w:line="480" w:lineRule="auto"/>
        <w:ind w:firstLineChars="200" w:firstLine="440"/>
        <w:jc w:val="left"/>
        <w:rPr>
          <w:rFonts w:ascii="Times New Roman" w:hAnsi="Times New Roman" w:cs="Times New Roman"/>
          <w:kern w:val="0"/>
          <w:sz w:val="22"/>
        </w:rPr>
      </w:pPr>
      <w:r w:rsidRPr="00F17989">
        <w:rPr>
          <w:rFonts w:ascii="Times New Roman" w:hAnsi="Times New Roman" w:cs="Times New Roman"/>
          <w:kern w:val="0"/>
          <w:sz w:val="22"/>
        </w:rPr>
        <w:t>For quantitative analysis, the software generated a gamma-varied time-intensity curve (TIC) based on the area of region of interest (ROI). Quantitative parameters were categorized as follows:</w:t>
      </w:r>
      <w:r w:rsidRPr="00F17989">
        <w:rPr>
          <w:rFonts w:ascii="Times New Roman" w:hAnsi="Times New Roman" w:cs="Times New Roman"/>
          <w:color w:val="FF0000"/>
          <w:kern w:val="0"/>
          <w:sz w:val="22"/>
        </w:rPr>
        <w:t xml:space="preserve"> </w:t>
      </w:r>
      <w:r w:rsidRPr="00F17989">
        <w:rPr>
          <w:rFonts w:ascii="Times New Roman" w:hAnsi="Times New Roman" w:cs="Times New Roman"/>
          <w:kern w:val="0"/>
          <w:sz w:val="22"/>
        </w:rPr>
        <w:t>PEAK: the maximum intensity of the TIC during bolus transit. RBV (regional blood volume): total blood volume in the ROI region, proportionate to the area under the curve. TTP (s) (time to peak): time needed to reach peak intensity beginning from the time the first microbubble reached the lesion. RBF (regional blood flow, RBV/MTT): relative blood flow in the area under investigation. MTT (s) (mean transit time): circulation time of contrast agent in the ROI region.</w:t>
      </w:r>
    </w:p>
    <w:p w14:paraId="17FD7D63" w14:textId="77777777" w:rsidR="000F5B93" w:rsidRPr="00F17989" w:rsidRDefault="000F5B93" w:rsidP="000F5B93">
      <w:pPr>
        <w:widowControl/>
        <w:autoSpaceDE w:val="0"/>
        <w:autoSpaceDN w:val="0"/>
        <w:adjustRightInd w:val="0"/>
        <w:spacing w:after="240" w:line="48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F17989">
        <w:rPr>
          <w:rFonts w:ascii="Times New Roman" w:hAnsi="Times New Roman" w:cs="Times New Roman"/>
          <w:b/>
          <w:kern w:val="0"/>
          <w:sz w:val="24"/>
          <w:szCs w:val="24"/>
        </w:rPr>
        <w:t>Clinical-Pathologic Evaluation and Follow-up</w:t>
      </w:r>
    </w:p>
    <w:p w14:paraId="72C006BE" w14:textId="77777777" w:rsidR="000F5B93" w:rsidRPr="00F17989" w:rsidRDefault="000F5B93" w:rsidP="000F5B93">
      <w:pPr>
        <w:widowControl/>
        <w:autoSpaceDE w:val="0"/>
        <w:autoSpaceDN w:val="0"/>
        <w:adjustRightInd w:val="0"/>
        <w:spacing w:after="240" w:line="480" w:lineRule="auto"/>
        <w:ind w:firstLineChars="250" w:firstLine="550"/>
        <w:jc w:val="left"/>
        <w:rPr>
          <w:rFonts w:ascii="Times New Roman" w:hAnsi="Times New Roman" w:cs="Times New Roman"/>
          <w:kern w:val="0"/>
          <w:sz w:val="22"/>
        </w:rPr>
      </w:pPr>
      <w:r w:rsidRPr="00F17989">
        <w:rPr>
          <w:rFonts w:ascii="Times New Roman" w:hAnsi="Times New Roman" w:cs="Times New Roman"/>
          <w:kern w:val="0"/>
          <w:sz w:val="22"/>
        </w:rPr>
        <w:lastRenderedPageBreak/>
        <w:t>Estrogen and progesterone receptor were considered positive if 1% or more of tumor cells have nuclear staining with any intensity. HER2 expression was evaluated by using fluorescence in situ hybridization. Expression of HER2 was considered positive if the immuno-histochemistry 3+ or the ratio of HER2 gene signals to chromosome 17 signals &gt;</w:t>
      </w:r>
      <w:r>
        <w:rPr>
          <w:rFonts w:ascii="Times New Roman" w:hAnsi="Times New Roman" w:cs="Times New Roman"/>
          <w:kern w:val="0"/>
          <w:sz w:val="22"/>
        </w:rPr>
        <w:t xml:space="preserve"> </w:t>
      </w:r>
      <w:r w:rsidRPr="00F17989">
        <w:rPr>
          <w:rFonts w:ascii="Times New Roman" w:hAnsi="Times New Roman" w:cs="Times New Roman"/>
          <w:kern w:val="0"/>
          <w:sz w:val="22"/>
        </w:rPr>
        <w:t>2.0 or HER2 gene copy &gt;</w:t>
      </w:r>
      <w:r>
        <w:rPr>
          <w:rFonts w:ascii="Times New Roman" w:hAnsi="Times New Roman" w:cs="Times New Roman"/>
          <w:kern w:val="0"/>
          <w:sz w:val="22"/>
        </w:rPr>
        <w:t xml:space="preserve"> </w:t>
      </w:r>
      <w:r w:rsidRPr="00F17989">
        <w:rPr>
          <w:rFonts w:ascii="Times New Roman" w:hAnsi="Times New Roman" w:cs="Times New Roman"/>
          <w:kern w:val="0"/>
          <w:sz w:val="22"/>
        </w:rPr>
        <w:t>6.0. Ki-67 expression was assessed by determining the number of positiv</w:t>
      </w:r>
      <w:r>
        <w:rPr>
          <w:rFonts w:ascii="Times New Roman" w:hAnsi="Times New Roman" w:cs="Times New Roman"/>
          <w:kern w:val="0"/>
          <w:sz w:val="22"/>
        </w:rPr>
        <w:t>e</w:t>
      </w:r>
      <w:r w:rsidRPr="00F17989">
        <w:rPr>
          <w:rFonts w:ascii="Times New Roman" w:hAnsi="Times New Roman" w:cs="Times New Roman"/>
          <w:kern w:val="0"/>
          <w:sz w:val="22"/>
        </w:rPr>
        <w:t xml:space="preserve"> stained nuclei, with at least 14% of stained cells indicating high-level expression. Tumor subtypes were categorized according to the St. Gallen Consensus: luminal A-like (ER-positive and/or PR-positive, HER2-negative, and Ki-67 expression </w:t>
      </w:r>
      <w:r>
        <w:rPr>
          <w:rFonts w:ascii="Times New Roman" w:hAnsi="Times New Roman" w:cs="Times New Roman"/>
          <w:kern w:val="0"/>
          <w:sz w:val="22"/>
        </w:rPr>
        <w:t xml:space="preserve">&lt; </w:t>
      </w:r>
      <w:r w:rsidRPr="00F17989">
        <w:rPr>
          <w:rFonts w:ascii="Times New Roman" w:hAnsi="Times New Roman" w:cs="Times New Roman"/>
          <w:kern w:val="0"/>
          <w:sz w:val="22"/>
        </w:rPr>
        <w:t xml:space="preserve">14%), luminal B-like (ER-positive and/or PR-positive; HER2-positive/negative and Ki-67 expression </w:t>
      </w:r>
      <w:r w:rsidRPr="00F17989">
        <w:rPr>
          <w:rFonts w:ascii="Cambria Math" w:hAnsi="Cambria Math" w:cs="Cambria Math"/>
          <w:kern w:val="0"/>
          <w:sz w:val="22"/>
        </w:rPr>
        <w:t>⩾</w:t>
      </w:r>
      <w:r w:rsidRPr="00F17989">
        <w:rPr>
          <w:rFonts w:ascii="Times New Roman" w:hAnsi="Times New Roman" w:cs="Times New Roman"/>
          <w:kern w:val="0"/>
          <w:sz w:val="22"/>
        </w:rPr>
        <w:t xml:space="preserve"> 14%), HER2-enriched (ER and PR-negative, and HER2-positive), and triple-negative (ER-negative, PR-negative, and HER2-negative).</w:t>
      </w:r>
    </w:p>
    <w:p w14:paraId="4BCFA7AD" w14:textId="77777777" w:rsidR="000F5B93" w:rsidRPr="00F17989" w:rsidRDefault="000F5B93" w:rsidP="000F5B93">
      <w:pPr>
        <w:widowControl/>
        <w:autoSpaceDE w:val="0"/>
        <w:autoSpaceDN w:val="0"/>
        <w:adjustRightInd w:val="0"/>
        <w:spacing w:after="240" w:line="480" w:lineRule="auto"/>
        <w:ind w:firstLineChars="250" w:firstLine="550"/>
        <w:jc w:val="left"/>
        <w:rPr>
          <w:rFonts w:ascii="Times New Roman" w:hAnsi="Times New Roman" w:cs="Times New Roman"/>
          <w:kern w:val="0"/>
          <w:sz w:val="22"/>
        </w:rPr>
      </w:pPr>
    </w:p>
    <w:p w14:paraId="78606D0A" w14:textId="77777777" w:rsidR="000F5B93" w:rsidRPr="00F17989" w:rsidRDefault="000F5B93" w:rsidP="000F5B93">
      <w:pPr>
        <w:widowControl/>
        <w:autoSpaceDE w:val="0"/>
        <w:autoSpaceDN w:val="0"/>
        <w:adjustRightInd w:val="0"/>
        <w:spacing w:after="240" w:line="480" w:lineRule="auto"/>
        <w:jc w:val="left"/>
        <w:rPr>
          <w:rFonts w:ascii="Times New Roman" w:hAnsi="Times New Roman" w:cs="Times New Roman"/>
          <w:b/>
          <w:kern w:val="0"/>
          <w:sz w:val="22"/>
        </w:rPr>
      </w:pPr>
    </w:p>
    <w:p w14:paraId="264406A1" w14:textId="77777777" w:rsidR="000F5B93" w:rsidRPr="00F17989" w:rsidRDefault="000F5B93" w:rsidP="000F5B93">
      <w:pPr>
        <w:widowControl/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2"/>
        </w:rPr>
      </w:pPr>
    </w:p>
    <w:p w14:paraId="1ABF1AD8" w14:textId="77777777" w:rsidR="000F5B93" w:rsidRDefault="000F5B93" w:rsidP="000F5B93"/>
    <w:p w14:paraId="30758778" w14:textId="77777777" w:rsidR="000F5B93" w:rsidRDefault="000F5B93" w:rsidP="000F5B93"/>
    <w:p w14:paraId="27DAC682" w14:textId="77777777" w:rsidR="000F5B93" w:rsidRDefault="000F5B93" w:rsidP="000F5B93"/>
    <w:p w14:paraId="0EFE40BF" w14:textId="77777777" w:rsidR="000F5B93" w:rsidRDefault="000F5B93" w:rsidP="000F5B93"/>
    <w:p w14:paraId="4B0698DB" w14:textId="77777777" w:rsidR="000F5B93" w:rsidRDefault="000F5B93" w:rsidP="000F5B93"/>
    <w:p w14:paraId="5722EF9C" w14:textId="77777777" w:rsidR="000F5B93" w:rsidRDefault="000F5B93" w:rsidP="000F5B93"/>
    <w:p w14:paraId="724F1CA5" w14:textId="77777777" w:rsidR="000F5B93" w:rsidRDefault="000F5B93" w:rsidP="000F5B93"/>
    <w:p w14:paraId="600AD223" w14:textId="77777777" w:rsidR="000F5B93" w:rsidRDefault="000F5B93" w:rsidP="000F5B93"/>
    <w:p w14:paraId="1A2C6DA5" w14:textId="77777777" w:rsidR="000F5B93" w:rsidRDefault="000F5B93" w:rsidP="000F5B93"/>
    <w:p w14:paraId="3577201E" w14:textId="77777777" w:rsidR="000F5B93" w:rsidRDefault="000F5B93" w:rsidP="000F5B93"/>
    <w:p w14:paraId="3617FC2F" w14:textId="77777777" w:rsidR="000F5B93" w:rsidRDefault="000F5B93" w:rsidP="000F5B93"/>
    <w:p w14:paraId="51327662" w14:textId="77777777" w:rsidR="000F5B93" w:rsidRDefault="000F5B93" w:rsidP="000F5B93"/>
    <w:p w14:paraId="17F4693E" w14:textId="77777777" w:rsidR="000F5B93" w:rsidRPr="00D60264" w:rsidRDefault="000F5B93" w:rsidP="000F5B93"/>
    <w:p w14:paraId="631F227D" w14:textId="77777777" w:rsidR="000F5B93" w:rsidRPr="004415A9" w:rsidRDefault="000F5B93"/>
    <w:sectPr w:rsidR="000F5B93" w:rsidRPr="004415A9" w:rsidSect="001C3D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93"/>
    <w:rsid w:val="000F5B93"/>
    <w:rsid w:val="0044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5EA13"/>
  <w15:chartTrackingRefBased/>
  <w15:docId w15:val="{3A497EA9-8B73-4AF7-9493-57E8C40B3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B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648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万财凤</dc:creator>
  <cp:keywords/>
  <dc:description/>
  <cp:lastModifiedBy>万财凤</cp:lastModifiedBy>
  <cp:revision>2</cp:revision>
  <dcterms:created xsi:type="dcterms:W3CDTF">2022-09-16T08:58:00Z</dcterms:created>
  <dcterms:modified xsi:type="dcterms:W3CDTF">2022-09-16T13:03:00Z</dcterms:modified>
</cp:coreProperties>
</file>