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E00" w:rsidRDefault="006F7E00" w:rsidP="00E630F4">
      <w:pPr>
        <w:tabs>
          <w:tab w:val="left" w:pos="3045"/>
        </w:tabs>
        <w:jc w:val="both"/>
        <w:rPr>
          <w:rFonts w:asciiTheme="majorBidi" w:hAnsiTheme="majorBidi" w:cstheme="majorBidi"/>
          <w:b/>
          <w:bCs/>
          <w:sz w:val="24"/>
          <w:szCs w:val="24"/>
        </w:rPr>
      </w:pPr>
      <w:r w:rsidRPr="006F7E00">
        <w:rPr>
          <w:rFonts w:asciiTheme="majorBidi" w:hAnsiTheme="majorBidi" w:cstheme="majorBidi"/>
          <w:b/>
          <w:bCs/>
          <w:sz w:val="24"/>
          <w:szCs w:val="24"/>
        </w:rPr>
        <w:t>Supplementary material</w:t>
      </w:r>
      <w:bookmarkStart w:id="0" w:name="_Hlk116283741"/>
      <w:r w:rsidR="00E630F4">
        <w:rPr>
          <w:rFonts w:asciiTheme="majorBidi" w:hAnsiTheme="majorBidi" w:cstheme="majorBidi"/>
          <w:b/>
          <w:bCs/>
          <w:sz w:val="24"/>
          <w:szCs w:val="24"/>
        </w:rPr>
        <w:tab/>
      </w:r>
    </w:p>
    <w:p w:rsidR="00E630F4" w:rsidRPr="006F7E00" w:rsidRDefault="00E630F4" w:rsidP="00E630F4">
      <w:pPr>
        <w:tabs>
          <w:tab w:val="left" w:pos="3045"/>
        </w:tabs>
        <w:jc w:val="both"/>
        <w:rPr>
          <w:rFonts w:asciiTheme="majorBidi" w:hAnsiTheme="majorBidi" w:cstheme="majorBidi"/>
          <w:sz w:val="24"/>
          <w:szCs w:val="24"/>
        </w:rPr>
      </w:pPr>
    </w:p>
    <w:p w:rsidR="002E652B" w:rsidRPr="002E652B" w:rsidRDefault="002E652B" w:rsidP="002E652B">
      <w:pPr>
        <w:spacing w:line="480" w:lineRule="auto"/>
        <w:jc w:val="center"/>
        <w:rPr>
          <w:rFonts w:asciiTheme="majorBidi" w:hAnsiTheme="majorBidi" w:cstheme="majorBidi"/>
          <w:sz w:val="28"/>
          <w:szCs w:val="28"/>
        </w:rPr>
      </w:pPr>
      <w:r w:rsidRPr="002E652B">
        <w:rPr>
          <w:rFonts w:asciiTheme="majorBidi" w:hAnsiTheme="majorBidi" w:cstheme="majorBidi"/>
          <w:sz w:val="28"/>
          <w:szCs w:val="28"/>
        </w:rPr>
        <w:t>An environmentally friendly method for extraction of Cobalt and Molybdenum from spent catalysts using deep eutectic solvents (DESs)</w:t>
      </w:r>
    </w:p>
    <w:p w:rsidR="006F7E00" w:rsidRPr="006F7E00" w:rsidRDefault="00CA76BF" w:rsidP="00CA76BF">
      <w:pPr>
        <w:spacing w:line="480" w:lineRule="auto"/>
        <w:jc w:val="center"/>
        <w:rPr>
          <w:rFonts w:asciiTheme="majorBidi" w:hAnsiTheme="majorBidi" w:cstheme="majorBidi"/>
          <w:sz w:val="24"/>
          <w:szCs w:val="24"/>
        </w:rPr>
      </w:pPr>
      <w:bookmarkStart w:id="1" w:name="_GoBack"/>
      <w:bookmarkEnd w:id="1"/>
      <w:r>
        <w:rPr>
          <w:rFonts w:asciiTheme="majorBidi" w:hAnsiTheme="majorBidi" w:cstheme="majorBidi"/>
          <w:sz w:val="24"/>
          <w:szCs w:val="24"/>
        </w:rPr>
        <w:t>Ehsan Ebrahimi¹,</w:t>
      </w:r>
      <w:r w:rsidR="006F7E00" w:rsidRPr="006F7E00">
        <w:rPr>
          <w:rFonts w:asciiTheme="majorBidi" w:hAnsiTheme="majorBidi" w:cstheme="majorBidi"/>
          <w:sz w:val="24"/>
          <w:szCs w:val="24"/>
        </w:rPr>
        <w:t xml:space="preserve"> Hassan Safari¹, Mohammad Rezaee ¹, Ali Rezaei ¹</w:t>
      </w:r>
      <w:r>
        <w:rPr>
          <w:rFonts w:asciiTheme="majorBidi" w:hAnsiTheme="majorBidi" w:cstheme="majorBidi"/>
          <w:sz w:val="24"/>
          <w:szCs w:val="24"/>
        </w:rPr>
        <w:t>,</w:t>
      </w:r>
      <w:r w:rsidRPr="00CA76BF">
        <w:rPr>
          <w:rFonts w:asciiTheme="majorBidi" w:hAnsiTheme="majorBidi" w:cstheme="majorBidi"/>
          <w:sz w:val="24"/>
          <w:szCs w:val="24"/>
        </w:rPr>
        <w:t xml:space="preserve"> </w:t>
      </w:r>
      <w:r w:rsidRPr="006F7E00">
        <w:rPr>
          <w:rFonts w:asciiTheme="majorBidi" w:hAnsiTheme="majorBidi" w:cstheme="majorBidi"/>
          <w:sz w:val="24"/>
          <w:szCs w:val="24"/>
        </w:rPr>
        <w:t>Hadi Abdollahi*¹</w:t>
      </w:r>
    </w:p>
    <w:p w:rsidR="006F7E00" w:rsidRPr="006F7E00" w:rsidRDefault="006F7E00" w:rsidP="006F7E00">
      <w:pPr>
        <w:spacing w:line="480" w:lineRule="auto"/>
        <w:jc w:val="both"/>
        <w:rPr>
          <w:rFonts w:asciiTheme="majorBidi" w:hAnsiTheme="majorBidi" w:cstheme="majorBidi"/>
          <w:sz w:val="24"/>
          <w:szCs w:val="24"/>
        </w:rPr>
      </w:pPr>
      <w:r w:rsidRPr="006F7E00">
        <w:rPr>
          <w:rFonts w:asciiTheme="majorBidi" w:hAnsiTheme="majorBidi" w:cstheme="majorBidi"/>
          <w:sz w:val="24"/>
          <w:szCs w:val="24"/>
        </w:rPr>
        <w:t>¹School of Mining Engineering, College of Engineering, University of Tehran, Tehran, Iran</w:t>
      </w:r>
    </w:p>
    <w:p w:rsidR="006F7E00" w:rsidRPr="006F7E00" w:rsidRDefault="006F7E00" w:rsidP="006F7E00">
      <w:pPr>
        <w:spacing w:line="480" w:lineRule="auto"/>
        <w:jc w:val="both"/>
        <w:rPr>
          <w:rFonts w:asciiTheme="majorBidi" w:hAnsiTheme="majorBidi" w:cstheme="majorBidi"/>
          <w:sz w:val="24"/>
          <w:szCs w:val="24"/>
        </w:rPr>
      </w:pPr>
      <w:r w:rsidRPr="006F7E00">
        <w:rPr>
          <w:rFonts w:asciiTheme="majorBidi" w:hAnsiTheme="majorBidi" w:cstheme="majorBidi"/>
          <w:sz w:val="24"/>
          <w:szCs w:val="24"/>
        </w:rPr>
        <w:t>* Corresponding author.</w:t>
      </w:r>
      <w:r w:rsidRPr="006F7E00">
        <w:rPr>
          <w:rFonts w:asciiTheme="majorBidi" w:hAnsiTheme="majorBidi" w:cstheme="majorBidi"/>
          <w:sz w:val="24"/>
          <w:szCs w:val="24"/>
          <w:rtl/>
        </w:rPr>
        <w:t xml:space="preserve"> </w:t>
      </w:r>
      <w:r w:rsidRPr="006F7E00">
        <w:rPr>
          <w:rFonts w:asciiTheme="majorBidi" w:hAnsiTheme="majorBidi" w:cstheme="majorBidi"/>
          <w:sz w:val="24"/>
          <w:szCs w:val="24"/>
        </w:rPr>
        <w:t>Tel./Fax: +98-21-88008838; +98-912-5032335</w:t>
      </w:r>
    </w:p>
    <w:p w:rsidR="006F7E00" w:rsidRPr="006F7E00" w:rsidRDefault="006F7E00" w:rsidP="006F7E00">
      <w:pPr>
        <w:spacing w:line="480" w:lineRule="auto"/>
        <w:jc w:val="both"/>
        <w:rPr>
          <w:rFonts w:asciiTheme="majorBidi" w:hAnsiTheme="majorBidi" w:cstheme="majorBidi"/>
          <w:sz w:val="24"/>
          <w:szCs w:val="24"/>
        </w:rPr>
      </w:pPr>
      <w:r w:rsidRPr="006F7E00">
        <w:rPr>
          <w:rFonts w:asciiTheme="majorBidi" w:hAnsiTheme="majorBidi" w:cstheme="majorBidi"/>
          <w:sz w:val="24"/>
          <w:szCs w:val="24"/>
        </w:rPr>
        <w:t xml:space="preserve">  E-mail address: h_abdollahi@ut.ac.ir (H. Abdollahi).</w:t>
      </w:r>
    </w:p>
    <w:p w:rsidR="006F7E00" w:rsidRPr="006F7E00" w:rsidRDefault="006F7E00" w:rsidP="006F7E00">
      <w:pPr>
        <w:spacing w:line="480" w:lineRule="auto"/>
        <w:jc w:val="both"/>
        <w:rPr>
          <w:rFonts w:asciiTheme="majorBidi" w:hAnsiTheme="majorBidi" w:cstheme="majorBidi"/>
          <w:sz w:val="24"/>
          <w:szCs w:val="24"/>
        </w:rPr>
      </w:pPr>
      <w:r w:rsidRPr="006F7E00">
        <w:rPr>
          <w:rFonts w:asciiTheme="majorBidi" w:hAnsiTheme="majorBidi" w:cstheme="majorBidi"/>
          <w:sz w:val="24"/>
          <w:szCs w:val="24"/>
        </w:rPr>
        <w:t xml:space="preserve">  ORCID: Hadi Abdollahi      </w:t>
      </w:r>
      <w:hyperlink r:id="rId4" w:history="1">
        <w:r w:rsidRPr="006F7E00">
          <w:rPr>
            <w:rStyle w:val="Hyperlink"/>
            <w:rFonts w:asciiTheme="majorBidi" w:hAnsiTheme="majorBidi" w:cstheme="majorBidi"/>
            <w:sz w:val="24"/>
            <w:szCs w:val="24"/>
          </w:rPr>
          <w:t>http://orcid.org/0000-0002-9099-7451</w:t>
        </w:r>
      </w:hyperlink>
      <w:bookmarkEnd w:id="0"/>
    </w:p>
    <w:p w:rsidR="006F7E00" w:rsidRPr="006F7E00" w:rsidRDefault="006F7E00" w:rsidP="006F7E00">
      <w:pPr>
        <w:spacing w:line="480" w:lineRule="auto"/>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sectPr w:rsidR="006F7E00" w:rsidRPr="006F7E00" w:rsidSect="0047324C">
          <w:pgSz w:w="12240" w:h="15840"/>
          <w:pgMar w:top="1440" w:right="1440" w:bottom="1440" w:left="1440" w:header="720" w:footer="720" w:gutter="0"/>
          <w:lnNumType w:countBy="1" w:restart="continuous"/>
          <w:cols w:space="720"/>
          <w:docGrid w:linePitch="360"/>
        </w:sectPr>
      </w:pPr>
    </w:p>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lastRenderedPageBreak/>
        <w:t>Tables</w:t>
      </w:r>
    </w:p>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r w:rsidRPr="00F60713">
        <w:rPr>
          <w:rFonts w:asciiTheme="majorBidi" w:hAnsiTheme="majorBidi" w:cstheme="majorBidi"/>
          <w:b/>
          <w:bCs/>
          <w:sz w:val="24"/>
          <w:szCs w:val="24"/>
        </w:rPr>
        <w:t>Table S1</w:t>
      </w:r>
      <w:r w:rsidRPr="006F7E00">
        <w:rPr>
          <w:rFonts w:asciiTheme="majorBidi" w:hAnsiTheme="majorBidi" w:cstheme="majorBidi"/>
          <w:sz w:val="24"/>
          <w:szCs w:val="24"/>
        </w:rPr>
        <w:t xml:space="preserve"> List of kinetic models used in</w:t>
      </w:r>
      <w:r w:rsidR="00F60713">
        <w:rPr>
          <w:rFonts w:asciiTheme="majorBidi" w:hAnsiTheme="majorBidi" w:cstheme="majorBidi"/>
          <w:sz w:val="24"/>
          <w:szCs w:val="24"/>
        </w:rPr>
        <w:t xml:space="preserve"> this study and their equations</w:t>
      </w:r>
    </w:p>
    <w:tbl>
      <w:tblPr>
        <w:tblpPr w:leftFromText="180" w:rightFromText="180" w:vertAnchor="text" w:horzAnchor="page" w:tblpX="869" w:tblpY="207"/>
        <w:tblW w:w="10980" w:type="dxa"/>
        <w:tblLook w:val="04A0" w:firstRow="1" w:lastRow="0" w:firstColumn="1" w:lastColumn="0" w:noHBand="0" w:noVBand="1"/>
      </w:tblPr>
      <w:tblGrid>
        <w:gridCol w:w="510"/>
        <w:gridCol w:w="5148"/>
        <w:gridCol w:w="3913"/>
        <w:gridCol w:w="1409"/>
      </w:tblGrid>
      <w:tr w:rsidR="006F7E00" w:rsidRPr="006F7E00" w:rsidTr="006F7E00">
        <w:trPr>
          <w:trHeight w:val="316"/>
        </w:trPr>
        <w:tc>
          <w:tcPr>
            <w:tcW w:w="510" w:type="dxa"/>
            <w:vAlign w:val="center"/>
          </w:tcPr>
          <w:p w:rsidR="006F7E00" w:rsidRPr="006F7E00" w:rsidRDefault="006F7E00" w:rsidP="006F7E00">
            <w:pPr>
              <w:jc w:val="both"/>
              <w:rPr>
                <w:rFonts w:asciiTheme="majorBidi" w:hAnsiTheme="majorBidi" w:cstheme="majorBidi"/>
                <w:b/>
                <w:bCs/>
                <w:sz w:val="24"/>
                <w:szCs w:val="24"/>
              </w:rPr>
            </w:pPr>
            <w:bookmarkStart w:id="2" w:name="OLE_LINK5"/>
            <w:r w:rsidRPr="006F7E00">
              <w:rPr>
                <w:rFonts w:asciiTheme="majorBidi" w:hAnsiTheme="majorBidi" w:cstheme="majorBidi"/>
                <w:b/>
                <w:bCs/>
                <w:sz w:val="24"/>
                <w:szCs w:val="24"/>
              </w:rPr>
              <w:t>No</w:t>
            </w:r>
          </w:p>
        </w:tc>
        <w:tc>
          <w:tcPr>
            <w:tcW w:w="5290" w:type="dxa"/>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Kinetic mechanisms</w:t>
            </w:r>
          </w:p>
        </w:tc>
        <w:tc>
          <w:tcPr>
            <w:tcW w:w="4010" w:type="dxa"/>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Model equations</w:t>
            </w:r>
          </w:p>
        </w:tc>
        <w:tc>
          <w:tcPr>
            <w:tcW w:w="1170" w:type="dxa"/>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Reference</w:t>
            </w:r>
          </w:p>
        </w:tc>
      </w:tr>
      <w:tr w:rsidR="006F7E00" w:rsidRPr="006F7E00" w:rsidTr="006F7E00">
        <w:trPr>
          <w:trHeight w:val="259"/>
        </w:trPr>
        <w:tc>
          <w:tcPr>
            <w:tcW w:w="510" w:type="dxa"/>
            <w:tcBorders>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1</w:t>
            </w:r>
          </w:p>
        </w:tc>
        <w:tc>
          <w:tcPr>
            <w:tcW w:w="5290" w:type="dxa"/>
            <w:tcBorders>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liquid film (constant size cp, sp, pp)</w:t>
            </w:r>
          </w:p>
        </w:tc>
        <w:tc>
          <w:tcPr>
            <w:tcW w:w="4010" w:type="dxa"/>
            <w:tcBorders>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kt = X</w:t>
            </w:r>
          </w:p>
        </w:tc>
        <w:tc>
          <w:tcPr>
            <w:tcW w:w="1170" w:type="dxa"/>
            <w:tcBorders>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{"citationItems":[{"id":"ITEM-1","itemData":{"DOI":"https://doi.org/10.1002/aic.690190143","ISBN":"047125424X","abstract":"Chemical reaction engineering is that engineering activity concerned with the exploitation of chemical reactions on a commercial scale. Its goal is the successful design and operation of chemical reactors, and probably more than any other activity it sets chemical engineering apart as a distinct branch of the engineering profession. In a typical situation the engineer is faced with a host of questions: what information is needed to attack a problem, how best to obtain it, and then how to select a reasonable design from the many available alternatives? The purpose of this book is to teach how to answer these questions reliably and wisely. To do this I emphasize qualitative arguments, simple design methods, graphical procedures, and frequent comparison of capabilities of the major reactor types. This approach should help develop a strong intuitive sense for good design which can then guide and reinforce the formal methods. This is a teaching book; thus, simple ideas are treated first, and are then extended to the more complex. Also, emphasis is placed throughout on the development of a common design strategy for all systems, homogeneous and heterogeneous.","author":[{"dropping-particle":"","family":"Levenspiel","given":"Octave","non-dropping-particle":"","parse-names":false,"suffix":""}],"container-title":"Wiley","edition":"3rd editio","id":"ITEM-1","issued":{"date-parts":[["1998"]]},"number-of-pages":"688","publisher":"Wiley","title":"Chemical reaction engineering","type":"book"},"uris":["http://www.mendeley.com/documents/?uuid=2be62486-7437-4f16-baff-6fe22fea886b"]}],"mendeley":{"formattedCitation":"(Levenspiel, 1998)","plainTextFormattedCitation":"(Levenspiel, 1998)","previouslyFormattedCitation":"[1]"},"properties":{"noteIndex":0},"schema":"https://github.com/citation-style-language/schema/raw/master/csl-citation.json"}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(Levenspiel, 1998)</w:t>
            </w:r>
            <w:r w:rsidRPr="006F7E00">
              <w:rPr>
                <w:rFonts w:asciiTheme="majorBidi" w:hAnsiTheme="majorBidi" w:cstheme="majorBidi"/>
                <w:sz w:val="24"/>
                <w:szCs w:val="24"/>
              </w:rPr>
              <w:fldChar w:fldCharType="end"/>
            </w:r>
          </w:p>
        </w:tc>
      </w:tr>
      <w:tr w:rsidR="006F7E00" w:rsidRPr="006F7E00" w:rsidTr="006F7E00">
        <w:trPr>
          <w:trHeight w:val="306"/>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2</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product layer (constant size pp)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kt = X²</w:t>
            </w:r>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{"citationItems":[{"id":"ITEM-1","itemData":{"DOI":"https://doi.org/10.1002/aic.690190143","ISBN":"047125424X","abstract":"Chemical reaction engineering is that engineering activity concerned with the exploitation of chemical reactions on a commercial scale. Its goal is the successful design and operation of chemical reactors, and probably more than any other activity it sets chemical engineering apart as a distinct branch of the engineering profession. In a typical situation the engineer is faced with a host of questions: what information is needed to attack a problem, how best to obtain it, and then how to select a reasonable design from the many available alternatives? The purpose of this book is to teach how to answer these questions reliably and wisely. To do this I emphasize qualitative arguments, simple design methods, graphical procedures, and frequent comparison of capabilities of the major reactor types. This approach should help develop a strong intuitive sense for good design which can then guide and reinforce the formal methods. This is a teaching book; thus, simple ideas are treated first, and are then extended to the more complex. Also, emphasis is placed throughout on the development of a common design strategy for all systems, homogeneous and heterogeneous.","author":[{"dropping-particle":"","family":"Levenspiel","given":"Octave","non-dropping-particle":"","parse-names":false,"suffix":""}],"container-title":"Wiley","edition":"3rd editio","id":"ITEM-1","issued":{"date-parts":[["1998"]]},"number-of-pages":"688","publisher":"Wiley","title":"Chemical reaction engineering","type":"book"},"uris":["http://www.mendeley.com/documents/?uuid=2be62486-7437-4f16-baff-6fe22fea886b"]}],"mendeley":{"formattedCitation":"(Levenspiel, 1998)","plainTextFormattedCitation":"(Levenspiel, 1998)","previouslyFormattedCitation":"[1]"},"properties":{"noteIndex":0},"schema":"https://github.com/citation-style-language/schema/raw/master/csl-citation.json"}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(Levenspiel, 1998)</w:t>
            </w:r>
            <w:r w:rsidRPr="006F7E00">
              <w:rPr>
                <w:rFonts w:asciiTheme="majorBidi" w:hAnsiTheme="majorBidi" w:cstheme="majorBidi"/>
                <w:sz w:val="24"/>
                <w:szCs w:val="24"/>
              </w:rPr>
              <w:fldChar w:fldCharType="end"/>
            </w:r>
          </w:p>
        </w:tc>
      </w:tr>
      <w:tr w:rsidR="006F7E00" w:rsidRPr="006F7E00" w:rsidTr="006F7E00">
        <w:trPr>
          <w:trHeight w:val="316"/>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3</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product layer (constant size cp)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X+(1-X)ln(1-X)</m:t>
                </m:r>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{"citationItems":[{"id":"ITEM-1","itemData":{"DOI":"https://doi.org/10.1002/aic.690190143","ISBN":"047125424X","abstract":"Chemical reaction engineering is that engineering activity concerned with the exploitation of chemical reactions on a commercial scale. Its goal is the successful design and operation of chemical reactors, and probably more than any other activity it sets chemical engineering apart as a distinct branch of the engineering profession. In a typical situation the engineer is faced with a host of questions: what information is needed to attack a problem, how best to obtain it, and then how to select a reasonable design from the many available alternatives? The purpose of this book is to teach how to answer these questions reliably and wisely. To do this I emphasize qualitative arguments, simple design methods, graphical procedures, and frequent comparison of capabilities of the major reactor types. This approach should help develop a strong intuitive sense for good design which can then guide and reinforce the formal methods. This is a teaching book; thus, simple ideas are treated first, and are then extended to the more complex. Also, emphasis is placed throughout on the development of a common design strategy for all systems, homogeneous and heterogeneous.","author":[{"dropping-particle":"","family":"Levenspiel","given":"Octave","non-dropping-particle":"","parse-names":false,"suffix":""}],"container-title":"Wiley","edition":"3rd editio","id":"ITEM-1","issued":{"date-parts":[["1998"]]},"number-of-pages":"688","publisher":"Wiley","title":"Chemical reaction engineering","type":"book"},"uris":["http://www.mendeley.com/documents/?uuid=2be62486-7437-4f16-baff-6fe22fea886b"]}],"mendeley":{"formattedCitation":"(Levenspiel, 1998)","plainTextFormattedCitation":"(Levenspiel, 1998)","previouslyFormattedCitation":"[1]"},"properties":{"noteIndex":0},"schema":"https://github.com/citation-style-language/schema/raw/master/csl-citation.json"}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(Levenspiel, 1998)</w:t>
            </w:r>
            <w:r w:rsidRPr="006F7E00">
              <w:rPr>
                <w:rFonts w:asciiTheme="majorBidi" w:hAnsiTheme="majorBidi" w:cstheme="majorBidi"/>
                <w:sz w:val="24"/>
                <w:szCs w:val="24"/>
              </w:rPr>
              <w:fldChar w:fldCharType="end"/>
            </w:r>
          </w:p>
        </w:tc>
      </w:tr>
      <w:tr w:rsidR="006F7E00" w:rsidRPr="006F7E00" w:rsidTr="006F7E00">
        <w:trPr>
          <w:trHeight w:val="299"/>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4</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product layer (Crank–Ginstling and Brounshtein Model sp)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{"citationItems":[{"id":"ITEM-1","itemData":{"ISBN":"9780133887518","ISSN":"00092479","abstract":"Chemical reaction engineering was taught asynchronously using e-mail, the web, texts, and CD-ROMs. The wide variety of resources given to the students allowed for most of the learning styles described by Felder and Soloman. The students in the course performed well in the AL course and enjoyed it. Two major advantages of the chemical reaction course were that it addressed a number of the learning styles identified in Felder/Soloman's inventory and that it provided great flexibility in time and location for learning the subject. The students developed a greater sense of self-confidence and gained a realization that the responsibility for learning was transferred from the professor to the student. The major drawback was a lack of face-to-face communication between student, GSIs, and faculty. After reviewing the course structure and outcomes from summer 2000, the chemical engineering department's curriculum committee voted to accept the asynchronous learning version of the chemical reaction engineering course as equivalent to the synchronous version of the course offered during the academic year.","author":[{"dropping-particle":"","family":"Fogler","given":"H. S.","non-dropping-particle":"","parse-names":false,"suffix":""}],"container-title":"Pearson","edition":"5 th","id":"ITEM-1","issue":"4","issued":{"date-parts":[["2016"]]},"number-of-pages":"290-295","publisher":"Pearson","publisher-place":"Philadelphia","title":"Elements of Chemical Reaction Engineering","type":"book","volume":"35"},"uris":["http://www.mendeley.com/documents/?uuid=6aa1191a-66b6-4567-8536-a5c0a1082d89"]}],"mendeley":{"formattedCitation":"(Fogler, 2016)","plainTextFormattedCitation":"(Fogler, 2016)","previouslyFormattedCitation":"[2]"},"properties":{"noteIndex":0},"schema":"https://github.com/citation-style-language/schema/raw/master/csl-citation.json"}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(Fogler, 2016)</w:t>
            </w:r>
            <w:r w:rsidRPr="006F7E00">
              <w:rPr>
                <w:rFonts w:asciiTheme="majorBidi" w:hAnsiTheme="majorBidi" w:cstheme="majorBidi"/>
                <w:sz w:val="24"/>
                <w:szCs w:val="24"/>
              </w:rPr>
              <w:fldChar w:fldCharType="end"/>
            </w:r>
          </w:p>
        </w:tc>
      </w:tr>
      <w:tr w:rsidR="006F7E00" w:rsidRPr="006F7E00" w:rsidTr="006F7E00">
        <w:trPr>
          <w:trHeight w:val="140"/>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5</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product layer (Jander's Equation sp)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d>
                      <m:dPr>
                        <m:ctrlPr>
                          <w:rPr>
                            <w:rFonts w:ascii="Cambria Math" w:hAnsi="Cambria Math" w:cstheme="majorBidi"/>
                            <w:sz w:val="24"/>
                            <w:szCs w:val="24"/>
                          </w:rPr>
                        </m:ctrlPr>
                      </m:dPr>
                      <m:e>
                        <m:r>
                          <m:rPr>
                            <m:sty m:val="p"/>
                          </m:rPr>
                          <w:rPr>
                            <w:rFonts w:ascii="Cambria Math" w:hAnsi="Cambria Math" w:cstheme="majorBidi"/>
                            <w:sz w:val="24"/>
                            <w:szCs w:val="24"/>
                          </w:rPr>
                          <m:t>1-X</m:t>
                        </m:r>
                      </m:e>
                    </m:d>
                  </m:e>
                  <m:sup>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sup>
                </m:sSup>
                <m:r>
                  <m:rPr>
                    <m:sty m:val="p"/>
                  </m:rPr>
                  <w:rPr>
                    <w:rFonts w:ascii="Cambria Math" w:hAnsi="Cambria Math" w:cstheme="majorBidi"/>
                    <w:sz w:val="24"/>
                    <w:szCs w:val="24"/>
                  </w:rPr>
                  <m:t>]²</m:t>
                </m:r>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{"citationItems":[{"id":"ITEM-1","itemData":{"ISBN":"9780133887518","ISSN":"00092479","abstract":"Chemical reaction engineering was taught asynchronously using e-mail, the web, texts, and CD-ROMs. The wide variety of resources given to the students allowed for most of the learning styles described by Felder and Soloman. The students in the course performed well in the AL course and enjoyed it. Two major advantages of the chemical reaction course were that it addressed a number of the learning styles identified in Felder/Soloman's inventory and that it provided great flexibility in time and location for learning the subject. The students developed a greater sense of self-confidence and gained a realization that the responsibility for learning was transferred from the professor to the student. The major drawback was a lack of face-to-face communication between student, GSIs, and faculty. After reviewing the course structure and outcomes from summer 2000, the chemical engineering department's curriculum committee voted to accept the asynchronous learning version of the chemical reaction engineering course as equivalent to the synchronous version of the course offered during the academic year.","author":[{"dropping-particle":"","family":"Fogler","given":"H. S.","non-dropping-particle":"","parse-names":false,"suffix":""}],"container-title":"Pearson","edition":"5 th","id":"ITEM-1","issue":"4","issued":{"date-parts":[["2016"]]},"number-of-pages":"290-295","publisher":"Pearson","publisher-place":"Philadelphia","title":"Elements of Chemical Reaction Engineering","type":"book","volume":"35"},"uris":["http://www.mendeley.com/documents/?uuid=6aa1191a-66b6-4567-8536-a5c0a1082d89"]}],"mendeley":{"formattedCitation":"(Fogler, 2016)","plainTextFormattedCitation":"(Fogler, 2016)","previouslyFormattedCitation":"[2]"},"properties":{"noteIndex":0},"schema":"https://github.com/citation-style-language/schema/raw/master/csl-citation.json"}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(Fogler, 2016)</w:t>
            </w:r>
            <w:r w:rsidRPr="006F7E00">
              <w:rPr>
                <w:rFonts w:asciiTheme="majorBidi" w:hAnsiTheme="majorBidi" w:cstheme="majorBidi"/>
                <w:sz w:val="24"/>
                <w:szCs w:val="24"/>
              </w:rPr>
              <w:fldChar w:fldCharType="end"/>
            </w:r>
          </w:p>
        </w:tc>
      </w:tr>
      <w:tr w:rsidR="006F7E00" w:rsidRPr="006F7E00" w:rsidTr="006F7E00">
        <w:trPr>
          <w:trHeight w:val="140"/>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6</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Diffusion through the product layer and interfacial transfer</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func>
                  <m:funcPr>
                    <m:ctrlPr>
                      <w:rPr>
                        <w:rFonts w:ascii="Cambria Math" w:hAnsi="Cambria Math" w:cstheme="majorBidi"/>
                        <w:sz w:val="24"/>
                        <w:szCs w:val="24"/>
                      </w:rPr>
                    </m:ctrlPr>
                  </m:funcPr>
                  <m:fName>
                    <m:r>
                      <m:rPr>
                        <m:sty m:val="p"/>
                      </m:rPr>
                      <w:rPr>
                        <w:rFonts w:ascii="Cambria Math" w:hAnsi="Cambria Math" w:cstheme="majorBidi"/>
                        <w:sz w:val="24"/>
                        <w:szCs w:val="24"/>
                      </w:rPr>
                      <m:t>ln</m:t>
                    </m:r>
                  </m:fName>
                  <m:e>
                    <m:d>
                      <m:dPr>
                        <m:ctrlPr>
                          <w:rPr>
                            <w:rFonts w:ascii="Cambria Math" w:hAnsi="Cambria Math" w:cstheme="majorBidi"/>
                            <w:sz w:val="24"/>
                            <w:szCs w:val="24"/>
                          </w:rPr>
                        </m:ctrlPr>
                      </m:dPr>
                      <m:e>
                        <m:r>
                          <m:rPr>
                            <m:sty m:val="p"/>
                          </m:rPr>
                          <w:rPr>
                            <w:rFonts w:ascii="Cambria Math" w:hAnsi="Cambria Math" w:cstheme="majorBidi"/>
                            <w:sz w:val="24"/>
                            <w:szCs w:val="24"/>
                          </w:rPr>
                          <m:t>1-X</m:t>
                        </m:r>
                      </m:e>
                    </m:d>
                  </m:e>
                </m:func>
                <m:r>
                  <m:rPr>
                    <m:sty m:val="p"/>
                  </m:rPr>
                  <w:rPr>
                    <w:rFonts w:ascii="Cambria Math" w:hAnsi="Cambria Math" w:cstheme="majorBidi"/>
                    <w:sz w:val="24"/>
                    <w:szCs w:val="24"/>
                  </w:rPr>
                  <m:t>–[1-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r>
                  <m:rPr>
                    <m:sty m:val="p"/>
                  </m:rPr>
                  <w:rPr>
                    <w:rFonts w:ascii="Cambria Math" w:hAnsi="Cambria Math" w:cstheme="majorBidi"/>
                    <w:sz w:val="24"/>
                    <w:szCs w:val="24"/>
                  </w:rPr>
                  <m:t>]</m:t>
                </m:r>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10.1016/S0040-6031(99)00256-7","ISSN":"00406031","author":[{"dropping-particle":"","family":"Dickinson","given":"C.F.","non-dropping-particle":"","parse-names":false,"suffix":""},{"dropping-particle":"","family":"Heal","given":"G.R.","non-dropping-particle":"","parse-names":false,"suffix":""}],"container-title":"Thermochimica Acta","id":"ITEM-1","issued":{"date-parts":[["1999","12"]]},"page":"89-103","title":"Solid–liquid diffusion controlled rate equations","type":"article-journal","volume":"340-341"},"uris":["http://www.mendeley.com/documents/?uuid=95b059b0-423c-490d-9a30-31f8fa9d1de8"]}],"mendeley":{"formattedCitation":"(Dickinson and Heal, 1999)","plainTextFormattedCitation":"(Dickinson and Heal, 1999)","previouslyFormattedCitation":"[3]"},"properties":{"noteIndex":0},"schema":"https://github.com/citation-style-language/schema/raw/master/csl-citation.json"}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(Dickinson and Heal, 1999)</w:t>
            </w:r>
            <w:r w:rsidRPr="006F7E00">
              <w:rPr>
                <w:rFonts w:asciiTheme="majorBidi" w:hAnsiTheme="majorBidi" w:cstheme="majorBidi"/>
                <w:sz w:val="24"/>
                <w:szCs w:val="24"/>
              </w:rPr>
              <w:fldChar w:fldCharType="end"/>
            </w:r>
          </w:p>
        </w:tc>
      </w:tr>
      <w:tr w:rsidR="006F7E00" w:rsidRPr="006F7E00" w:rsidTr="006F7E00">
        <w:trPr>
          <w:trHeight w:val="306"/>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7</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chemical reaction on the particle surface (constant size cp)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1/2</m:t>
                    </m:r>
                  </m:sup>
                </m:sSup>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{"citationItems":[{"id":"ITEM-1","itemData":{"DOI":"https://doi.org/10.1002/aic.690190143","ISBN":"047125424X","abstract":"Chemical reaction engineering is that engineering activity concerned with the exploitation of chemical reactions on a commercial scale. Its goal is the successful design and operation of chemical reactors, and probably more than any other activity it sets chemical engineering apart as a distinct branch of the engineering profession. In a typical situation the engineer is faced with a host of questions: what information is needed to attack a problem, how best to obtain it, and then how to select a reasonable design from the many available alternatives? The purpose of this book is to teach how to answer these questions reliably and wisely. To do this I emphasize qualitative arguments, simple design methods, graphical procedures, and frequent comparison of capabilities of the major reactor types. This approach should help develop a strong intuitive sense for good design which can then guide and reinforce the formal methods. This is a teaching book; thus, simple ideas are treated first, and are then extended to the more complex. Also, emphasis is placed throughout on the development of a common design strategy for all systems, homogeneous and heterogeneous.","author":[{"dropping-particle":"","family":"Levenspiel","given":"Octave","non-dropping-particle":"","parse-names":false,"suffix":""}],"container-title":"Wiley","edition":"3rd editio","id":"ITEM-1","issued":{"date-parts":[["1998"]]},"number-of-pages":"688","publisher":"Wiley","title":"Chemical reaction engineering","type":"book"},"uris":["http://www.mendeley.com/documents/?uuid=2be62486-7437-4f16-baff-6fe22fea886b"]}],"mendeley":{"formattedCitation":"(Levenspiel, 1998)","plainTextFormattedCitation":"(Levenspiel, 1998)","previouslyFormattedCitation":"[1]"},"properties":{"noteIndex":0},"schema":"https://github.com/citation-style-language/schema/raw/master/csl-citation.json"}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(Levenspiel, 1998)</w:t>
            </w:r>
            <w:r w:rsidRPr="006F7E00">
              <w:rPr>
                <w:rFonts w:asciiTheme="majorBidi" w:hAnsiTheme="majorBidi" w:cstheme="majorBidi"/>
                <w:sz w:val="24"/>
                <w:szCs w:val="24"/>
              </w:rPr>
              <w:fldChar w:fldCharType="end"/>
            </w:r>
          </w:p>
        </w:tc>
      </w:tr>
      <w:tr w:rsidR="006F7E00" w:rsidRPr="006F7E00" w:rsidTr="006F7E00">
        <w:trPr>
          <w:trHeight w:val="306"/>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8</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chemical reaction on the particle surface (constant size sp)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{"citationItems":[{"id":"ITEM-1","itemData":{"DOI":"https://doi.org/10.1002/aic.690190143","ISBN":"047125424X","abstract":"Chemical reaction engineering is that engineering activity concerned with the exploitation of chemical reactions on a commercial scale. Its goal is the successful design and operation of chemical reactors, and probably more than any other activity it sets chemical engineering apart as a distinct branch of the engineering profession. In a typical situation the engineer is faced with a host of questions: what information is needed to attack a problem, how best to obtain it, and then how to select a reasonable design from the many available alternatives? The purpose of this book is to teach how to answer these questions reliably and wisely. To do this I emphasize qualitative arguments, simple design methods, graphical procedures, and frequent comparison of capabilities of the major reactor types. This approach should help develop a strong intuitive sense for good design which can then guide and reinforce the formal methods. This is a teaching book; thus, simple ideas are treated first, and are then extended to the more complex. Also, emphasis is placed throughout on the development of a common design strategy for all systems, homogeneous and heterogeneous.","author":[{"dropping-particle":"","family":"Levenspiel","given":"Octave","non-dropping-particle":"","parse-names":false,"suffix":""}],"container-title":"Wiley","edition":"3rd editio","id":"ITEM-1","issued":{"date-parts":[["1998"]]},"number-of-pages":"688","publisher":"Wiley","title":"Chemical reaction engineering","type":"book"},"uris":["http://www.mendeley.com/documents/?uuid=2be62486-7437-4f16-baff-6fe22fea886b"]}],"mendeley":{"formattedCitation":"(Levenspiel, 1998)","plainTextFormattedCitation":"(Levenspiel, 1998)","previouslyFormattedCitation":"[1]"},"properties":{"noteIndex":0},"schema":"https://github.com/citation-style-language/schema/raw/master/csl-citation.json"}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(Levenspiel, 1998)</w:t>
            </w:r>
            <w:r w:rsidRPr="006F7E00">
              <w:rPr>
                <w:rFonts w:asciiTheme="majorBidi" w:hAnsiTheme="majorBidi" w:cstheme="majorBidi"/>
                <w:sz w:val="24"/>
                <w:szCs w:val="24"/>
              </w:rPr>
              <w:fldChar w:fldCharType="end"/>
            </w:r>
          </w:p>
        </w:tc>
      </w:tr>
      <w:tr w:rsidR="006F7E00" w:rsidRPr="006F7E00" w:rsidTr="006F7E00">
        <w:trPr>
          <w:trHeight w:val="306"/>
        </w:trPr>
        <w:tc>
          <w:tcPr>
            <w:tcW w:w="5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9</w:t>
            </w:r>
          </w:p>
        </w:tc>
        <w:tc>
          <w:tcPr>
            <w:tcW w:w="529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The surface chemical reaction (shrinking sp)</w:t>
            </w:r>
          </w:p>
        </w:tc>
        <w:tc>
          <w:tcPr>
            <w:tcW w:w="401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(1-0.45X)</m:t>
                    </m:r>
                  </m:e>
                  <m:sup>
                    <m:r>
                      <m:rPr>
                        <m:sty m:val="p"/>
                      </m:rPr>
                      <w:rPr>
                        <w:rFonts w:ascii="Cambria Math" w:hAnsi="Cambria Math" w:cstheme="majorBidi"/>
                        <w:sz w:val="24"/>
                        <w:szCs w:val="24"/>
                      </w:rPr>
                      <m:t>1/3</m:t>
                    </m:r>
                  </m:sup>
                </m:sSup>
              </m:oMath>
            </m:oMathPara>
          </w:p>
        </w:tc>
        <w:tc>
          <w:tcPr>
            <w:tcW w:w="1170" w:type="dxa"/>
            <w:tcBorders>
              <w:top w:val="single" w:sz="4" w:space="0" w:color="FFFFFF"/>
              <w:bottom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10.1016/j.hydromet.2007.12.003","ISSN":"0304386X","author":[{"dropping-particle":"","family":"Padilla","given":"R.","non-dropping-particle":"","parse-names":false,"suffix":""},{"dropping-particle":"","family":"Pavez","given":"P.","non-dropping-particle":"","parse-names":false,"suffix":""},{"dropping-particle":"","family":"Ruiz","given":"M.C.","non-dropping-particle":"","parse-names":false,"suffix":""}],"container-title":"Hydrometallurgy","id":"ITEM-1","issue":"1-4","issued":{"date-parts":[["2008","3"]]},"page":"113-120","title":"Kinetics of copper dissolution from sulfidized chalcopyrite at high pressures in H2SO4–O2","type":"article-journal","volume":"91"},"uris":["http://www.mendeley.com/documents/?uuid=e082f18f-9460-419f-a2b3-96929be67b18"]}],"mendeley":{"formattedCitation":"(Padilla et al., 2008)","plainTextFormattedCitation":"(Padilla et al., 2008)","previouslyFormattedCitation":"[4]"},"properties":{"noteIndex":0},"schema":"https://github.com/citation-style-language/schema/raw/master/csl-citation.json"}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(Padilla et al., 2008)</w:t>
            </w:r>
            <w:r w:rsidRPr="006F7E00">
              <w:rPr>
                <w:rFonts w:asciiTheme="majorBidi" w:hAnsiTheme="majorBidi" w:cstheme="majorBidi"/>
                <w:sz w:val="24"/>
                <w:szCs w:val="24"/>
              </w:rPr>
              <w:fldChar w:fldCharType="end"/>
            </w:r>
          </w:p>
        </w:tc>
      </w:tr>
      <w:tr w:rsidR="006F7E00" w:rsidRPr="006F7E00" w:rsidTr="006F7E00">
        <w:trPr>
          <w:trHeight w:val="316"/>
        </w:trPr>
        <w:tc>
          <w:tcPr>
            <w:tcW w:w="510" w:type="dxa"/>
            <w:tcBorders>
              <w:top w:val="single" w:sz="4" w:space="0" w:color="FFFFFF"/>
            </w:tcBorders>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10</w:t>
            </w:r>
          </w:p>
        </w:tc>
        <w:tc>
          <w:tcPr>
            <w:tcW w:w="5290" w:type="dxa"/>
            <w:tcBorders>
              <w:top w:val="single" w:sz="4" w:space="0" w:color="FFFFFF"/>
            </w:tcBorders>
            <w:vAlign w:val="center"/>
          </w:tcPr>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Mixed control model (surface reaction control; and diffusion through product layer)</w:t>
            </w:r>
          </w:p>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p>
        </w:tc>
        <w:tc>
          <w:tcPr>
            <w:tcW w:w="4010" w:type="dxa"/>
            <w:tcBorders>
              <w:top w:val="single" w:sz="4" w:space="0" w:color="FFFFFF"/>
            </w:tcBorders>
            <w:vAlign w:val="center"/>
          </w:tcPr>
          <w:p w:rsidR="006F7E00" w:rsidRPr="006F7E00" w:rsidRDefault="006F7E00" w:rsidP="006F7E00">
            <w:pPr>
              <w:jc w:val="both"/>
              <w:rPr>
                <w:rFonts w:asciiTheme="majorBidi" w:hAnsiTheme="majorBidi" w:cstheme="majorBidi"/>
                <w:sz w:val="24"/>
                <w:szCs w:val="24"/>
              </w:rPr>
            </w:pPr>
            <m:oMathPara>
              <m:oMath>
                <m:r>
                  <m:rPr>
                    <m:sty m:val="p"/>
                  </m:rPr>
                  <w:rPr>
                    <w:rFonts w:ascii="Cambria Math" w:hAnsi="Cambria Math" w:cstheme="majorBidi"/>
                    <w:sz w:val="24"/>
                    <w:szCs w:val="24"/>
                  </w:rPr>
                  <m:t>kt =-ln(1-X)</m:t>
                </m:r>
              </m:oMath>
            </m:oMathPara>
          </w:p>
        </w:tc>
        <w:tc>
          <w:tcPr>
            <w:tcW w:w="1170" w:type="dxa"/>
            <w:tcBorders>
              <w:top w:val="single" w:sz="4" w:space="0" w:color="FFFFFF"/>
            </w:tcBorders>
            <w:vAlign w:val="center"/>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ADDIN CSL_CITATION {"citationItems":[{"id":"ITEM-1","itemData":{"DOI":"10.1016/j.hydromet.2008.06.012","ISSN":"0304386X","author":[{"dropping-particle":"","family":"Sokić","given":"Miroslav D.","non-dropping-particle":"","parse-names":false,"suffix":""},{"dropping-particle":"","family":"Marković","given":"Branislav","non-dropping-particle":"","parse-names":false,"suffix":""},{"dropping-particle":"","family":"Živković","given":"Dragana","non-dropping-particle":"","parse-names":false,"suffix":""}],"container-title":"Hydrometallurgy","id":"ITEM-1","issue":"3-4","issued":{"date-parts":[["2009","2"]]},"page":"273-279","title":"Kinetics of chalcopyrite leaching by sodium nitrate in sulphuric acid","type":"article-journal","volume":"95"},"uris":["http://www.mendeley.com/documents/?uuid=147da477-7fb8-4333-b7e2-a78b726da35b"]}],"mendeley":{"formattedCitation":"(Sokić et al., 2009)","plainTextFormattedCitation":"(Sokić et al., 2009)","previouslyFormattedCitation":"[5]"},"properties":{"noteIndex":0},"schema":"https://github.com/citation-style-language/schema/raw/master/csl-citation.json"}</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(Sokić et al., 2009)</w:t>
            </w:r>
            <w:r w:rsidRPr="006F7E00">
              <w:rPr>
                <w:rFonts w:asciiTheme="majorBidi" w:hAnsiTheme="majorBidi" w:cstheme="majorBidi"/>
                <w:sz w:val="24"/>
                <w:szCs w:val="24"/>
              </w:rPr>
              <w:fldChar w:fldCharType="end"/>
            </w:r>
          </w:p>
        </w:tc>
      </w:tr>
      <w:bookmarkEnd w:id="2"/>
    </w:tbl>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X is the leaching efficiency of Cobalt/Molybdenum (%), k is the apparent rate constant, and t is the leaching time, h. (sp: spherical particles, pp: prismatic particles, cp: cylindrical particle)</w:t>
      </w:r>
    </w:p>
    <w:p w:rsidR="006F7E00" w:rsidRPr="006F7E00" w:rsidRDefault="006F7E00" w:rsidP="006F7E00">
      <w:pPr>
        <w:jc w:val="both"/>
        <w:rPr>
          <w:rFonts w:asciiTheme="majorBidi" w:hAnsiTheme="majorBidi" w:cstheme="majorBidi"/>
          <w:sz w:val="24"/>
          <w:szCs w:val="24"/>
        </w:rPr>
      </w:pPr>
      <w:r w:rsidRPr="00F60713">
        <w:rPr>
          <w:rFonts w:asciiTheme="majorBidi" w:hAnsiTheme="majorBidi" w:cstheme="majorBidi"/>
          <w:b/>
          <w:bCs/>
          <w:sz w:val="24"/>
          <w:szCs w:val="24"/>
        </w:rPr>
        <w:lastRenderedPageBreak/>
        <w:t>Table S2</w:t>
      </w:r>
      <w:r w:rsidRPr="006F7E00">
        <w:rPr>
          <w:rFonts w:asciiTheme="majorBidi" w:hAnsiTheme="majorBidi" w:cstheme="majorBidi"/>
          <w:sz w:val="24"/>
          <w:szCs w:val="24"/>
        </w:rPr>
        <w:t xml:space="preserve"> List of kinetic models calculated for (DES-1, Cobalt) at different temperatures and their correlation coefficients (R²), (0</w:t>
      </w:r>
      <w:r w:rsidR="00F60713">
        <w:rPr>
          <w:rFonts w:asciiTheme="majorBidi" w:hAnsiTheme="majorBidi" w:cstheme="majorBidi"/>
          <w:sz w:val="24"/>
          <w:szCs w:val="24"/>
        </w:rPr>
        <w:t>-48 hour)</w:t>
      </w:r>
    </w:p>
    <w:tbl>
      <w:tblPr>
        <w:tblpPr w:leftFromText="180" w:rightFromText="180" w:vertAnchor="text" w:horzAnchor="margin" w:tblpXSpec="center" w:tblpY="462"/>
        <w:tblW w:w="8686" w:type="dxa"/>
        <w:tblLayout w:type="fixed"/>
        <w:tblLook w:val="04A0" w:firstRow="1" w:lastRow="0" w:firstColumn="1" w:lastColumn="0" w:noHBand="0" w:noVBand="1"/>
      </w:tblPr>
      <w:tblGrid>
        <w:gridCol w:w="586"/>
        <w:gridCol w:w="4223"/>
        <w:gridCol w:w="1282"/>
        <w:gridCol w:w="1070"/>
        <w:gridCol w:w="1525"/>
      </w:tblGrid>
      <w:tr w:rsidR="006F7E00" w:rsidRPr="006F7E00" w:rsidTr="00A76310">
        <w:trPr>
          <w:trHeight w:val="234"/>
        </w:trPr>
        <w:tc>
          <w:tcPr>
            <w:tcW w:w="586" w:type="dxa"/>
            <w:vMerge w:val="restart"/>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No</w:t>
            </w:r>
          </w:p>
        </w:tc>
        <w:tc>
          <w:tcPr>
            <w:tcW w:w="4223"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Kinetic Model equations</w:t>
            </w:r>
          </w:p>
        </w:tc>
        <w:tc>
          <w:tcPr>
            <w:tcW w:w="3877" w:type="dxa"/>
            <w:gridSpan w:val="3"/>
            <w:vAlign w:val="center"/>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Correlation coefficients (R²) of kinetics models</w:t>
            </w:r>
          </w:p>
        </w:tc>
      </w:tr>
      <w:tr w:rsidR="006F7E00" w:rsidRPr="006F7E00" w:rsidTr="00A76310">
        <w:trPr>
          <w:trHeight w:val="234"/>
        </w:trPr>
        <w:tc>
          <w:tcPr>
            <w:tcW w:w="586" w:type="dxa"/>
            <w:vMerge/>
          </w:tcPr>
          <w:p w:rsidR="006F7E00" w:rsidRPr="006F7E00" w:rsidRDefault="006F7E00" w:rsidP="006F7E00">
            <w:pPr>
              <w:jc w:val="both"/>
              <w:rPr>
                <w:rFonts w:asciiTheme="majorBidi" w:hAnsiTheme="majorBidi" w:cstheme="majorBidi"/>
                <w:b/>
                <w:bCs/>
                <w:sz w:val="24"/>
                <w:szCs w:val="24"/>
              </w:rPr>
            </w:pPr>
          </w:p>
        </w:tc>
        <w:tc>
          <w:tcPr>
            <w:tcW w:w="4223" w:type="dxa"/>
            <w:vMerge/>
          </w:tcPr>
          <w:p w:rsidR="006F7E00" w:rsidRPr="006F7E00" w:rsidRDefault="006F7E00" w:rsidP="006F7E00">
            <w:pPr>
              <w:jc w:val="center"/>
              <w:rPr>
                <w:rFonts w:asciiTheme="majorBidi" w:hAnsiTheme="majorBidi" w:cstheme="majorBidi"/>
                <w:sz w:val="24"/>
                <w:szCs w:val="24"/>
              </w:rPr>
            </w:pPr>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100°C</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75°C</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50°C</w:t>
            </w:r>
          </w:p>
        </w:tc>
      </w:tr>
      <w:tr w:rsidR="006F7E00" w:rsidRPr="006F7E00" w:rsidTr="00A76310">
        <w:trPr>
          <w:trHeight w:val="192"/>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1</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w:t>
            </w:r>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0.0124</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0.4693</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0.835</w:t>
            </w:r>
          </w:p>
        </w:tc>
      </w:tr>
      <w:tr w:rsidR="006F7E00" w:rsidRPr="006F7E00" w:rsidTr="00A76310">
        <w:trPr>
          <w:trHeight w:val="227"/>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2</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X²</w:t>
            </w:r>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0.9041</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0.9339</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0.9946</w:t>
            </w:r>
          </w:p>
        </w:tc>
      </w:tr>
      <w:tr w:rsidR="006F7E00" w:rsidRPr="006F7E00" w:rsidTr="00A76310">
        <w:trPr>
          <w:trHeight w:val="234"/>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3</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X+(1-X)ln(1-X)</m:t>
                </m:r>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0.9645</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0.9647</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0.9862</w:t>
            </w:r>
          </w:p>
        </w:tc>
      </w:tr>
      <w:tr w:rsidR="006F7E00" w:rsidRPr="006F7E00" w:rsidTr="00A76310">
        <w:trPr>
          <w:trHeight w:val="222"/>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4</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0.9808</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0.9733</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0.9819</w:t>
            </w:r>
          </w:p>
        </w:tc>
      </w:tr>
      <w:tr w:rsidR="006F7E00" w:rsidRPr="006F7E00" w:rsidTr="00A76310">
        <w:trPr>
          <w:trHeight w:val="104"/>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5</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d>
                      <m:dPr>
                        <m:ctrlPr>
                          <w:rPr>
                            <w:rFonts w:ascii="Cambria Math" w:hAnsi="Cambria Math" w:cstheme="majorBidi"/>
                            <w:sz w:val="24"/>
                            <w:szCs w:val="24"/>
                          </w:rPr>
                        </m:ctrlPr>
                      </m:dPr>
                      <m:e>
                        <m:r>
                          <m:rPr>
                            <m:sty m:val="p"/>
                          </m:rPr>
                          <w:rPr>
                            <w:rFonts w:ascii="Cambria Math" w:hAnsi="Cambria Math" w:cstheme="majorBidi"/>
                            <w:sz w:val="24"/>
                            <w:szCs w:val="24"/>
                          </w:rPr>
                          <m:t>1-X</m:t>
                        </m:r>
                      </m:e>
                    </m:d>
                  </m:e>
                  <m:sup>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sup>
                </m:sSup>
                <m:r>
                  <m:rPr>
                    <m:sty m:val="p"/>
                  </m:rPr>
                  <w:rPr>
                    <w:rFonts w:ascii="Cambria Math" w:hAnsi="Cambria Math" w:cstheme="majorBidi"/>
                    <w:sz w:val="24"/>
                    <w:szCs w:val="24"/>
                  </w:rPr>
                  <m:t>]²</m:t>
                </m:r>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0.9964</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0.9848</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0.9717</w:t>
            </w:r>
          </w:p>
        </w:tc>
      </w:tr>
      <w:tr w:rsidR="006F7E00" w:rsidRPr="006F7E00" w:rsidTr="00A76310">
        <w:trPr>
          <w:trHeight w:val="104"/>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6</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func>
                  <m:funcPr>
                    <m:ctrlPr>
                      <w:rPr>
                        <w:rFonts w:ascii="Cambria Math" w:hAnsi="Cambria Math" w:cstheme="majorBidi"/>
                        <w:sz w:val="24"/>
                        <w:szCs w:val="24"/>
                      </w:rPr>
                    </m:ctrlPr>
                  </m:funcPr>
                  <m:fName>
                    <m:r>
                      <m:rPr>
                        <m:sty m:val="p"/>
                      </m:rPr>
                      <w:rPr>
                        <w:rFonts w:ascii="Cambria Math" w:hAnsi="Cambria Math" w:cstheme="majorBidi"/>
                        <w:sz w:val="24"/>
                        <w:szCs w:val="24"/>
                      </w:rPr>
                      <m:t>ln</m:t>
                    </m:r>
                  </m:fName>
                  <m:e>
                    <m:d>
                      <m:dPr>
                        <m:ctrlPr>
                          <w:rPr>
                            <w:rFonts w:ascii="Cambria Math" w:hAnsi="Cambria Math" w:cstheme="majorBidi"/>
                            <w:sz w:val="24"/>
                            <w:szCs w:val="24"/>
                          </w:rPr>
                        </m:ctrlPr>
                      </m:dPr>
                      <m:e>
                        <m:r>
                          <m:rPr>
                            <m:sty m:val="p"/>
                          </m:rPr>
                          <w:rPr>
                            <w:rFonts w:ascii="Cambria Math" w:hAnsi="Cambria Math" w:cstheme="majorBidi"/>
                            <w:sz w:val="24"/>
                            <w:szCs w:val="24"/>
                          </w:rPr>
                          <m:t>1-X</m:t>
                        </m:r>
                      </m:e>
                    </m:d>
                  </m:e>
                </m:func>
                <m:r>
                  <m:rPr>
                    <m:sty m:val="p"/>
                  </m:rPr>
                  <w:rPr>
                    <w:rFonts w:ascii="Cambria Math" w:hAnsi="Cambria Math" w:cstheme="majorBidi"/>
                    <w:sz w:val="24"/>
                    <w:szCs w:val="24"/>
                  </w:rPr>
                  <m:t>–[1-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r>
                  <m:rPr>
                    <m:sty m:val="p"/>
                  </m:rPr>
                  <w:rPr>
                    <w:rFonts w:ascii="Cambria Math" w:hAnsi="Cambria Math" w:cstheme="majorBidi"/>
                    <w:sz w:val="24"/>
                    <w:szCs w:val="24"/>
                  </w:rPr>
                  <m:t>]</m:t>
                </m:r>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0.982</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0.9907</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0.9465</w:t>
            </w:r>
          </w:p>
        </w:tc>
      </w:tr>
      <w:tr w:rsidR="006F7E00" w:rsidRPr="006F7E00" w:rsidTr="00A76310">
        <w:trPr>
          <w:trHeight w:val="227"/>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7</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1/2</m:t>
                    </m:r>
                  </m:sup>
                </m:sSup>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0.5734</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0.1741</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0.008</w:t>
            </w:r>
          </w:p>
        </w:tc>
      </w:tr>
      <w:tr w:rsidR="006F7E00" w:rsidRPr="006F7E00" w:rsidTr="00A76310">
        <w:trPr>
          <w:trHeight w:val="227"/>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8</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0.7715</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0.741</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0.9245</w:t>
            </w:r>
          </w:p>
        </w:tc>
      </w:tr>
      <w:tr w:rsidR="006F7E00" w:rsidRPr="006F7E00" w:rsidTr="00A76310">
        <w:trPr>
          <w:trHeight w:val="227"/>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9</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(1-0.45X)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0.2578</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0.5685</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0.8717</w:t>
            </w:r>
          </w:p>
        </w:tc>
      </w:tr>
      <w:tr w:rsidR="006F7E00" w:rsidRPr="006F7E00" w:rsidTr="00A76310">
        <w:trPr>
          <w:trHeight w:val="234"/>
        </w:trPr>
        <w:tc>
          <w:tcPr>
            <w:tcW w:w="586" w:type="dxa"/>
          </w:tcPr>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10</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=-ln(1-X)</m:t>
                </m:r>
              </m:oMath>
            </m:oMathPara>
          </w:p>
        </w:tc>
        <w:tc>
          <w:tcPr>
            <w:tcW w:w="1282"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0.948</w:t>
            </w:r>
          </w:p>
        </w:tc>
        <w:tc>
          <w:tcPr>
            <w:tcW w:w="1070"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0.1166</w:t>
            </w:r>
          </w:p>
        </w:tc>
        <w:tc>
          <w:tcPr>
            <w:tcW w:w="1525" w:type="dxa"/>
          </w:tcPr>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0.064</w:t>
            </w:r>
          </w:p>
        </w:tc>
      </w:tr>
    </w:tbl>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p>
    <w:p w:rsidR="006F7E00" w:rsidRPr="006F7E00" w:rsidRDefault="006F7E00" w:rsidP="006F7E00">
      <w:pPr>
        <w:jc w:val="both"/>
        <w:rPr>
          <w:rFonts w:asciiTheme="majorBidi" w:hAnsiTheme="majorBidi" w:cstheme="majorBidi"/>
          <w:sz w:val="24"/>
          <w:szCs w:val="24"/>
        </w:rPr>
      </w:pPr>
      <w:r w:rsidRPr="00F60713">
        <w:rPr>
          <w:rFonts w:asciiTheme="majorBidi" w:hAnsiTheme="majorBidi" w:cstheme="majorBidi"/>
          <w:b/>
          <w:bCs/>
          <w:sz w:val="24"/>
          <w:szCs w:val="24"/>
        </w:rPr>
        <w:t>Table S3</w:t>
      </w:r>
      <w:r w:rsidRPr="006F7E00">
        <w:rPr>
          <w:rFonts w:asciiTheme="majorBidi" w:hAnsiTheme="majorBidi" w:cstheme="majorBidi"/>
          <w:sz w:val="24"/>
          <w:szCs w:val="24"/>
        </w:rPr>
        <w:t xml:space="preserve"> List of kinetic models calculated for (DES-1, Molybdenum) at different temperatures and their correlation</w:t>
      </w:r>
      <w:r w:rsidR="00F60713">
        <w:rPr>
          <w:rFonts w:asciiTheme="majorBidi" w:hAnsiTheme="majorBidi" w:cstheme="majorBidi"/>
          <w:sz w:val="24"/>
          <w:szCs w:val="24"/>
        </w:rPr>
        <w:t xml:space="preserve"> coefficients (R²), (0-48 hour)</w:t>
      </w:r>
    </w:p>
    <w:tbl>
      <w:tblPr>
        <w:tblpPr w:leftFromText="180" w:rightFromText="180" w:vertAnchor="text" w:horzAnchor="margin" w:tblpXSpec="center" w:tblpY="462"/>
        <w:tblW w:w="8686" w:type="dxa"/>
        <w:tblLayout w:type="fixed"/>
        <w:tblLook w:val="04A0" w:firstRow="1" w:lastRow="0" w:firstColumn="1" w:lastColumn="0" w:noHBand="0" w:noVBand="1"/>
      </w:tblPr>
      <w:tblGrid>
        <w:gridCol w:w="586"/>
        <w:gridCol w:w="4223"/>
        <w:gridCol w:w="1282"/>
        <w:gridCol w:w="1070"/>
        <w:gridCol w:w="1525"/>
      </w:tblGrid>
      <w:tr w:rsidR="006F7E00" w:rsidRPr="006F7E00" w:rsidTr="00A76310">
        <w:trPr>
          <w:trHeight w:val="234"/>
        </w:trPr>
        <w:tc>
          <w:tcPr>
            <w:tcW w:w="586"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No</w:t>
            </w:r>
          </w:p>
        </w:tc>
        <w:tc>
          <w:tcPr>
            <w:tcW w:w="4223"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Kinetic Model equations</w:t>
            </w:r>
          </w:p>
        </w:tc>
        <w:tc>
          <w:tcPr>
            <w:tcW w:w="3877" w:type="dxa"/>
            <w:gridSpan w:val="3"/>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Correlation coefficients (R²) of kinetics models</w:t>
            </w:r>
          </w:p>
        </w:tc>
      </w:tr>
      <w:tr w:rsidR="006F7E00" w:rsidRPr="006F7E00" w:rsidTr="00A76310">
        <w:trPr>
          <w:trHeight w:val="234"/>
        </w:trPr>
        <w:tc>
          <w:tcPr>
            <w:tcW w:w="586" w:type="dxa"/>
            <w:vMerge/>
          </w:tcPr>
          <w:p w:rsidR="006F7E00" w:rsidRPr="006F7E00" w:rsidRDefault="006F7E00" w:rsidP="006F7E00">
            <w:pPr>
              <w:jc w:val="center"/>
              <w:rPr>
                <w:rFonts w:asciiTheme="majorBidi" w:hAnsiTheme="majorBidi" w:cstheme="majorBidi"/>
                <w:b/>
                <w:bCs/>
                <w:sz w:val="24"/>
                <w:szCs w:val="24"/>
              </w:rPr>
            </w:pPr>
          </w:p>
        </w:tc>
        <w:tc>
          <w:tcPr>
            <w:tcW w:w="4223" w:type="dxa"/>
            <w:vMerge/>
          </w:tcPr>
          <w:p w:rsidR="006F7E00" w:rsidRPr="006F7E00" w:rsidRDefault="006F7E00" w:rsidP="006F7E00">
            <w:pPr>
              <w:jc w:val="center"/>
              <w:rPr>
                <w:rFonts w:asciiTheme="majorBidi" w:hAnsiTheme="majorBidi" w:cstheme="majorBidi"/>
                <w:sz w:val="24"/>
                <w:szCs w:val="24"/>
              </w:rPr>
            </w:pP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100°C</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75°C</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50°C</w:t>
            </w:r>
          </w:p>
        </w:tc>
      </w:tr>
      <w:tr w:rsidR="006F7E00" w:rsidRPr="006F7E00" w:rsidTr="00A76310">
        <w:trPr>
          <w:trHeight w:val="19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0.361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0.5375</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0.835</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2</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X²</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0.9416</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0.9825</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0.9946</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3</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X+(1-X)ln(1-X)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0.9755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0.9859</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0.9885</w:t>
            </w:r>
          </w:p>
        </w:tc>
      </w:tr>
      <w:tr w:rsidR="006F7E00" w:rsidRPr="006F7E00" w:rsidTr="00A76310">
        <w:trPr>
          <w:trHeight w:val="22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4</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0.9844</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0.9839</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0.9855</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5</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d>
                      <m:dPr>
                        <m:ctrlPr>
                          <w:rPr>
                            <w:rFonts w:ascii="Cambria Math" w:hAnsi="Cambria Math" w:cstheme="majorBidi"/>
                            <w:sz w:val="24"/>
                            <w:szCs w:val="24"/>
                          </w:rPr>
                        </m:ctrlPr>
                      </m:dPr>
                      <m:e>
                        <m:r>
                          <m:rPr>
                            <m:sty m:val="p"/>
                          </m:rPr>
                          <w:rPr>
                            <w:rFonts w:ascii="Cambria Math" w:hAnsi="Cambria Math" w:cstheme="majorBidi"/>
                            <w:sz w:val="24"/>
                            <w:szCs w:val="24"/>
                          </w:rPr>
                          <m:t>1-X</m:t>
                        </m:r>
                      </m:e>
                    </m:d>
                  </m:e>
                  <m:sup>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sup>
                </m:sSup>
                <m:r>
                  <m:rPr>
                    <m:sty m:val="p"/>
                  </m:rPr>
                  <w:rPr>
                    <w:rFonts w:ascii="Cambria Math" w:hAnsi="Cambria Math" w:cstheme="majorBidi"/>
                    <w:sz w:val="24"/>
                    <w:szCs w:val="24"/>
                  </w:rPr>
                  <m:t>]²</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0.9914</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0.976</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0.9785</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lastRenderedPageBreak/>
              <w:t>6</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func>
                  <m:funcPr>
                    <m:ctrlPr>
                      <w:rPr>
                        <w:rFonts w:ascii="Cambria Math" w:hAnsi="Cambria Math" w:cstheme="majorBidi"/>
                        <w:sz w:val="24"/>
                        <w:szCs w:val="24"/>
                      </w:rPr>
                    </m:ctrlPr>
                  </m:funcPr>
                  <m:fName>
                    <m:r>
                      <m:rPr>
                        <m:sty m:val="p"/>
                      </m:rPr>
                      <w:rPr>
                        <w:rFonts w:ascii="Cambria Math" w:hAnsi="Cambria Math" w:cstheme="majorBidi"/>
                        <w:sz w:val="24"/>
                        <w:szCs w:val="24"/>
                      </w:rPr>
                      <m:t>ln</m:t>
                    </m:r>
                  </m:fName>
                  <m:e>
                    <m:d>
                      <m:dPr>
                        <m:ctrlPr>
                          <w:rPr>
                            <w:rFonts w:ascii="Cambria Math" w:hAnsi="Cambria Math" w:cstheme="majorBidi"/>
                            <w:sz w:val="24"/>
                            <w:szCs w:val="24"/>
                          </w:rPr>
                        </m:ctrlPr>
                      </m:dPr>
                      <m:e>
                        <m:r>
                          <m:rPr>
                            <m:sty m:val="p"/>
                          </m:rPr>
                          <w:rPr>
                            <w:rFonts w:ascii="Cambria Math" w:hAnsi="Cambria Math" w:cstheme="majorBidi"/>
                            <w:sz w:val="24"/>
                            <w:szCs w:val="24"/>
                          </w:rPr>
                          <m:t>1-X</m:t>
                        </m:r>
                      </m:e>
                    </m:d>
                  </m:e>
                </m:func>
                <m:r>
                  <m:rPr>
                    <m:sty m:val="p"/>
                  </m:rPr>
                  <w:rPr>
                    <w:rFonts w:ascii="Cambria Math" w:hAnsi="Cambria Math" w:cstheme="majorBidi"/>
                    <w:sz w:val="24"/>
                    <w:szCs w:val="24"/>
                  </w:rPr>
                  <m:t>–[1-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r>
                  <m:rPr>
                    <m:sty m:val="p"/>
                  </m:rPr>
                  <w:rPr>
                    <w:rFonts w:ascii="Cambria Math" w:hAnsi="Cambria Math" w:cstheme="majorBidi"/>
                    <w:sz w:val="24"/>
                    <w:szCs w:val="24"/>
                  </w:rPr>
                  <m:t>]</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0.9767</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0.9489</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0.9614</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7</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1/2</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0.01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0.07</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0.05</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8</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0.8456</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0.7649</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0.9091</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9</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(1-0.45X)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0.5237</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0.626</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0.8659</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10</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0.9625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0.5584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0.08</w:t>
            </w:r>
          </w:p>
        </w:tc>
      </w:tr>
    </w:tbl>
    <w:p w:rsidR="006F7E00" w:rsidRPr="006F7E00" w:rsidRDefault="006F7E00" w:rsidP="006F7E00">
      <w:pPr>
        <w:jc w:val="center"/>
        <w:rPr>
          <w:rFonts w:asciiTheme="majorBidi" w:hAnsiTheme="majorBidi" w:cstheme="majorBidi"/>
          <w:i/>
          <w:iCs/>
          <w:sz w:val="24"/>
          <w:szCs w:val="24"/>
        </w:rPr>
      </w:pPr>
    </w:p>
    <w:p w:rsidR="006F7E00" w:rsidRPr="006F7E00" w:rsidRDefault="006F7E00" w:rsidP="006F7E00">
      <w:pPr>
        <w:jc w:val="center"/>
        <w:rPr>
          <w:rFonts w:asciiTheme="majorBidi" w:hAnsiTheme="majorBidi" w:cstheme="majorBidi"/>
          <w:i/>
          <w:iCs/>
          <w:sz w:val="24"/>
          <w:szCs w:val="24"/>
        </w:rPr>
      </w:pPr>
    </w:p>
    <w:p w:rsidR="006F7E00" w:rsidRPr="006F7E00" w:rsidRDefault="006F7E00" w:rsidP="006F7E00">
      <w:pPr>
        <w:jc w:val="center"/>
        <w:rPr>
          <w:rFonts w:asciiTheme="majorBidi" w:hAnsiTheme="majorBidi" w:cstheme="majorBidi"/>
          <w:sz w:val="24"/>
          <w:szCs w:val="24"/>
        </w:rPr>
      </w:pPr>
    </w:p>
    <w:p w:rsidR="006F7E00" w:rsidRPr="006F7E00" w:rsidRDefault="006F7E00" w:rsidP="006F7E00">
      <w:pPr>
        <w:jc w:val="center"/>
        <w:rPr>
          <w:rFonts w:asciiTheme="majorBidi" w:hAnsiTheme="majorBidi" w:cstheme="majorBidi"/>
          <w:sz w:val="24"/>
          <w:szCs w:val="24"/>
        </w:rPr>
      </w:pPr>
      <w:r w:rsidRPr="00F60713">
        <w:rPr>
          <w:rFonts w:asciiTheme="majorBidi" w:hAnsiTheme="majorBidi" w:cstheme="majorBidi"/>
          <w:b/>
          <w:bCs/>
          <w:sz w:val="24"/>
          <w:szCs w:val="24"/>
        </w:rPr>
        <w:t>Table S4</w:t>
      </w:r>
      <w:r w:rsidRPr="006F7E00">
        <w:rPr>
          <w:rFonts w:asciiTheme="majorBidi" w:hAnsiTheme="majorBidi" w:cstheme="majorBidi"/>
          <w:sz w:val="24"/>
          <w:szCs w:val="24"/>
        </w:rPr>
        <w:t xml:space="preserve"> List of kinetic models calculated for (DES-2, Cobalt) at different temperatures and their correlation coefficients </w:t>
      </w:r>
      <w:r w:rsidR="00F60713">
        <w:rPr>
          <w:rFonts w:asciiTheme="majorBidi" w:hAnsiTheme="majorBidi" w:cstheme="majorBidi"/>
          <w:sz w:val="24"/>
          <w:szCs w:val="24"/>
        </w:rPr>
        <w:t>(R²), (0-48 hour)</w:t>
      </w:r>
    </w:p>
    <w:tbl>
      <w:tblPr>
        <w:tblpPr w:leftFromText="180" w:rightFromText="180" w:vertAnchor="text" w:horzAnchor="margin" w:tblpXSpec="center" w:tblpY="462"/>
        <w:tblW w:w="8686" w:type="dxa"/>
        <w:tblLayout w:type="fixed"/>
        <w:tblLook w:val="04A0" w:firstRow="1" w:lastRow="0" w:firstColumn="1" w:lastColumn="0" w:noHBand="0" w:noVBand="1"/>
      </w:tblPr>
      <w:tblGrid>
        <w:gridCol w:w="586"/>
        <w:gridCol w:w="4223"/>
        <w:gridCol w:w="1282"/>
        <w:gridCol w:w="1070"/>
        <w:gridCol w:w="1525"/>
      </w:tblGrid>
      <w:tr w:rsidR="006F7E00" w:rsidRPr="006F7E00" w:rsidTr="00A76310">
        <w:trPr>
          <w:trHeight w:val="234"/>
        </w:trPr>
        <w:tc>
          <w:tcPr>
            <w:tcW w:w="586"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No</w:t>
            </w:r>
          </w:p>
        </w:tc>
        <w:tc>
          <w:tcPr>
            <w:tcW w:w="4223"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Kinetic Model equations</w:t>
            </w:r>
          </w:p>
        </w:tc>
        <w:tc>
          <w:tcPr>
            <w:tcW w:w="3877" w:type="dxa"/>
            <w:gridSpan w:val="3"/>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Correlation coefficients (R²) of kinetics models</w:t>
            </w:r>
          </w:p>
        </w:tc>
      </w:tr>
      <w:tr w:rsidR="006F7E00" w:rsidRPr="006F7E00" w:rsidTr="00A76310">
        <w:trPr>
          <w:trHeight w:val="234"/>
        </w:trPr>
        <w:tc>
          <w:tcPr>
            <w:tcW w:w="586" w:type="dxa"/>
            <w:vMerge/>
          </w:tcPr>
          <w:p w:rsidR="006F7E00" w:rsidRPr="006F7E00" w:rsidRDefault="006F7E00" w:rsidP="006F7E00">
            <w:pPr>
              <w:jc w:val="center"/>
              <w:rPr>
                <w:rFonts w:asciiTheme="majorBidi" w:hAnsiTheme="majorBidi" w:cstheme="majorBidi"/>
                <w:b/>
                <w:bCs/>
                <w:sz w:val="24"/>
                <w:szCs w:val="24"/>
              </w:rPr>
            </w:pPr>
          </w:p>
        </w:tc>
        <w:tc>
          <w:tcPr>
            <w:tcW w:w="4223" w:type="dxa"/>
            <w:vMerge/>
          </w:tcPr>
          <w:p w:rsidR="006F7E00" w:rsidRPr="006F7E00" w:rsidRDefault="006F7E00" w:rsidP="006F7E00">
            <w:pPr>
              <w:jc w:val="center"/>
              <w:rPr>
                <w:rFonts w:asciiTheme="majorBidi" w:hAnsiTheme="majorBidi" w:cstheme="majorBidi"/>
                <w:sz w:val="24"/>
                <w:szCs w:val="24"/>
              </w:rPr>
            </w:pP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100°C</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75°C</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50°C</w:t>
            </w:r>
          </w:p>
        </w:tc>
      </w:tr>
      <w:tr w:rsidR="006F7E00" w:rsidRPr="006F7E00" w:rsidTr="00A76310">
        <w:trPr>
          <w:trHeight w:val="19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0.7599</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0.8984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0.983</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2</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X²</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0.9975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0.9894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0.8621</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3</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X+(1-X)ln(1-X)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0.9825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0.9742</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0.8533</w:t>
            </w:r>
          </w:p>
        </w:tc>
      </w:tr>
      <w:tr w:rsidR="006F7E00" w:rsidRPr="006F7E00" w:rsidTr="00A76310">
        <w:trPr>
          <w:trHeight w:val="22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4</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0.9679</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0.967</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0.8503</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5</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d>
                      <m:dPr>
                        <m:ctrlPr>
                          <w:rPr>
                            <w:rFonts w:ascii="Cambria Math" w:hAnsi="Cambria Math" w:cstheme="majorBidi"/>
                            <w:sz w:val="24"/>
                            <w:szCs w:val="24"/>
                          </w:rPr>
                        </m:ctrlPr>
                      </m:dPr>
                      <m:e>
                        <m:r>
                          <m:rPr>
                            <m:sty m:val="p"/>
                          </m:rPr>
                          <w:rPr>
                            <w:rFonts w:ascii="Cambria Math" w:hAnsi="Cambria Math" w:cstheme="majorBidi"/>
                            <w:sz w:val="24"/>
                            <w:szCs w:val="24"/>
                          </w:rPr>
                          <m:t>1-X</m:t>
                        </m:r>
                      </m:e>
                    </m:d>
                  </m:e>
                  <m:sup>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sup>
                </m:sSup>
                <m:r>
                  <m:rPr>
                    <m:sty m:val="p"/>
                  </m:rPr>
                  <w:rPr>
                    <w:rFonts w:ascii="Cambria Math" w:hAnsi="Cambria Math" w:cstheme="majorBidi"/>
                    <w:sz w:val="24"/>
                    <w:szCs w:val="24"/>
                  </w:rPr>
                  <m:t>]²</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0.9271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0.9513</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0.8445</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6</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func>
                  <m:funcPr>
                    <m:ctrlPr>
                      <w:rPr>
                        <w:rFonts w:ascii="Cambria Math" w:hAnsi="Cambria Math" w:cstheme="majorBidi"/>
                        <w:sz w:val="24"/>
                        <w:szCs w:val="24"/>
                      </w:rPr>
                    </m:ctrlPr>
                  </m:funcPr>
                  <m:fName>
                    <m:r>
                      <m:rPr>
                        <m:sty m:val="p"/>
                      </m:rPr>
                      <w:rPr>
                        <w:rFonts w:ascii="Cambria Math" w:hAnsi="Cambria Math" w:cstheme="majorBidi"/>
                        <w:sz w:val="24"/>
                        <w:szCs w:val="24"/>
                      </w:rPr>
                      <m:t>ln</m:t>
                    </m:r>
                  </m:fName>
                  <m:e>
                    <m:d>
                      <m:dPr>
                        <m:ctrlPr>
                          <w:rPr>
                            <w:rFonts w:ascii="Cambria Math" w:hAnsi="Cambria Math" w:cstheme="majorBidi"/>
                            <w:sz w:val="24"/>
                            <w:szCs w:val="24"/>
                          </w:rPr>
                        </m:ctrlPr>
                      </m:dPr>
                      <m:e>
                        <m:r>
                          <m:rPr>
                            <m:sty m:val="p"/>
                          </m:rPr>
                          <w:rPr>
                            <w:rFonts w:ascii="Cambria Math" w:hAnsi="Cambria Math" w:cstheme="majorBidi"/>
                            <w:sz w:val="24"/>
                            <w:szCs w:val="24"/>
                          </w:rPr>
                          <m:t>1-X</m:t>
                        </m:r>
                      </m:e>
                    </m:d>
                  </m:e>
                </m:func>
                <m:r>
                  <m:rPr>
                    <m:sty m:val="p"/>
                  </m:rPr>
                  <w:rPr>
                    <w:rFonts w:ascii="Cambria Math" w:hAnsi="Cambria Math" w:cstheme="majorBidi"/>
                    <w:sz w:val="24"/>
                    <w:szCs w:val="24"/>
                  </w:rPr>
                  <m:t>–[1-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r>
                  <m:rPr>
                    <m:sty m:val="p"/>
                  </m:rPr>
                  <w:rPr>
                    <w:rFonts w:ascii="Cambria Math" w:hAnsi="Cambria Math" w:cstheme="majorBidi"/>
                    <w:sz w:val="24"/>
                    <w:szCs w:val="24"/>
                  </w:rPr>
                  <m:t>]</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0.8491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0.9162</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0.8335</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7</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1/2</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0.8161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0.7046</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0.8805</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8</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0.9774</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0.9661</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0.9767</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9</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(1-0.45X)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0.8444</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0.9266</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0.9808</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10</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0.9861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0.9837</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0.9725</w:t>
            </w:r>
          </w:p>
        </w:tc>
      </w:tr>
    </w:tbl>
    <w:p w:rsidR="006F7E00" w:rsidRPr="006F7E00" w:rsidRDefault="006F7E00" w:rsidP="006F7E00">
      <w:pPr>
        <w:jc w:val="center"/>
        <w:rPr>
          <w:rFonts w:asciiTheme="majorBidi" w:hAnsiTheme="majorBidi" w:cstheme="majorBidi"/>
          <w:sz w:val="24"/>
          <w:szCs w:val="24"/>
        </w:rPr>
      </w:pPr>
    </w:p>
    <w:p w:rsidR="00F60713" w:rsidRDefault="00F60713" w:rsidP="006F7E00">
      <w:pPr>
        <w:jc w:val="center"/>
        <w:rPr>
          <w:rFonts w:asciiTheme="majorBidi" w:hAnsiTheme="majorBidi" w:cstheme="majorBidi"/>
          <w:sz w:val="24"/>
          <w:szCs w:val="24"/>
        </w:rPr>
      </w:pPr>
    </w:p>
    <w:p w:rsidR="00F60713" w:rsidRDefault="00F60713" w:rsidP="006F7E00">
      <w:pPr>
        <w:jc w:val="center"/>
        <w:rPr>
          <w:rFonts w:asciiTheme="majorBidi" w:hAnsiTheme="majorBidi" w:cstheme="majorBidi"/>
          <w:sz w:val="24"/>
          <w:szCs w:val="24"/>
        </w:rPr>
      </w:pPr>
    </w:p>
    <w:p w:rsidR="006F7E00" w:rsidRPr="006F7E00" w:rsidRDefault="006F7E00" w:rsidP="006F7E00">
      <w:pPr>
        <w:jc w:val="center"/>
        <w:rPr>
          <w:rFonts w:asciiTheme="majorBidi" w:hAnsiTheme="majorBidi" w:cstheme="majorBidi"/>
          <w:sz w:val="24"/>
          <w:szCs w:val="24"/>
        </w:rPr>
      </w:pPr>
      <w:r w:rsidRPr="00F60713">
        <w:rPr>
          <w:rFonts w:asciiTheme="majorBidi" w:hAnsiTheme="majorBidi" w:cstheme="majorBidi"/>
          <w:b/>
          <w:bCs/>
          <w:sz w:val="24"/>
          <w:szCs w:val="24"/>
        </w:rPr>
        <w:lastRenderedPageBreak/>
        <w:t>Table S5</w:t>
      </w:r>
      <w:r w:rsidRPr="006F7E00">
        <w:rPr>
          <w:rFonts w:asciiTheme="majorBidi" w:hAnsiTheme="majorBidi" w:cstheme="majorBidi"/>
          <w:sz w:val="24"/>
          <w:szCs w:val="24"/>
        </w:rPr>
        <w:t xml:space="preserve"> List of kinetic models calculated for (DES-2, Molybdenum) at different temperatures and their correlation</w:t>
      </w:r>
      <w:r w:rsidR="00F60713">
        <w:rPr>
          <w:rFonts w:asciiTheme="majorBidi" w:hAnsiTheme="majorBidi" w:cstheme="majorBidi"/>
          <w:sz w:val="24"/>
          <w:szCs w:val="24"/>
        </w:rPr>
        <w:t xml:space="preserve"> coefficients (R²), (0-48 hour)</w:t>
      </w:r>
    </w:p>
    <w:tbl>
      <w:tblPr>
        <w:tblpPr w:leftFromText="180" w:rightFromText="180" w:vertAnchor="text" w:horzAnchor="margin" w:tblpXSpec="center" w:tblpY="462"/>
        <w:tblW w:w="8686" w:type="dxa"/>
        <w:tblLayout w:type="fixed"/>
        <w:tblLook w:val="04A0" w:firstRow="1" w:lastRow="0" w:firstColumn="1" w:lastColumn="0" w:noHBand="0" w:noVBand="1"/>
      </w:tblPr>
      <w:tblGrid>
        <w:gridCol w:w="586"/>
        <w:gridCol w:w="4223"/>
        <w:gridCol w:w="1282"/>
        <w:gridCol w:w="1070"/>
        <w:gridCol w:w="1525"/>
      </w:tblGrid>
      <w:tr w:rsidR="006F7E00" w:rsidRPr="006F7E00" w:rsidTr="00A76310">
        <w:trPr>
          <w:trHeight w:val="234"/>
        </w:trPr>
        <w:tc>
          <w:tcPr>
            <w:tcW w:w="586"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No</w:t>
            </w:r>
          </w:p>
        </w:tc>
        <w:tc>
          <w:tcPr>
            <w:tcW w:w="4223" w:type="dxa"/>
            <w:vMerge w:val="restart"/>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Kinetic Model equations</w:t>
            </w:r>
          </w:p>
        </w:tc>
        <w:tc>
          <w:tcPr>
            <w:tcW w:w="3877" w:type="dxa"/>
            <w:gridSpan w:val="3"/>
            <w:vAlign w:val="center"/>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Correlation coefficients (R²) of kinetics models</w:t>
            </w:r>
          </w:p>
        </w:tc>
      </w:tr>
      <w:tr w:rsidR="006F7E00" w:rsidRPr="006F7E00" w:rsidTr="00A76310">
        <w:trPr>
          <w:trHeight w:val="234"/>
        </w:trPr>
        <w:tc>
          <w:tcPr>
            <w:tcW w:w="586" w:type="dxa"/>
            <w:vMerge/>
          </w:tcPr>
          <w:p w:rsidR="006F7E00" w:rsidRPr="006F7E00" w:rsidRDefault="006F7E00" w:rsidP="006F7E00">
            <w:pPr>
              <w:jc w:val="center"/>
              <w:rPr>
                <w:rFonts w:asciiTheme="majorBidi" w:hAnsiTheme="majorBidi" w:cstheme="majorBidi"/>
                <w:b/>
                <w:bCs/>
                <w:sz w:val="24"/>
                <w:szCs w:val="24"/>
              </w:rPr>
            </w:pPr>
          </w:p>
        </w:tc>
        <w:tc>
          <w:tcPr>
            <w:tcW w:w="4223" w:type="dxa"/>
            <w:vMerge/>
          </w:tcPr>
          <w:p w:rsidR="006F7E00" w:rsidRPr="006F7E00" w:rsidRDefault="006F7E00" w:rsidP="006F7E00">
            <w:pPr>
              <w:jc w:val="center"/>
              <w:rPr>
                <w:rFonts w:asciiTheme="majorBidi" w:hAnsiTheme="majorBidi" w:cstheme="majorBidi"/>
                <w:sz w:val="24"/>
                <w:szCs w:val="24"/>
              </w:rPr>
            </w:pP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100°C</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75°C</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50°C</w:t>
            </w:r>
          </w:p>
        </w:tc>
      </w:tr>
      <w:tr w:rsidR="006F7E00" w:rsidRPr="006F7E00" w:rsidTr="00A76310">
        <w:trPr>
          <w:trHeight w:val="19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0.7599</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0.8984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0.983</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2</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 = X²</w:t>
            </w:r>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0.9975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0.9894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0.8621</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3</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X+(1-X)ln(1-X)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0.9916</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0.9792</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0.8555</w:t>
            </w:r>
          </w:p>
        </w:tc>
      </w:tr>
      <w:tr w:rsidR="006F7E00" w:rsidRPr="006F7E00" w:rsidTr="00A76310">
        <w:trPr>
          <w:trHeight w:val="222"/>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4</w:t>
            </w:r>
          </w:p>
        </w:tc>
        <w:tc>
          <w:tcPr>
            <w:tcW w:w="4223"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0.9869</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0.9748</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0.853</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5</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d>
                      <m:dPr>
                        <m:ctrlPr>
                          <w:rPr>
                            <w:rFonts w:ascii="Cambria Math" w:hAnsi="Cambria Math" w:cstheme="majorBidi"/>
                            <w:sz w:val="24"/>
                            <w:szCs w:val="24"/>
                          </w:rPr>
                        </m:ctrlPr>
                      </m:dPr>
                      <m:e>
                        <m:r>
                          <m:rPr>
                            <m:sty m:val="p"/>
                          </m:rPr>
                          <w:rPr>
                            <w:rFonts w:ascii="Cambria Math" w:hAnsi="Cambria Math" w:cstheme="majorBidi"/>
                            <w:sz w:val="24"/>
                            <w:szCs w:val="24"/>
                          </w:rPr>
                          <m:t>1-X</m:t>
                        </m:r>
                      </m:e>
                    </m:d>
                  </m:e>
                  <m:sup>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sup>
                </m:sSup>
                <m:r>
                  <m:rPr>
                    <m:sty m:val="p"/>
                  </m:rPr>
                  <w:rPr>
                    <w:rFonts w:ascii="Cambria Math" w:hAnsi="Cambria Math" w:cstheme="majorBidi"/>
                    <w:sz w:val="24"/>
                    <w:szCs w:val="24"/>
                  </w:rPr>
                  <m:t>]²</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0.9724</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0.9652</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0.8485</w:t>
            </w:r>
          </w:p>
        </w:tc>
      </w:tr>
      <w:tr w:rsidR="006F7E00" w:rsidRPr="006F7E00" w:rsidTr="00A76310">
        <w:trPr>
          <w:trHeight w:val="10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6</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
                      <m:rPr>
                        <m:sty m:val="p"/>
                      </m:rPr>
                      <w:rPr>
                        <w:rFonts w:ascii="Cambria Math" w:hAnsi="Cambria Math" w:cstheme="majorBidi"/>
                        <w:sz w:val="24"/>
                        <w:szCs w:val="24"/>
                      </w:rPr>
                      <m:t>3</m:t>
                    </m:r>
                  </m:den>
                </m:f>
                <m:func>
                  <m:funcPr>
                    <m:ctrlPr>
                      <w:rPr>
                        <w:rFonts w:ascii="Cambria Math" w:hAnsi="Cambria Math" w:cstheme="majorBidi"/>
                        <w:sz w:val="24"/>
                        <w:szCs w:val="24"/>
                      </w:rPr>
                    </m:ctrlPr>
                  </m:funcPr>
                  <m:fName>
                    <m:r>
                      <m:rPr>
                        <m:sty m:val="p"/>
                      </m:rPr>
                      <w:rPr>
                        <w:rFonts w:ascii="Cambria Math" w:hAnsi="Cambria Math" w:cstheme="majorBidi"/>
                        <w:sz w:val="24"/>
                        <w:szCs w:val="24"/>
                      </w:rPr>
                      <m:t>ln</m:t>
                    </m:r>
                  </m:fName>
                  <m:e>
                    <m:d>
                      <m:dPr>
                        <m:ctrlPr>
                          <w:rPr>
                            <w:rFonts w:ascii="Cambria Math" w:hAnsi="Cambria Math" w:cstheme="majorBidi"/>
                            <w:sz w:val="24"/>
                            <w:szCs w:val="24"/>
                          </w:rPr>
                        </m:ctrlPr>
                      </m:dPr>
                      <m:e>
                        <m:r>
                          <m:rPr>
                            <m:sty m:val="p"/>
                          </m:rPr>
                          <w:rPr>
                            <w:rFonts w:ascii="Cambria Math" w:hAnsi="Cambria Math" w:cstheme="majorBidi"/>
                            <w:sz w:val="24"/>
                            <w:szCs w:val="24"/>
                          </w:rPr>
                          <m:t>1-X</m:t>
                        </m:r>
                      </m:e>
                    </m:d>
                  </m:e>
                </m:func>
                <m:r>
                  <m:rPr>
                    <m:sty m:val="p"/>
                  </m:rPr>
                  <w:rPr>
                    <w:rFonts w:ascii="Cambria Math" w:hAnsi="Cambria Math" w:cstheme="majorBidi"/>
                    <w:sz w:val="24"/>
                    <w:szCs w:val="24"/>
                  </w:rPr>
                  <m:t>–[1-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r>
                  <m:rPr>
                    <m:sty m:val="p"/>
                  </m:rPr>
                  <w:rPr>
                    <w:rFonts w:ascii="Cambria Math" w:hAnsi="Cambria Math" w:cstheme="majorBidi"/>
                    <w:sz w:val="24"/>
                    <w:szCs w:val="24"/>
                  </w:rPr>
                  <m:t>]</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0.9395</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0.9434</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0.8398</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7</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1/2</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0.8887</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0.9647</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8</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0.9358</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0.9512</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0.9875</w:t>
            </w:r>
          </w:p>
        </w:tc>
      </w:tr>
      <w:tr w:rsidR="006F7E00" w:rsidRPr="006F7E00" w:rsidTr="00A76310">
        <w:trPr>
          <w:trHeight w:val="227"/>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9</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1-</m:t>
                </m:r>
                <m:sSup>
                  <m:sSupPr>
                    <m:ctrlPr>
                      <w:rPr>
                        <w:rFonts w:ascii="Cambria Math" w:hAnsi="Cambria Math" w:cstheme="majorBidi"/>
                        <w:sz w:val="24"/>
                        <w:szCs w:val="24"/>
                      </w:rPr>
                    </m:ctrlPr>
                  </m:sSupPr>
                  <m:e>
                    <m:r>
                      <m:rPr>
                        <m:sty m:val="p"/>
                      </m:rPr>
                      <w:rPr>
                        <w:rFonts w:ascii="Cambria Math" w:hAnsi="Cambria Math" w:cstheme="majorBidi"/>
                        <w:sz w:val="24"/>
                        <w:szCs w:val="24"/>
                      </w:rPr>
                      <m:t>(1-0.45X)</m:t>
                    </m:r>
                  </m:e>
                  <m:sup>
                    <m:r>
                      <m:rPr>
                        <m:sty m:val="p"/>
                      </m:rPr>
                      <w:rPr>
                        <w:rFonts w:ascii="Cambria Math" w:hAnsi="Cambria Math" w:cstheme="majorBidi"/>
                        <w:sz w:val="24"/>
                        <w:szCs w:val="24"/>
                      </w:rPr>
                      <m:t>1/3</m:t>
                    </m:r>
                  </m:sup>
                </m:sSup>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0.9801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0.9893</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0.9855</w:t>
            </w:r>
          </w:p>
        </w:tc>
      </w:tr>
      <w:tr w:rsidR="006F7E00" w:rsidRPr="006F7E00" w:rsidTr="00A76310">
        <w:trPr>
          <w:trHeight w:val="234"/>
        </w:trPr>
        <w:tc>
          <w:tcPr>
            <w:tcW w:w="586" w:type="dxa"/>
          </w:tcPr>
          <w:p w:rsidR="006F7E00" w:rsidRPr="006F7E00" w:rsidRDefault="006F7E00" w:rsidP="006F7E00">
            <w:pPr>
              <w:jc w:val="center"/>
              <w:rPr>
                <w:rFonts w:asciiTheme="majorBidi" w:hAnsiTheme="majorBidi" w:cstheme="majorBidi"/>
                <w:b/>
                <w:bCs/>
                <w:sz w:val="24"/>
                <w:szCs w:val="24"/>
              </w:rPr>
            </w:pPr>
            <w:r w:rsidRPr="006F7E00">
              <w:rPr>
                <w:rFonts w:asciiTheme="majorBidi" w:hAnsiTheme="majorBidi" w:cstheme="majorBidi"/>
                <w:b/>
                <w:bCs/>
                <w:sz w:val="24"/>
                <w:szCs w:val="24"/>
              </w:rPr>
              <w:t>10</w:t>
            </w:r>
          </w:p>
        </w:tc>
        <w:tc>
          <w:tcPr>
            <w:tcW w:w="4223" w:type="dxa"/>
          </w:tcPr>
          <w:p w:rsidR="006F7E00" w:rsidRPr="006F7E00" w:rsidRDefault="006F7E00" w:rsidP="006F7E00">
            <w:pPr>
              <w:jc w:val="center"/>
              <w:rPr>
                <w:rFonts w:asciiTheme="majorBidi" w:hAnsiTheme="majorBidi" w:cstheme="majorBidi"/>
                <w:sz w:val="24"/>
                <w:szCs w:val="24"/>
              </w:rPr>
            </w:pPr>
            <m:oMathPara>
              <m:oMath>
                <m:r>
                  <m:rPr>
                    <m:sty m:val="p"/>
                  </m:rPr>
                  <w:rPr>
                    <w:rFonts w:ascii="Cambria Math" w:hAnsi="Cambria Math" w:cstheme="majorBidi"/>
                    <w:sz w:val="24"/>
                    <w:szCs w:val="24"/>
                  </w:rPr>
                  <m:t>kt =-ln(1-X)</m:t>
                </m:r>
              </m:oMath>
            </m:oMathPara>
          </w:p>
        </w:tc>
        <w:tc>
          <w:tcPr>
            <w:tcW w:w="1282"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0.9701</w:t>
            </w:r>
          </w:p>
        </w:tc>
        <w:tc>
          <w:tcPr>
            <w:tcW w:w="1070"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0.9693</w:t>
            </w:r>
          </w:p>
        </w:tc>
        <w:tc>
          <w:tcPr>
            <w:tcW w:w="1525" w:type="dxa"/>
          </w:tcPr>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sz w:val="24"/>
                <w:szCs w:val="24"/>
              </w:rPr>
              <w:t>0.9755</w:t>
            </w:r>
          </w:p>
        </w:tc>
      </w:tr>
    </w:tbl>
    <w:p w:rsidR="006F7E00" w:rsidRPr="006F7E00" w:rsidRDefault="006F7E00" w:rsidP="006F7E00">
      <w:pPr>
        <w:jc w:val="center"/>
        <w:rPr>
          <w:rFonts w:asciiTheme="majorBidi" w:hAnsiTheme="majorBidi" w:cstheme="majorBidi"/>
          <w:i/>
          <w:i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Pr="006F7E00" w:rsidRDefault="006F7E00" w:rsidP="006F7E00">
      <w:pPr>
        <w:jc w:val="center"/>
        <w:rPr>
          <w:rFonts w:asciiTheme="majorBidi" w:hAnsiTheme="majorBidi" w:cstheme="majorBidi"/>
          <w:b/>
          <w:bCs/>
          <w:sz w:val="24"/>
          <w:szCs w:val="24"/>
        </w:rPr>
      </w:pPr>
    </w:p>
    <w:p w:rsidR="006F7E00" w:rsidRDefault="006F7E00" w:rsidP="006F7E00">
      <w:pPr>
        <w:jc w:val="center"/>
        <w:rPr>
          <w:rFonts w:asciiTheme="majorBidi" w:hAnsiTheme="majorBidi" w:cstheme="majorBidi"/>
          <w:b/>
          <w:bCs/>
          <w:sz w:val="24"/>
          <w:szCs w:val="24"/>
        </w:rPr>
      </w:pPr>
    </w:p>
    <w:p w:rsidR="00F60713" w:rsidRPr="006F7E00" w:rsidRDefault="00F60713" w:rsidP="006F7E00">
      <w:pPr>
        <w:jc w:val="center"/>
        <w:rPr>
          <w:rFonts w:asciiTheme="majorBidi" w:hAnsiTheme="majorBidi" w:cstheme="majorBidi"/>
          <w:b/>
          <w:bCs/>
          <w:sz w:val="24"/>
          <w:szCs w:val="24"/>
        </w:rPr>
      </w:pPr>
    </w:p>
    <w:p w:rsidR="006F7E00" w:rsidRPr="006F7E00" w:rsidRDefault="006F7E00" w:rsidP="00F60713">
      <w:pPr>
        <w:rPr>
          <w:rFonts w:asciiTheme="majorBidi" w:hAnsiTheme="majorBidi" w:cstheme="majorBidi"/>
          <w:sz w:val="24"/>
          <w:szCs w:val="24"/>
        </w:rPr>
      </w:pPr>
      <w:r w:rsidRPr="006F7E00">
        <w:rPr>
          <w:rFonts w:asciiTheme="majorBidi" w:hAnsiTheme="majorBidi" w:cstheme="majorBidi"/>
          <w:b/>
          <w:bCs/>
          <w:sz w:val="24"/>
          <w:szCs w:val="24"/>
        </w:rPr>
        <w:lastRenderedPageBreak/>
        <w:t>Figures</w:t>
      </w:r>
    </w:p>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noProof/>
          <w:sz w:val="24"/>
          <w:szCs w:val="24"/>
        </w:rPr>
        <w:drawing>
          <wp:inline distT="0" distB="0" distL="0" distR="0" wp14:anchorId="594B5ACA" wp14:editId="3AE6D2B9">
            <wp:extent cx="6014947" cy="4502641"/>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l="9145" t="6786" r="4197"/>
                    <a:stretch/>
                  </pic:blipFill>
                  <pic:spPr bwMode="auto">
                    <a:xfrm>
                      <a:off x="0" y="0"/>
                      <a:ext cx="6018477" cy="4505284"/>
                    </a:xfrm>
                    <a:prstGeom prst="rect">
                      <a:avLst/>
                    </a:prstGeom>
                    <a:noFill/>
                    <a:ln>
                      <a:noFill/>
                    </a:ln>
                    <a:extLst>
                      <a:ext uri="{53640926-AAD7-44D8-BBD7-CCE9431645EC}">
                        <a14:shadowObscured xmlns:a14="http://schemas.microsoft.com/office/drawing/2010/main"/>
                      </a:ext>
                    </a:extLst>
                  </pic:spPr>
                </pic:pic>
              </a:graphicData>
            </a:graphic>
          </wp:inline>
        </w:drawing>
      </w:r>
    </w:p>
    <w:p w:rsidR="006F7E00" w:rsidRPr="006F7E00" w:rsidRDefault="006F7E00" w:rsidP="00F60713">
      <w:pPr>
        <w:jc w:val="center"/>
        <w:rPr>
          <w:rFonts w:asciiTheme="majorBidi" w:hAnsiTheme="majorBidi" w:cstheme="majorBidi"/>
          <w:sz w:val="24"/>
          <w:szCs w:val="24"/>
        </w:rPr>
      </w:pPr>
      <w:r w:rsidRPr="00F60713">
        <w:rPr>
          <w:rFonts w:asciiTheme="majorBidi" w:hAnsiTheme="majorBidi" w:cstheme="majorBidi"/>
          <w:b/>
          <w:bCs/>
          <w:sz w:val="24"/>
          <w:szCs w:val="24"/>
        </w:rPr>
        <w:t>Fig</w:t>
      </w:r>
      <w:r w:rsidR="00F60713" w:rsidRPr="00F60713">
        <w:rPr>
          <w:rFonts w:asciiTheme="majorBidi" w:hAnsiTheme="majorBidi" w:cstheme="majorBidi"/>
          <w:b/>
          <w:bCs/>
          <w:sz w:val="24"/>
          <w:szCs w:val="24"/>
        </w:rPr>
        <w:t>.S1</w:t>
      </w:r>
      <w:r w:rsidR="00F60713">
        <w:rPr>
          <w:rFonts w:asciiTheme="majorBidi" w:hAnsiTheme="majorBidi" w:cstheme="majorBidi"/>
          <w:sz w:val="24"/>
          <w:szCs w:val="24"/>
        </w:rPr>
        <w:t xml:space="preserve"> </w:t>
      </w:r>
      <w:r w:rsidRPr="006F7E00">
        <w:rPr>
          <w:rFonts w:asciiTheme="majorBidi" w:hAnsiTheme="majorBidi" w:cstheme="majorBidi"/>
          <w:sz w:val="24"/>
          <w:szCs w:val="24"/>
        </w:rPr>
        <w:t>Plots of (a)Cobalt leaching efficiency at different temperatures for (DES-1), (b) 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r w:rsidRPr="006F7E00">
        <w:rPr>
          <w:rFonts w:asciiTheme="majorBidi" w:hAnsiTheme="majorBidi" w:cstheme="majorBidi"/>
          <w:sz w:val="24"/>
          <w:szCs w:val="24"/>
        </w:rPr>
        <w:t xml:space="preserve"> , (c) </w:t>
      </w:r>
      <m:oMath>
        <m:r>
          <w:rPr>
            <w:rFonts w:ascii="Cambria Math" w:hAnsi="Cambria Math" w:cstheme="majorBidi"/>
            <w:sz w:val="24"/>
            <w:szCs w:val="24"/>
          </w:rPr>
          <m:t>kt= 1-</m:t>
        </m:r>
        <m:sSup>
          <m:sSupPr>
            <m:ctrlPr>
              <w:rPr>
                <w:rFonts w:ascii="Cambria Math" w:hAnsi="Cambria Math" w:cstheme="majorBidi"/>
                <w:sz w:val="24"/>
                <w:szCs w:val="24"/>
              </w:rPr>
            </m:ctrlPr>
          </m:sSupPr>
          <m:e>
            <m:r>
              <w:rPr>
                <w:rFonts w:ascii="Cambria Math" w:hAnsi="Cambria Math" w:cstheme="majorBidi"/>
                <w:sz w:val="24"/>
                <w:szCs w:val="24"/>
              </w:rPr>
              <m:t>(1-X)</m:t>
            </m:r>
          </m:e>
          <m:sup>
            <m:r>
              <w:rPr>
                <w:rFonts w:ascii="Cambria Math" w:hAnsi="Cambria Math" w:cstheme="majorBidi"/>
                <w:sz w:val="24"/>
                <w:szCs w:val="24"/>
              </w:rPr>
              <m:t>1/3</m:t>
            </m:r>
          </m:sup>
        </m:sSup>
      </m:oMath>
      <w:r w:rsidRPr="006F7E00">
        <w:rPr>
          <w:rFonts w:asciiTheme="majorBidi" w:hAnsiTheme="majorBidi" w:cstheme="majorBidi"/>
          <w:sz w:val="24"/>
          <w:szCs w:val="24"/>
        </w:rPr>
        <w:t xml:space="preserve"> , and (d) </w:t>
      </w:r>
      <m:oMath>
        <m:r>
          <w:rPr>
            <w:rFonts w:ascii="Cambria Math" w:hAnsi="Cambria Math" w:cstheme="majorBidi"/>
            <w:sz w:val="24"/>
            <w:szCs w:val="24"/>
          </w:rPr>
          <m:t>kt =-ln</m:t>
        </m:r>
        <m:d>
          <m:dPr>
            <m:ctrlPr>
              <w:rPr>
                <w:rFonts w:ascii="Cambria Math" w:hAnsi="Cambria Math" w:cstheme="majorBidi"/>
                <w:sz w:val="24"/>
                <w:szCs w:val="24"/>
              </w:rPr>
            </m:ctrlPr>
          </m:dPr>
          <m:e>
            <m:r>
              <w:rPr>
                <w:rFonts w:ascii="Cambria Math" w:hAnsi="Cambria Math" w:cstheme="majorBidi"/>
                <w:sz w:val="24"/>
                <w:szCs w:val="24"/>
              </w:rPr>
              <m:t>1-X</m:t>
            </m:r>
          </m:e>
        </m:d>
      </m:oMath>
      <w:r w:rsidR="00F60713">
        <w:rPr>
          <w:rFonts w:asciiTheme="majorBidi" w:hAnsiTheme="majorBidi" w:cstheme="majorBidi"/>
          <w:sz w:val="24"/>
          <w:szCs w:val="24"/>
        </w:rPr>
        <w:t xml:space="preserve">  vs time, (0-48 hours)</w:t>
      </w:r>
    </w:p>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noProof/>
          <w:sz w:val="24"/>
          <w:szCs w:val="24"/>
        </w:rPr>
        <w:lastRenderedPageBreak/>
        <w:drawing>
          <wp:inline distT="0" distB="0" distL="0" distR="0" wp14:anchorId="442EC6CB" wp14:editId="518D2D71">
            <wp:extent cx="5824144" cy="47186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8419" t="8396" r="3907"/>
                    <a:stretch/>
                  </pic:blipFill>
                  <pic:spPr bwMode="auto">
                    <a:xfrm>
                      <a:off x="0" y="0"/>
                      <a:ext cx="5831749" cy="4724811"/>
                    </a:xfrm>
                    <a:prstGeom prst="rect">
                      <a:avLst/>
                    </a:prstGeom>
                    <a:noFill/>
                    <a:ln>
                      <a:noFill/>
                    </a:ln>
                    <a:extLst>
                      <a:ext uri="{53640926-AAD7-44D8-BBD7-CCE9431645EC}">
                        <a14:shadowObscured xmlns:a14="http://schemas.microsoft.com/office/drawing/2010/main"/>
                      </a:ext>
                    </a:extLst>
                  </pic:spPr>
                </pic:pic>
              </a:graphicData>
            </a:graphic>
          </wp:inline>
        </w:drawing>
      </w:r>
    </w:p>
    <w:p w:rsidR="006F7E00" w:rsidRPr="006F7E00" w:rsidRDefault="00F60713" w:rsidP="006F7E00">
      <w:pPr>
        <w:jc w:val="center"/>
        <w:rPr>
          <w:rFonts w:asciiTheme="majorBidi" w:hAnsiTheme="majorBidi" w:cstheme="majorBidi"/>
          <w:sz w:val="24"/>
          <w:szCs w:val="24"/>
        </w:rPr>
      </w:pPr>
      <w:r w:rsidRPr="00F60713">
        <w:rPr>
          <w:rFonts w:asciiTheme="majorBidi" w:hAnsiTheme="majorBidi" w:cstheme="majorBidi"/>
          <w:b/>
          <w:bCs/>
          <w:sz w:val="24"/>
          <w:szCs w:val="24"/>
        </w:rPr>
        <w:t>Fig.S2</w:t>
      </w:r>
      <w:r w:rsidR="006F7E00" w:rsidRPr="006F7E00">
        <w:rPr>
          <w:rFonts w:asciiTheme="majorBidi" w:hAnsiTheme="majorBidi" w:cstheme="majorBidi"/>
          <w:sz w:val="24"/>
          <w:szCs w:val="24"/>
        </w:rPr>
        <w:t xml:space="preserve"> Plots of (a) Molybdenum leaching efficiency at different temperatures for (DES-1), (b) 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r w:rsidR="006F7E00" w:rsidRPr="006F7E00">
        <w:rPr>
          <w:rFonts w:asciiTheme="majorBidi" w:hAnsiTheme="majorBidi" w:cstheme="majorBidi"/>
          <w:sz w:val="24"/>
          <w:szCs w:val="24"/>
        </w:rPr>
        <w:t xml:space="preserve"> , (c) </w:t>
      </w:r>
      <m:oMath>
        <m:r>
          <w:rPr>
            <w:rFonts w:ascii="Cambria Math" w:hAnsi="Cambria Math" w:cstheme="majorBidi"/>
            <w:sz w:val="24"/>
            <w:szCs w:val="24"/>
          </w:rPr>
          <m:t>kt= 1-</m:t>
        </m:r>
        <m:sSup>
          <m:sSupPr>
            <m:ctrlPr>
              <w:rPr>
                <w:rFonts w:ascii="Cambria Math" w:hAnsi="Cambria Math" w:cstheme="majorBidi"/>
                <w:sz w:val="24"/>
                <w:szCs w:val="24"/>
              </w:rPr>
            </m:ctrlPr>
          </m:sSupPr>
          <m:e>
            <m:r>
              <w:rPr>
                <w:rFonts w:ascii="Cambria Math" w:hAnsi="Cambria Math" w:cstheme="majorBidi"/>
                <w:sz w:val="24"/>
                <w:szCs w:val="24"/>
              </w:rPr>
              <m:t>(1-X)</m:t>
            </m:r>
          </m:e>
          <m:sup>
            <m:r>
              <w:rPr>
                <w:rFonts w:ascii="Cambria Math" w:hAnsi="Cambria Math" w:cstheme="majorBidi"/>
                <w:sz w:val="24"/>
                <w:szCs w:val="24"/>
              </w:rPr>
              <m:t>1/3</m:t>
            </m:r>
          </m:sup>
        </m:sSup>
      </m:oMath>
      <w:r w:rsidR="006F7E00" w:rsidRPr="006F7E00">
        <w:rPr>
          <w:rFonts w:asciiTheme="majorBidi" w:hAnsiTheme="majorBidi" w:cstheme="majorBidi"/>
          <w:sz w:val="24"/>
          <w:szCs w:val="24"/>
        </w:rPr>
        <w:t xml:space="preserve"> , and (d) </w:t>
      </w:r>
      <m:oMath>
        <m:r>
          <w:rPr>
            <w:rFonts w:ascii="Cambria Math" w:hAnsi="Cambria Math" w:cstheme="majorBidi"/>
            <w:sz w:val="24"/>
            <w:szCs w:val="24"/>
          </w:rPr>
          <m:t>kt =-ln</m:t>
        </m:r>
        <m:d>
          <m:dPr>
            <m:ctrlPr>
              <w:rPr>
                <w:rFonts w:ascii="Cambria Math" w:hAnsi="Cambria Math" w:cstheme="majorBidi"/>
                <w:sz w:val="24"/>
                <w:szCs w:val="24"/>
              </w:rPr>
            </m:ctrlPr>
          </m:dPr>
          <m:e>
            <m:r>
              <w:rPr>
                <w:rFonts w:ascii="Cambria Math" w:hAnsi="Cambria Math" w:cstheme="majorBidi"/>
                <w:sz w:val="24"/>
                <w:szCs w:val="24"/>
              </w:rPr>
              <m:t>1-X</m:t>
            </m:r>
          </m:e>
        </m:d>
      </m:oMath>
      <w:r>
        <w:rPr>
          <w:rFonts w:asciiTheme="majorBidi" w:hAnsiTheme="majorBidi" w:cstheme="majorBidi"/>
          <w:sz w:val="24"/>
          <w:szCs w:val="24"/>
        </w:rPr>
        <w:t xml:space="preserve">  vs time, (0-48 hours)</w:t>
      </w:r>
    </w:p>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noProof/>
          <w:sz w:val="24"/>
          <w:szCs w:val="24"/>
        </w:rPr>
        <w:lastRenderedPageBreak/>
        <w:drawing>
          <wp:inline distT="0" distB="0" distL="0" distR="0" wp14:anchorId="30151DC5" wp14:editId="3523E09D">
            <wp:extent cx="6263136" cy="507222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8856" r="5213"/>
                    <a:stretch/>
                  </pic:blipFill>
                  <pic:spPr bwMode="auto">
                    <a:xfrm>
                      <a:off x="0" y="0"/>
                      <a:ext cx="6267075" cy="5075413"/>
                    </a:xfrm>
                    <a:prstGeom prst="rect">
                      <a:avLst/>
                    </a:prstGeom>
                    <a:noFill/>
                    <a:ln>
                      <a:noFill/>
                    </a:ln>
                    <a:extLst>
                      <a:ext uri="{53640926-AAD7-44D8-BBD7-CCE9431645EC}">
                        <a14:shadowObscured xmlns:a14="http://schemas.microsoft.com/office/drawing/2010/main"/>
                      </a:ext>
                    </a:extLst>
                  </pic:spPr>
                </pic:pic>
              </a:graphicData>
            </a:graphic>
          </wp:inline>
        </w:drawing>
      </w:r>
    </w:p>
    <w:p w:rsidR="006F7E00" w:rsidRPr="006F7E00" w:rsidRDefault="00F60713" w:rsidP="006F7E00">
      <w:pPr>
        <w:jc w:val="center"/>
        <w:rPr>
          <w:rFonts w:asciiTheme="majorBidi" w:hAnsiTheme="majorBidi" w:cstheme="majorBidi"/>
          <w:i/>
          <w:iCs/>
          <w:sz w:val="24"/>
          <w:szCs w:val="24"/>
        </w:rPr>
      </w:pPr>
      <w:r w:rsidRPr="00F60713">
        <w:rPr>
          <w:rFonts w:asciiTheme="majorBidi" w:hAnsiTheme="majorBidi" w:cstheme="majorBidi"/>
          <w:b/>
          <w:bCs/>
          <w:sz w:val="24"/>
          <w:szCs w:val="24"/>
        </w:rPr>
        <w:t>Fig.S3</w:t>
      </w:r>
      <w:r w:rsidR="006F7E00" w:rsidRPr="006F7E00">
        <w:rPr>
          <w:rFonts w:asciiTheme="majorBidi" w:hAnsiTheme="majorBidi" w:cstheme="majorBidi"/>
          <w:sz w:val="24"/>
          <w:szCs w:val="24"/>
        </w:rPr>
        <w:t xml:space="preserve"> Plots of (a)Cobalt leaching efficiency at different temperatures for (DES-2), (b) 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r w:rsidR="006F7E00" w:rsidRPr="006F7E00">
        <w:rPr>
          <w:rFonts w:asciiTheme="majorBidi" w:hAnsiTheme="majorBidi" w:cstheme="majorBidi"/>
          <w:sz w:val="24"/>
          <w:szCs w:val="24"/>
        </w:rPr>
        <w:t xml:space="preserve"> , (c) </w:t>
      </w:r>
      <m:oMath>
        <m:r>
          <w:rPr>
            <w:rFonts w:ascii="Cambria Math" w:hAnsi="Cambria Math" w:cstheme="majorBidi"/>
            <w:sz w:val="24"/>
            <w:szCs w:val="24"/>
          </w:rPr>
          <m:t>kt= 1-</m:t>
        </m:r>
        <m:sSup>
          <m:sSupPr>
            <m:ctrlPr>
              <w:rPr>
                <w:rFonts w:ascii="Cambria Math" w:hAnsi="Cambria Math" w:cstheme="majorBidi"/>
                <w:sz w:val="24"/>
                <w:szCs w:val="24"/>
              </w:rPr>
            </m:ctrlPr>
          </m:sSupPr>
          <m:e>
            <m:r>
              <w:rPr>
                <w:rFonts w:ascii="Cambria Math" w:hAnsi="Cambria Math" w:cstheme="majorBidi"/>
                <w:sz w:val="24"/>
                <w:szCs w:val="24"/>
              </w:rPr>
              <m:t>(1-X)</m:t>
            </m:r>
          </m:e>
          <m:sup>
            <m:r>
              <w:rPr>
                <w:rFonts w:ascii="Cambria Math" w:hAnsi="Cambria Math" w:cstheme="majorBidi"/>
                <w:sz w:val="24"/>
                <w:szCs w:val="24"/>
              </w:rPr>
              <m:t>1/3</m:t>
            </m:r>
          </m:sup>
        </m:sSup>
      </m:oMath>
      <w:r w:rsidR="006F7E00" w:rsidRPr="006F7E00">
        <w:rPr>
          <w:rFonts w:asciiTheme="majorBidi" w:hAnsiTheme="majorBidi" w:cstheme="majorBidi"/>
          <w:sz w:val="24"/>
          <w:szCs w:val="24"/>
        </w:rPr>
        <w:t xml:space="preserve"> , and (d) </w:t>
      </w:r>
      <m:oMath>
        <m:r>
          <w:rPr>
            <w:rFonts w:ascii="Cambria Math" w:hAnsi="Cambria Math" w:cstheme="majorBidi"/>
            <w:sz w:val="24"/>
            <w:szCs w:val="24"/>
          </w:rPr>
          <m:t>kt =-ln</m:t>
        </m:r>
        <m:d>
          <m:dPr>
            <m:ctrlPr>
              <w:rPr>
                <w:rFonts w:ascii="Cambria Math" w:hAnsi="Cambria Math" w:cstheme="majorBidi"/>
                <w:sz w:val="24"/>
                <w:szCs w:val="24"/>
              </w:rPr>
            </m:ctrlPr>
          </m:dPr>
          <m:e>
            <m:r>
              <w:rPr>
                <w:rFonts w:ascii="Cambria Math" w:hAnsi="Cambria Math" w:cstheme="majorBidi"/>
                <w:sz w:val="24"/>
                <w:szCs w:val="24"/>
              </w:rPr>
              <m:t>1-X</m:t>
            </m:r>
          </m:e>
        </m:d>
      </m:oMath>
      <w:r>
        <w:rPr>
          <w:rFonts w:asciiTheme="majorBidi" w:hAnsiTheme="majorBidi" w:cstheme="majorBidi"/>
          <w:sz w:val="24"/>
          <w:szCs w:val="24"/>
        </w:rPr>
        <w:t xml:space="preserve">  vs time, (0-48 hours)</w:t>
      </w:r>
    </w:p>
    <w:p w:rsidR="006F7E00" w:rsidRPr="006F7E00" w:rsidRDefault="006F7E00" w:rsidP="006F7E00">
      <w:pPr>
        <w:jc w:val="center"/>
        <w:rPr>
          <w:rFonts w:asciiTheme="majorBidi" w:hAnsiTheme="majorBidi" w:cstheme="majorBidi"/>
          <w:sz w:val="24"/>
          <w:szCs w:val="24"/>
        </w:rPr>
      </w:pPr>
      <w:r w:rsidRPr="006F7E00">
        <w:rPr>
          <w:rFonts w:asciiTheme="majorBidi" w:hAnsiTheme="majorBidi" w:cstheme="majorBidi"/>
          <w:noProof/>
          <w:sz w:val="24"/>
          <w:szCs w:val="24"/>
        </w:rPr>
        <w:lastRenderedPageBreak/>
        <w:drawing>
          <wp:inline distT="0" distB="0" distL="0" distR="0" wp14:anchorId="3C6CBCE7" wp14:editId="3297C9E7">
            <wp:extent cx="6146990" cy="506370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0016" r="5503"/>
                    <a:stretch/>
                  </pic:blipFill>
                  <pic:spPr bwMode="auto">
                    <a:xfrm>
                      <a:off x="0" y="0"/>
                      <a:ext cx="6152295" cy="5068076"/>
                    </a:xfrm>
                    <a:prstGeom prst="rect">
                      <a:avLst/>
                    </a:prstGeom>
                    <a:noFill/>
                    <a:ln>
                      <a:noFill/>
                    </a:ln>
                    <a:extLst>
                      <a:ext uri="{53640926-AAD7-44D8-BBD7-CCE9431645EC}">
                        <a14:shadowObscured xmlns:a14="http://schemas.microsoft.com/office/drawing/2010/main"/>
                      </a:ext>
                    </a:extLst>
                  </pic:spPr>
                </pic:pic>
              </a:graphicData>
            </a:graphic>
          </wp:inline>
        </w:drawing>
      </w:r>
    </w:p>
    <w:p w:rsidR="00CA76BF" w:rsidRDefault="00F60713" w:rsidP="00F60713">
      <w:pPr>
        <w:jc w:val="center"/>
        <w:rPr>
          <w:rFonts w:asciiTheme="majorBidi" w:hAnsiTheme="majorBidi" w:cstheme="majorBidi"/>
          <w:sz w:val="24"/>
          <w:szCs w:val="24"/>
        </w:rPr>
      </w:pPr>
      <w:r w:rsidRPr="00F60713">
        <w:rPr>
          <w:rFonts w:asciiTheme="majorBidi" w:hAnsiTheme="majorBidi" w:cstheme="majorBidi"/>
          <w:b/>
          <w:bCs/>
          <w:sz w:val="24"/>
          <w:szCs w:val="24"/>
        </w:rPr>
        <w:t>Fig.S4</w:t>
      </w:r>
      <w:r w:rsidR="006F7E00" w:rsidRPr="006F7E00">
        <w:rPr>
          <w:rFonts w:asciiTheme="majorBidi" w:hAnsiTheme="majorBidi" w:cstheme="majorBidi"/>
          <w:sz w:val="24"/>
          <w:szCs w:val="24"/>
        </w:rPr>
        <w:t xml:space="preserve"> Plots of (a) Molybdenum leaching efficiency at different temperatures for (DES-2), (b) kt</w:t>
      </w:r>
      <m:oMath>
        <m:r>
          <m:rPr>
            <m:sty m:val="p"/>
          </m:rPr>
          <w:rPr>
            <w:rFonts w:ascii="Cambria Math" w:hAnsi="Cambria Math" w:cstheme="majorBidi"/>
            <w:sz w:val="24"/>
            <w:szCs w:val="24"/>
          </w:rPr>
          <m:t xml:space="preserve"> = 1-</m:t>
        </m:r>
        <m:sSup>
          <m:sSupPr>
            <m:ctrlPr>
              <w:rPr>
                <w:rFonts w:ascii="Cambria Math" w:hAnsi="Cambria Math" w:cstheme="majorBidi"/>
                <w:sz w:val="24"/>
                <w:szCs w:val="24"/>
              </w:rPr>
            </m:ctrlPr>
          </m:sSupPr>
          <m:e>
            <m:r>
              <m:rPr>
                <m:sty m:val="p"/>
              </m:rPr>
              <w:rPr>
                <w:rFonts w:ascii="Cambria Math" w:hAnsi="Cambria Math" w:cstheme="majorBidi"/>
                <w:sz w:val="24"/>
                <w:szCs w:val="24"/>
              </w:rPr>
              <m:t>3(1-X)</m:t>
            </m:r>
          </m:e>
          <m:sup>
            <m:r>
              <m:rPr>
                <m:sty m:val="p"/>
              </m:rPr>
              <w:rPr>
                <w:rFonts w:ascii="Cambria Math" w:hAnsi="Cambria Math" w:cstheme="majorBidi"/>
                <w:sz w:val="24"/>
                <w:szCs w:val="24"/>
              </w:rPr>
              <m:t>2/3</m:t>
            </m:r>
          </m:sup>
        </m:sSup>
        <m:r>
          <w:rPr>
            <w:rFonts w:ascii="Cambria Math" w:hAnsi="Cambria Math" w:cstheme="majorBidi"/>
            <w:sz w:val="24"/>
            <w:szCs w:val="24"/>
          </w:rPr>
          <m:t>+2(1-X)</m:t>
        </m:r>
      </m:oMath>
      <w:r w:rsidR="006F7E00" w:rsidRPr="006F7E00">
        <w:rPr>
          <w:rFonts w:asciiTheme="majorBidi" w:hAnsiTheme="majorBidi" w:cstheme="majorBidi"/>
          <w:sz w:val="24"/>
          <w:szCs w:val="24"/>
        </w:rPr>
        <w:t xml:space="preserve"> , (c) </w:t>
      </w:r>
      <m:oMath>
        <m:r>
          <w:rPr>
            <w:rFonts w:ascii="Cambria Math" w:hAnsi="Cambria Math" w:cstheme="majorBidi"/>
            <w:sz w:val="24"/>
            <w:szCs w:val="24"/>
          </w:rPr>
          <m:t>kt= 1-</m:t>
        </m:r>
        <m:sSup>
          <m:sSupPr>
            <m:ctrlPr>
              <w:rPr>
                <w:rFonts w:ascii="Cambria Math" w:hAnsi="Cambria Math" w:cstheme="majorBidi"/>
                <w:sz w:val="24"/>
                <w:szCs w:val="24"/>
              </w:rPr>
            </m:ctrlPr>
          </m:sSupPr>
          <m:e>
            <m:r>
              <w:rPr>
                <w:rFonts w:ascii="Cambria Math" w:hAnsi="Cambria Math" w:cstheme="majorBidi"/>
                <w:sz w:val="24"/>
                <w:szCs w:val="24"/>
              </w:rPr>
              <m:t>(1-X)</m:t>
            </m:r>
          </m:e>
          <m:sup>
            <m:r>
              <w:rPr>
                <w:rFonts w:ascii="Cambria Math" w:hAnsi="Cambria Math" w:cstheme="majorBidi"/>
                <w:sz w:val="24"/>
                <w:szCs w:val="24"/>
              </w:rPr>
              <m:t>1/3</m:t>
            </m:r>
          </m:sup>
        </m:sSup>
      </m:oMath>
      <w:r w:rsidR="006F7E00" w:rsidRPr="006F7E00">
        <w:rPr>
          <w:rFonts w:asciiTheme="majorBidi" w:hAnsiTheme="majorBidi" w:cstheme="majorBidi"/>
          <w:sz w:val="24"/>
          <w:szCs w:val="24"/>
        </w:rPr>
        <w:t xml:space="preserve"> , and (d) </w:t>
      </w:r>
      <m:oMath>
        <m:r>
          <w:rPr>
            <w:rFonts w:ascii="Cambria Math" w:hAnsi="Cambria Math" w:cstheme="majorBidi"/>
            <w:sz w:val="24"/>
            <w:szCs w:val="24"/>
          </w:rPr>
          <m:t>kt =-ln</m:t>
        </m:r>
        <m:d>
          <m:dPr>
            <m:ctrlPr>
              <w:rPr>
                <w:rFonts w:ascii="Cambria Math" w:hAnsi="Cambria Math" w:cstheme="majorBidi"/>
                <w:sz w:val="24"/>
                <w:szCs w:val="24"/>
              </w:rPr>
            </m:ctrlPr>
          </m:dPr>
          <m:e>
            <m:r>
              <w:rPr>
                <w:rFonts w:ascii="Cambria Math" w:hAnsi="Cambria Math" w:cstheme="majorBidi"/>
                <w:sz w:val="24"/>
                <w:szCs w:val="24"/>
              </w:rPr>
              <m:t>1-X</m:t>
            </m:r>
          </m:e>
        </m:d>
      </m:oMath>
      <w:r>
        <w:rPr>
          <w:rFonts w:asciiTheme="majorBidi" w:hAnsiTheme="majorBidi" w:cstheme="majorBidi"/>
          <w:sz w:val="24"/>
          <w:szCs w:val="24"/>
        </w:rPr>
        <w:t xml:space="preserve">  vs time, (0-48 hours)</w:t>
      </w:r>
    </w:p>
    <w:p w:rsidR="00F60713" w:rsidRPr="00F60713" w:rsidRDefault="00F60713" w:rsidP="00F60713">
      <w:pPr>
        <w:jc w:val="center"/>
        <w:rPr>
          <w:rFonts w:asciiTheme="majorBidi" w:hAnsiTheme="majorBidi" w:cstheme="majorBidi"/>
          <w:sz w:val="24"/>
          <w:szCs w:val="24"/>
        </w:rPr>
      </w:pPr>
    </w:p>
    <w:p w:rsidR="006F7E00" w:rsidRPr="006F7E00" w:rsidRDefault="006F7E00" w:rsidP="006F7E00">
      <w:pPr>
        <w:jc w:val="both"/>
        <w:rPr>
          <w:rFonts w:asciiTheme="majorBidi" w:hAnsiTheme="majorBidi" w:cstheme="majorBidi"/>
          <w:b/>
          <w:bCs/>
          <w:sz w:val="24"/>
          <w:szCs w:val="24"/>
        </w:rPr>
      </w:pPr>
      <w:r w:rsidRPr="006F7E00">
        <w:rPr>
          <w:rFonts w:asciiTheme="majorBidi" w:hAnsiTheme="majorBidi" w:cstheme="majorBidi"/>
          <w:b/>
          <w:bCs/>
          <w:sz w:val="24"/>
          <w:szCs w:val="24"/>
        </w:rPr>
        <w:t>References</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begin" w:fldLock="1"/>
      </w:r>
      <w:r w:rsidRPr="006F7E00">
        <w:rPr>
          <w:rFonts w:asciiTheme="majorBidi" w:hAnsiTheme="majorBidi" w:cstheme="majorBidi"/>
          <w:sz w:val="24"/>
          <w:szCs w:val="24"/>
        </w:rPr>
        <w:instrText xml:space="preserve">ADDIN Mendeley Bibliography CSL_BIBLIOGRAPHY </w:instrText>
      </w:r>
      <w:r w:rsidRPr="006F7E00">
        <w:rPr>
          <w:rFonts w:asciiTheme="majorBidi" w:hAnsiTheme="majorBidi" w:cstheme="majorBidi"/>
          <w:sz w:val="24"/>
          <w:szCs w:val="24"/>
        </w:rPr>
        <w:fldChar w:fldCharType="separate"/>
      </w:r>
      <w:r w:rsidRPr="006F7E00">
        <w:rPr>
          <w:rFonts w:asciiTheme="majorBidi" w:hAnsiTheme="majorBidi" w:cstheme="majorBidi"/>
          <w:sz w:val="24"/>
          <w:szCs w:val="24"/>
        </w:rPr>
        <w:t>Dickinson, C.F., Heal, G.R., 1999. Solid–liquid diffusion controlled rate equations. Thermochim. Acta 340–341, 89–103. https://doi.org/10.1016/S0040-6031(99)00256-7</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Fogler, H.S., 2016. Elements of Chemical Reaction Engineering, 5 th. ed, Pearson. Pearson, Philadelphia.</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Levenspiel, O., 1998. Chemical reaction engineering, 3rd editio. ed, Wiley. Wiley. https://doi.org/https://doi.org/10.1002/aic.690190143</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lastRenderedPageBreak/>
        <w:t>Padilla, R., Pavez, P., Ruiz, M.C., 2008. Kinetics of copper dissolution from sulfidized chalcopyrite at high pressures in H2SO4–O2. Hydrometallurgy 91, 113–120. https://doi.org/10.1016/j.hydromet.2007.12.003</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t>Sokić, M.D., Marković, B., Živković, D., 2009. Kinetics of chalcopyrite leaching by sodium nitrate in sulphuric acid. Hydrometallurgy 95, 273–279. https://doi.org/10.1016/j.hydromet.2008.06.012</w:t>
      </w:r>
    </w:p>
    <w:p w:rsidR="006F7E00" w:rsidRPr="006F7E00" w:rsidRDefault="006F7E00" w:rsidP="006F7E00">
      <w:pPr>
        <w:jc w:val="both"/>
        <w:rPr>
          <w:rFonts w:asciiTheme="majorBidi" w:hAnsiTheme="majorBidi" w:cstheme="majorBidi"/>
          <w:sz w:val="24"/>
          <w:szCs w:val="24"/>
        </w:rPr>
      </w:pPr>
      <w:r w:rsidRPr="006F7E00">
        <w:rPr>
          <w:rFonts w:asciiTheme="majorBidi" w:hAnsiTheme="majorBidi" w:cstheme="majorBidi"/>
          <w:sz w:val="24"/>
          <w:szCs w:val="24"/>
        </w:rPr>
        <w:fldChar w:fldCharType="end"/>
      </w:r>
    </w:p>
    <w:p w:rsidR="001A3009" w:rsidRPr="006F7E00" w:rsidRDefault="001A3009" w:rsidP="006F7E00">
      <w:pPr>
        <w:jc w:val="both"/>
        <w:rPr>
          <w:rFonts w:asciiTheme="majorBidi" w:hAnsiTheme="majorBidi" w:cstheme="majorBidi"/>
          <w:sz w:val="24"/>
          <w:szCs w:val="24"/>
        </w:rPr>
      </w:pPr>
    </w:p>
    <w:sectPr w:rsidR="001A3009" w:rsidRPr="006F7E00" w:rsidSect="0047324C">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970"/>
    <w:rsid w:val="00051970"/>
    <w:rsid w:val="001A3009"/>
    <w:rsid w:val="002E652B"/>
    <w:rsid w:val="006F7E00"/>
    <w:rsid w:val="00CA76BF"/>
    <w:rsid w:val="00E630F4"/>
    <w:rsid w:val="00F607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FDAD3D-3D84-4C8F-BFF1-5BDFD9AC0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7E00"/>
    <w:rPr>
      <w:color w:val="0563C1" w:themeColor="hyperlink"/>
      <w:u w:val="single"/>
    </w:rPr>
  </w:style>
  <w:style w:type="character" w:styleId="LineNumber">
    <w:name w:val="line number"/>
    <w:basedOn w:val="DefaultParagraphFont"/>
    <w:uiPriority w:val="99"/>
    <w:semiHidden/>
    <w:unhideWhenUsed/>
    <w:rsid w:val="006F7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53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http://orcid.org/0000-0002-9099-7451"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3490</Words>
  <Characters>19894</Characters>
  <Application>Microsoft Office Word</Application>
  <DocSecurity>0</DocSecurity>
  <Lines>165</Lines>
  <Paragraphs>46</Paragraphs>
  <ScaleCrop>false</ScaleCrop>
  <Company>Microsoft</Company>
  <LinksUpToDate>false</LinksUpToDate>
  <CharactersWithSpaces>23338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Ehsan Ebrahimi</dc:creator>
  <cp:keywords/>
  <dc:description/>
  <cp:lastModifiedBy>Ebrahimi</cp:lastModifiedBy>
  <cp:revision>10</cp:revision>
  <dcterms:created xsi:type="dcterms:W3CDTF">2022-12-31T09:43:00Z</dcterms:created>
  <dcterms:modified xsi:type="dcterms:W3CDTF">2023-01-06T16:23:00Z</dcterms:modified>
</cp:coreProperties>
</file>