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43F5" w14:textId="77777777" w:rsidR="000D10A8" w:rsidRDefault="000D10A8" w:rsidP="000D10A8">
      <w:r>
        <w:rPr>
          <w:noProof/>
        </w:rPr>
        <w:drawing>
          <wp:inline distT="0" distB="0" distL="0" distR="0" wp14:anchorId="743D81E4" wp14:editId="76AD0E19">
            <wp:extent cx="5943600" cy="3310890"/>
            <wp:effectExtent l="0" t="0" r="0" b="3810"/>
            <wp:docPr id="11" name="Picture 1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D45C" w14:textId="77777777" w:rsidR="000D10A8" w:rsidRPr="001D163A" w:rsidRDefault="000D10A8" w:rsidP="000D10A8">
      <w:pPr>
        <w:rPr>
          <w:rFonts w:ascii="Times New Roman" w:hAnsi="Times New Roman" w:cs="Times New Roman"/>
          <w:b/>
          <w:bCs/>
        </w:rPr>
      </w:pPr>
      <w:r w:rsidRPr="001D163A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Pr="001D163A">
        <w:rPr>
          <w:rFonts w:ascii="Times New Roman" w:hAnsi="Times New Roman" w:cs="Times New Roman"/>
          <w:b/>
          <w:bCs/>
        </w:rPr>
        <w:t>. The AT-hooks of Snf2 are not required for recruitment of yeast SWI/SNF.</w:t>
      </w:r>
    </w:p>
    <w:p w14:paraId="3413BCC4" w14:textId="77777777" w:rsidR="000D10A8" w:rsidRDefault="000D10A8" w:rsidP="000D10A8">
      <w:pPr>
        <w:rPr>
          <w:rFonts w:ascii="Times New Roman" w:hAnsi="Times New Roman" w:cs="Times New Roman"/>
        </w:rPr>
      </w:pPr>
      <w:r w:rsidRPr="00350E05">
        <w:rPr>
          <w:rFonts w:ascii="Times New Roman" w:hAnsi="Times New Roman" w:cs="Times New Roman"/>
          <w:b/>
          <w:bCs/>
        </w:rPr>
        <w:t>(a-b)</w:t>
      </w:r>
      <w:r w:rsidRPr="001D163A">
        <w:rPr>
          <w:rFonts w:ascii="Times New Roman" w:hAnsi="Times New Roman" w:cs="Times New Roman"/>
        </w:rPr>
        <w:t xml:space="preserve"> Representative native gel images used in Figures 3a and S3b to measure (a) the relative affinity of WT and</w:t>
      </w:r>
      <w:r>
        <w:t xml:space="preserve"> </w:t>
      </w:r>
      <w:r w:rsidRPr="00976D0C">
        <w:rPr>
          <w:rFonts w:ascii="Symbol" w:hAnsi="Symbol"/>
        </w:rPr>
        <w:t>D</w:t>
      </w:r>
      <w:r w:rsidRPr="001D163A">
        <w:rPr>
          <w:rFonts w:ascii="Times New Roman" w:hAnsi="Times New Roman" w:cs="Times New Roman"/>
        </w:rPr>
        <w:t>AT SWI/SNF for nucleosomes and (b) competition for WT and</w:t>
      </w:r>
      <w:r>
        <w:t xml:space="preserve"> </w:t>
      </w:r>
      <w:r w:rsidRPr="00976D0C">
        <w:rPr>
          <w:rFonts w:ascii="Symbol" w:hAnsi="Symbol"/>
        </w:rPr>
        <w:t>D</w:t>
      </w:r>
      <w:r w:rsidRPr="001D163A">
        <w:rPr>
          <w:rFonts w:ascii="Times New Roman" w:hAnsi="Times New Roman" w:cs="Times New Roman"/>
        </w:rPr>
        <w:t xml:space="preserve">AT SWI/SNF binding between free DNA and nucleosomes. </w:t>
      </w:r>
      <w:r w:rsidRPr="00350E05">
        <w:rPr>
          <w:rFonts w:ascii="Times New Roman" w:hAnsi="Times New Roman" w:cs="Times New Roman"/>
          <w:b/>
          <w:bCs/>
        </w:rPr>
        <w:t>(c)</w:t>
      </w:r>
      <w:r w:rsidRPr="001D16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Recruitment of WT and </w:t>
      </w:r>
      <w:r w:rsidRPr="00976D0C">
        <w:rPr>
          <w:rFonts w:ascii="Symbol" w:hAnsi="Symbol"/>
        </w:rPr>
        <w:t>D</w:t>
      </w:r>
      <w:r w:rsidRPr="001D163A">
        <w:rPr>
          <w:rFonts w:ascii="Times New Roman" w:hAnsi="Times New Roman" w:cs="Times New Roman"/>
        </w:rPr>
        <w:t xml:space="preserve">AT SWI/SNF </w:t>
      </w:r>
      <w:r>
        <w:rPr>
          <w:rFonts w:ascii="Times New Roman" w:hAnsi="Times New Roman" w:cs="Times New Roman"/>
        </w:rPr>
        <w:t>to nucleosomes, as shown by EMSA,</w:t>
      </w:r>
      <w:r w:rsidRPr="001841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mediated by the transcription factor Gal4-VP16.  SWI/SNF under these conditions in which competitor DNA is present cannot be recruited to nucleosomes without Gal4-VP16 bound to the extranucleosomal DNA (compare lanes 3-5 to 6-8 for WT and lanes 9-11 to 12-14 for </w:t>
      </w:r>
      <w:r w:rsidRPr="00976D0C">
        <w:rPr>
          <w:rFonts w:ascii="Symbol" w:hAnsi="Symbol"/>
        </w:rPr>
        <w:t>D</w:t>
      </w:r>
      <w:r w:rsidRPr="001D163A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SWI/SNF. This image is representative of four independent replicates.  </w:t>
      </w:r>
    </w:p>
    <w:p w14:paraId="6FA90C6C" w14:textId="112457B7" w:rsidR="005D1A3D" w:rsidRDefault="005D1A3D"/>
    <w:p w14:paraId="1F6A22F4" w14:textId="77777777" w:rsidR="000D10A8" w:rsidRDefault="000D10A8" w:rsidP="000D10A8">
      <w:r>
        <w:rPr>
          <w:noProof/>
        </w:rPr>
        <w:lastRenderedPageBreak/>
        <w:drawing>
          <wp:inline distT="0" distB="0" distL="0" distR="0" wp14:anchorId="6A64AC19" wp14:editId="332B3BCF">
            <wp:extent cx="5884817" cy="5125323"/>
            <wp:effectExtent l="0" t="0" r="0" b="5715"/>
            <wp:docPr id="12" name="Picture 12" descr="A picture containing text, mus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mus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57" cy="518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BF3C" w14:textId="77777777" w:rsidR="000D10A8" w:rsidRDefault="000D10A8" w:rsidP="000D10A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S2. Competition of WT and </w:t>
      </w:r>
      <w:r w:rsidRPr="009001DA">
        <w:rPr>
          <w:rFonts w:ascii="Symbol" w:hAnsi="Symbol"/>
          <w:b/>
          <w:bCs/>
        </w:rPr>
        <w:t>D</w:t>
      </w:r>
      <w:r w:rsidRPr="009001DA">
        <w:rPr>
          <w:rFonts w:ascii="Times New Roman" w:hAnsi="Times New Roman" w:cs="Times New Roman"/>
          <w:b/>
          <w:bCs/>
        </w:rPr>
        <w:t>AT SWI/SNF</w:t>
      </w:r>
      <w:r>
        <w:rPr>
          <w:rFonts w:ascii="Times New Roman" w:hAnsi="Times New Roman" w:cs="Times New Roman"/>
          <w:b/>
          <w:bCs/>
        </w:rPr>
        <w:t xml:space="preserve"> binding to DNA or nucleosomes.</w:t>
      </w:r>
    </w:p>
    <w:p w14:paraId="34743D69" w14:textId="77777777" w:rsidR="000D10A8" w:rsidRDefault="000D10A8" w:rsidP="000D10A8">
      <w:r w:rsidRPr="00350E05">
        <w:rPr>
          <w:rFonts w:ascii="Times New Roman" w:hAnsi="Times New Roman" w:cs="Times New Roman"/>
          <w:b/>
          <w:bCs/>
        </w:rPr>
        <w:t>(a</w:t>
      </w:r>
      <w:r>
        <w:rPr>
          <w:rFonts w:ascii="Times New Roman" w:hAnsi="Times New Roman" w:cs="Times New Roman"/>
          <w:b/>
          <w:bCs/>
        </w:rPr>
        <w:t>,c</w:t>
      </w:r>
      <w:r w:rsidRPr="00350E05">
        <w:rPr>
          <w:rFonts w:ascii="Times New Roman" w:hAnsi="Times New Roman" w:cs="Times New Roman"/>
          <w:b/>
          <w:bCs/>
        </w:rPr>
        <w:t>)</w:t>
      </w:r>
      <w:r w:rsidRPr="009D5F3D">
        <w:rPr>
          <w:rFonts w:ascii="Times New Roman" w:hAnsi="Times New Roman" w:cs="Times New Roman"/>
        </w:rPr>
        <w:t xml:space="preserve"> Binding of WT or </w:t>
      </w:r>
      <w:r w:rsidRPr="00976D0C">
        <w:rPr>
          <w:rFonts w:ascii="Symbol" w:hAnsi="Symbol"/>
        </w:rPr>
        <w:t>D</w:t>
      </w:r>
      <w:r w:rsidRPr="009D5F3D">
        <w:rPr>
          <w:rFonts w:ascii="Times New Roman" w:hAnsi="Times New Roman" w:cs="Times New Roman"/>
        </w:rPr>
        <w:t>AT SWI/SNF to either (a</w:t>
      </w:r>
      <w:r>
        <w:rPr>
          <w:rFonts w:ascii="Times New Roman" w:hAnsi="Times New Roman" w:cs="Times New Roman"/>
        </w:rPr>
        <w:t>)</w:t>
      </w:r>
      <w:r w:rsidRPr="009D5F3D">
        <w:rPr>
          <w:rFonts w:ascii="Times New Roman" w:hAnsi="Times New Roman" w:cs="Times New Roman"/>
        </w:rPr>
        <w:t xml:space="preserve"> free DNA or (</w:t>
      </w:r>
      <w:r>
        <w:rPr>
          <w:rFonts w:ascii="Times New Roman" w:hAnsi="Times New Roman" w:cs="Times New Roman"/>
        </w:rPr>
        <w:t>c</w:t>
      </w:r>
      <w:r w:rsidRPr="009D5F3D">
        <w:rPr>
          <w:rFonts w:ascii="Times New Roman" w:hAnsi="Times New Roman" w:cs="Times New Roman"/>
        </w:rPr>
        <w:t>)</w:t>
      </w:r>
      <w:r>
        <w:t xml:space="preserve"> </w:t>
      </w:r>
      <w:r w:rsidRPr="009D5F3D">
        <w:rPr>
          <w:rFonts w:ascii="Times New Roman" w:hAnsi="Times New Roman" w:cs="Times New Roman"/>
        </w:rPr>
        <w:t>nucleosomes was competed with unlabeled pUC19 plasmid DNA and tracked by EMS</w:t>
      </w:r>
      <w:r>
        <w:rPr>
          <w:rFonts w:ascii="Times New Roman" w:hAnsi="Times New Roman" w:cs="Times New Roman"/>
        </w:rPr>
        <w:t>A</w:t>
      </w:r>
      <w:r w:rsidRPr="009D5F3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(b,d)</w:t>
      </w:r>
      <w:r>
        <w:rPr>
          <w:rFonts w:ascii="Times New Roman" w:hAnsi="Times New Roman" w:cs="Times New Roman"/>
        </w:rPr>
        <w:t xml:space="preserve"> </w:t>
      </w:r>
      <w:r w:rsidRPr="009D5F3D">
        <w:rPr>
          <w:rFonts w:ascii="Times New Roman" w:hAnsi="Times New Roman" w:cs="Times New Roman"/>
        </w:rPr>
        <w:t xml:space="preserve">A total of 4 replicates were performed for each and </w:t>
      </w:r>
      <w:r>
        <w:rPr>
          <w:rFonts w:ascii="Times New Roman" w:hAnsi="Times New Roman" w:cs="Times New Roman"/>
        </w:rPr>
        <w:t>the</w:t>
      </w:r>
      <w:r w:rsidRPr="009D5F3D">
        <w:rPr>
          <w:rFonts w:ascii="Times New Roman" w:hAnsi="Times New Roman" w:cs="Times New Roman"/>
        </w:rPr>
        <w:t xml:space="preserve"> percent bound versus SWI/SNF concentration </w:t>
      </w:r>
      <w:r>
        <w:rPr>
          <w:rFonts w:ascii="Times New Roman" w:hAnsi="Times New Roman" w:cs="Times New Roman"/>
        </w:rPr>
        <w:t xml:space="preserve">is </w:t>
      </w:r>
      <w:r w:rsidRPr="009D5F3D">
        <w:rPr>
          <w:rFonts w:ascii="Times New Roman" w:hAnsi="Times New Roman" w:cs="Times New Roman"/>
        </w:rPr>
        <w:t xml:space="preserve">plotted </w:t>
      </w:r>
      <w:r>
        <w:rPr>
          <w:rFonts w:ascii="Times New Roman" w:hAnsi="Times New Roman" w:cs="Times New Roman"/>
        </w:rPr>
        <w:t xml:space="preserve">and </w:t>
      </w:r>
      <w:r w:rsidRPr="009D5F3D">
        <w:rPr>
          <w:rFonts w:ascii="Times New Roman" w:hAnsi="Times New Roman" w:cs="Times New Roman"/>
        </w:rPr>
        <w:t>the standard deviation</w:t>
      </w:r>
      <w:r>
        <w:rPr>
          <w:rFonts w:ascii="Times New Roman" w:hAnsi="Times New Roman" w:cs="Times New Roman"/>
        </w:rPr>
        <w:t xml:space="preserve"> is shown. </w:t>
      </w:r>
    </w:p>
    <w:p w14:paraId="3A45B629" w14:textId="1665DC38" w:rsidR="000D10A8" w:rsidRDefault="000D10A8"/>
    <w:p w14:paraId="7F9FCCBA" w14:textId="77777777" w:rsidR="000D10A8" w:rsidRDefault="000D10A8" w:rsidP="000D10A8">
      <w:r>
        <w:rPr>
          <w:noProof/>
        </w:rPr>
        <w:lastRenderedPageBreak/>
        <w:drawing>
          <wp:inline distT="0" distB="0" distL="0" distR="0" wp14:anchorId="03181C4F" wp14:editId="4F02C1DD">
            <wp:extent cx="5943600" cy="6003290"/>
            <wp:effectExtent l="0" t="0" r="0" b="381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F2B5" w14:textId="77777777" w:rsidR="000D10A8" w:rsidRPr="009D5F3D" w:rsidRDefault="000D10A8" w:rsidP="000D10A8">
      <w:pPr>
        <w:rPr>
          <w:rFonts w:ascii="Times New Roman" w:hAnsi="Times New Roman" w:cs="Times New Roman"/>
          <w:b/>
          <w:bCs/>
        </w:rPr>
      </w:pPr>
      <w:r w:rsidRPr="009D5F3D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9D5F3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AT-hook switches binding partner(s) upon SWI/SNF binding nucleosomes</w:t>
      </w:r>
    </w:p>
    <w:p w14:paraId="6AD4DC66" w14:textId="77777777" w:rsidR="000D10A8" w:rsidRPr="00E022B6" w:rsidRDefault="000D10A8" w:rsidP="000D10A8">
      <w:pPr>
        <w:rPr>
          <w:rFonts w:ascii="Times New Roman" w:hAnsi="Times New Roman" w:cs="Times New Roman"/>
        </w:rPr>
      </w:pPr>
      <w:r w:rsidRPr="00350E05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350E05">
        <w:rPr>
          <w:rFonts w:ascii="Times New Roman" w:hAnsi="Times New Roman" w:cs="Times New Roman"/>
          <w:b/>
          <w:bCs/>
        </w:rPr>
        <w:t>)</w:t>
      </w:r>
      <w:r w:rsidRPr="00E022B6">
        <w:rPr>
          <w:rFonts w:ascii="Times New Roman" w:hAnsi="Times New Roman" w:cs="Times New Roman"/>
        </w:rPr>
        <w:t xml:space="preserve"> The Lys-Lys crosslinking patterns between histones and the SWI/SNF subunits are shown for the nucleosome-bound SWI/SNF complex. </w:t>
      </w:r>
      <w:r w:rsidRPr="00350E05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b-c</w:t>
      </w:r>
      <w:r w:rsidRPr="00350E05">
        <w:rPr>
          <w:rFonts w:ascii="Times New Roman" w:hAnsi="Times New Roman" w:cs="Times New Roman"/>
          <w:b/>
          <w:bCs/>
        </w:rPr>
        <w:t>)</w:t>
      </w:r>
      <w:r w:rsidRPr="00E022B6">
        <w:rPr>
          <w:rFonts w:ascii="Times New Roman" w:hAnsi="Times New Roman" w:cs="Times New Roman"/>
        </w:rPr>
        <w:t xml:space="preserve"> The SWI/SNF crosslinking pattern is depicted in a Circos format for (</w:t>
      </w:r>
      <w:r>
        <w:rPr>
          <w:rFonts w:ascii="Times New Roman" w:hAnsi="Times New Roman" w:cs="Times New Roman"/>
        </w:rPr>
        <w:t>b</w:t>
      </w:r>
      <w:r w:rsidRPr="00E022B6">
        <w:rPr>
          <w:rFonts w:ascii="Times New Roman" w:hAnsi="Times New Roman" w:cs="Times New Roman"/>
        </w:rPr>
        <w:t xml:space="preserve">) intra- and </w:t>
      </w:r>
      <w:r w:rsidRPr="00350E05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</w:rPr>
        <w:t>c</w:t>
      </w:r>
      <w:r w:rsidRPr="00350E05">
        <w:rPr>
          <w:rFonts w:ascii="Times New Roman" w:hAnsi="Times New Roman" w:cs="Times New Roman"/>
          <w:b/>
          <w:bCs/>
        </w:rPr>
        <w:t>)</w:t>
      </w:r>
      <w:r w:rsidRPr="00E022B6">
        <w:rPr>
          <w:rFonts w:ascii="Times New Roman" w:hAnsi="Times New Roman" w:cs="Times New Roman"/>
        </w:rPr>
        <w:t xml:space="preserve"> inter-subunit crosslinking for WT SWI/SNF. Different colored lines are used to group particular subunits that form submodules within </w:t>
      </w:r>
      <w:r>
        <w:rPr>
          <w:rFonts w:ascii="Times New Roman" w:hAnsi="Times New Roman" w:cs="Times New Roman"/>
        </w:rPr>
        <w:t>t</w:t>
      </w:r>
      <w:r w:rsidRPr="00E022B6">
        <w:rPr>
          <w:rFonts w:ascii="Times New Roman" w:hAnsi="Times New Roman" w:cs="Times New Roman"/>
        </w:rPr>
        <w:t xml:space="preserve">he SWI/SNF complex. </w:t>
      </w:r>
    </w:p>
    <w:p w14:paraId="5CBDFD00" w14:textId="4D7794A8" w:rsidR="000D10A8" w:rsidRDefault="000D10A8"/>
    <w:p w14:paraId="235486D5" w14:textId="77777777" w:rsidR="000D10A8" w:rsidRDefault="000D10A8" w:rsidP="000D10A8">
      <w:r>
        <w:rPr>
          <w:noProof/>
        </w:rPr>
        <w:lastRenderedPageBreak/>
        <w:drawing>
          <wp:inline distT="0" distB="0" distL="0" distR="0" wp14:anchorId="3799118D" wp14:editId="0643224C">
            <wp:extent cx="5943600" cy="4648200"/>
            <wp:effectExtent l="0" t="0" r="0" b="0"/>
            <wp:docPr id="31" name="Picture 3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69EC" w14:textId="77777777" w:rsidR="000D10A8" w:rsidRDefault="000D10A8" w:rsidP="000D10A8"/>
    <w:p w14:paraId="3C7D8D0D" w14:textId="77777777" w:rsidR="000D10A8" w:rsidRDefault="000D10A8" w:rsidP="000D10A8">
      <w:pPr>
        <w:jc w:val="both"/>
        <w:rPr>
          <w:rStyle w:val="normaltextrun"/>
          <w:rFonts w:ascii="Times New Roman" w:hAnsi="Times New Roman" w:cs="Times New Roman"/>
          <w:color w:val="0E101A"/>
        </w:rPr>
      </w:pPr>
      <w:r w:rsidRPr="1A51CCC1">
        <w:rPr>
          <w:rFonts w:ascii="Times New Roman" w:hAnsi="Times New Roman" w:cs="Times New Roman"/>
          <w:b/>
          <w:bCs/>
        </w:rPr>
        <w:t>Figure S4. The AT-hook deletion does not affect Brg1 expression and SWI/SNF complex integrity.</w:t>
      </w:r>
      <w:r w:rsidRPr="1A51CCC1">
        <w:rPr>
          <w:rFonts w:ascii="Times New Roman" w:hAnsi="Times New Roman" w:cs="Times New Roman"/>
        </w:rPr>
        <w:t xml:space="preserve"> (</w:t>
      </w:r>
      <w:r w:rsidRPr="1A51CCC1">
        <w:rPr>
          <w:rFonts w:ascii="Times New Roman" w:hAnsi="Times New Roman" w:cs="Times New Roman"/>
          <w:b/>
          <w:bCs/>
        </w:rPr>
        <w:t>a</w:t>
      </w:r>
      <w:r w:rsidRPr="1A51CCC1">
        <w:rPr>
          <w:rFonts w:ascii="Times New Roman" w:hAnsi="Times New Roman" w:cs="Times New Roman"/>
        </w:rPr>
        <w:t xml:space="preserve">) </w:t>
      </w:r>
      <w:r w:rsidRPr="1A51CCC1">
        <w:rPr>
          <w:rStyle w:val="normaltextrun"/>
          <w:rFonts w:ascii="Times New Roman" w:hAnsi="Times New Roman" w:cs="Times New Roman"/>
          <w:color w:val="0E101A"/>
        </w:rPr>
        <w:t>Venn diagrams show the number of Brg1 peaks detected in naïve and primed cells using ChIP-seq</w:t>
      </w:r>
      <w:r w:rsidRPr="1A51CCC1">
        <w:rPr>
          <w:rFonts w:ascii="Times New Roman" w:hAnsi="Times New Roman" w:cs="Times New Roman"/>
        </w:rPr>
        <w:t>.</w:t>
      </w:r>
      <w:r w:rsidRPr="1A51CCC1">
        <w:rPr>
          <w:rFonts w:ascii="Times New Roman" w:hAnsi="Times New Roman" w:cs="Times New Roman"/>
          <w:b/>
          <w:bCs/>
        </w:rPr>
        <w:t xml:space="preserve"> (b)</w:t>
      </w:r>
      <w:r w:rsidRPr="1A51CCC1">
        <w:rPr>
          <w:rFonts w:ascii="Times New Roman" w:hAnsi="Times New Roman" w:cs="Times New Roman"/>
        </w:rPr>
        <w:t xml:space="preserve"> </w:t>
      </w:r>
      <w:r w:rsidRPr="1A51CCC1">
        <w:rPr>
          <w:rFonts w:ascii="Times New Roman" w:hAnsi="Times New Roman" w:cs="Times New Roman"/>
          <w:color w:val="0E101A"/>
        </w:rPr>
        <w:t>Pie charts show the genome-wide distribution of Brg1 using ChIP-seq.</w:t>
      </w:r>
      <w:r w:rsidRPr="1A51CCC1">
        <w:rPr>
          <w:rFonts w:ascii="Times New Roman" w:hAnsi="Times New Roman" w:cs="Times New Roman"/>
        </w:rPr>
        <w:t xml:space="preserve"> </w:t>
      </w:r>
      <w:r w:rsidRPr="1A51CCC1">
        <w:rPr>
          <w:rFonts w:ascii="Times New Roman" w:hAnsi="Times New Roman" w:cs="Times New Roman"/>
          <w:b/>
          <w:bCs/>
        </w:rPr>
        <w:t>(c)</w:t>
      </w:r>
      <w:r w:rsidRPr="1A51CCC1">
        <w:rPr>
          <w:rFonts w:ascii="Times New Roman" w:hAnsi="Times New Roman" w:cs="Times New Roman"/>
        </w:rPr>
        <w:t xml:space="preserve"> </w:t>
      </w:r>
      <w:r w:rsidRPr="1A51CCC1">
        <w:rPr>
          <w:rStyle w:val="normaltextrun"/>
          <w:rFonts w:ascii="Times New Roman" w:hAnsi="Times New Roman" w:cs="Times New Roman"/>
          <w:color w:val="0E101A"/>
        </w:rPr>
        <w:t xml:space="preserve">Western blot for HA-tagged Brg1 expression in WT and dAT mutants mESCs in naïve condition; untagged cells were used as a control, and Gapdh was used as a loading control. </w:t>
      </w:r>
      <w:r w:rsidRPr="1A51CCC1">
        <w:rPr>
          <w:rStyle w:val="normaltextrun"/>
          <w:rFonts w:ascii="Times New Roman" w:hAnsi="Times New Roman" w:cs="Times New Roman"/>
          <w:b/>
          <w:bCs/>
          <w:color w:val="0E101A"/>
        </w:rPr>
        <w:t>(d)</w:t>
      </w:r>
      <w:r w:rsidRPr="1A51CCC1">
        <w:rPr>
          <w:rStyle w:val="normaltextrun"/>
          <w:rFonts w:ascii="Times New Roman" w:hAnsi="Times New Roman" w:cs="Times New Roman"/>
          <w:color w:val="0E101A"/>
        </w:rPr>
        <w:t xml:space="preserve"> The localization and expression of Brg1 in WT and dAT mutants is shown by immunofluorescence in naïve cells</w:t>
      </w:r>
      <w:r w:rsidRPr="1A51CCC1">
        <w:rPr>
          <w:rStyle w:val="normaltextrun"/>
          <w:rFonts w:ascii="Times New Roman" w:hAnsi="Times New Roman" w:cs="Times New Roman"/>
          <w:b/>
          <w:bCs/>
          <w:color w:val="0E101A"/>
        </w:rPr>
        <w:t xml:space="preserve">. (e) </w:t>
      </w:r>
      <w:r w:rsidRPr="1A51CCC1">
        <w:rPr>
          <w:rStyle w:val="normaltextrun"/>
          <w:rFonts w:ascii="Times New Roman" w:hAnsi="Times New Roman" w:cs="Times New Roman"/>
          <w:color w:val="0E101A"/>
        </w:rPr>
        <w:t xml:space="preserve">The table shows the average enrichment of es-BAF and gBAF components in WT and AT-hook deleted mutant cells in both naïve and primed states. </w:t>
      </w:r>
    </w:p>
    <w:p w14:paraId="7F8EC625" w14:textId="423AF367" w:rsidR="000D10A8" w:rsidRDefault="000D10A8"/>
    <w:p w14:paraId="796A4B14" w14:textId="77777777" w:rsidR="000D10A8" w:rsidRDefault="000D10A8" w:rsidP="000D10A8">
      <w:pPr>
        <w:jc w:val="both"/>
        <w:rPr>
          <w:rStyle w:val="normaltextrun"/>
          <w:rFonts w:ascii="Times New Roman" w:hAnsi="Times New Roman" w:cs="Times New Roman"/>
          <w:color w:val="0E101A"/>
        </w:rPr>
      </w:pPr>
      <w:r>
        <w:rPr>
          <w:rFonts w:ascii="Times New Roman" w:hAnsi="Times New Roman" w:cs="Times New Roman"/>
          <w:noProof/>
          <w:color w:val="0E101A"/>
        </w:rPr>
        <w:lastRenderedPageBreak/>
        <w:drawing>
          <wp:inline distT="0" distB="0" distL="0" distR="0" wp14:anchorId="0FBC7474" wp14:editId="4BCC2D07">
            <wp:extent cx="5943600" cy="7472045"/>
            <wp:effectExtent l="0" t="0" r="0" b="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2B48" w14:textId="77777777" w:rsidR="000D10A8" w:rsidRDefault="000D10A8" w:rsidP="000D10A8">
      <w:pPr>
        <w:pStyle w:val="paragraph"/>
        <w:jc w:val="both"/>
        <w:textAlignment w:val="baseline"/>
        <w:rPr>
          <w:rStyle w:val="normaltextrun"/>
          <w:color w:val="0E101A"/>
        </w:rPr>
      </w:pPr>
      <w:r w:rsidRPr="55C04A84">
        <w:rPr>
          <w:b/>
          <w:bCs/>
        </w:rPr>
        <w:t>Figure S5. Loss of AT-hook alters accessibility at intronic-intergenic sites.</w:t>
      </w:r>
      <w:r>
        <w:t xml:space="preserve"> </w:t>
      </w:r>
      <w:r w:rsidRPr="55C04A84">
        <w:rPr>
          <w:rStyle w:val="normaltextrun"/>
          <w:b/>
          <w:bCs/>
          <w:color w:val="0E101A"/>
        </w:rPr>
        <w:t>(a) </w:t>
      </w:r>
      <w:r w:rsidRPr="55C04A84">
        <w:rPr>
          <w:rStyle w:val="normaltextrun"/>
          <w:color w:val="0E101A"/>
        </w:rPr>
        <w:t>Venn diagrams show cell-type specific and shared ATAC-seq peaks (upper panel) and those only in intergenic and intronic regions (lower panel) in WT and dAT mutants in naïve and primed cells. (</w:t>
      </w:r>
      <w:r w:rsidRPr="55C04A84">
        <w:rPr>
          <w:rStyle w:val="normaltextrun"/>
          <w:b/>
          <w:bCs/>
          <w:color w:val="0E101A"/>
        </w:rPr>
        <w:t>b</w:t>
      </w:r>
      <w:r w:rsidRPr="55C04A84">
        <w:rPr>
          <w:rStyle w:val="normaltextrun"/>
          <w:color w:val="0E101A"/>
        </w:rPr>
        <w:t xml:space="preserve">) Brg1 </w:t>
      </w:r>
      <w:r w:rsidRPr="55C04A84">
        <w:rPr>
          <w:rStyle w:val="normaltextrun"/>
          <w:color w:val="0E101A"/>
        </w:rPr>
        <w:lastRenderedPageBreak/>
        <w:t xml:space="preserve">localization (blue), ATAC-signal (grey), and active enhancer histone marks (H3K27ac [red], and H3K4me1 [green]) at shared intronic-intergenic ATAC-seq peaks (TF-dependent). Signals are sorted based on high to low. N represents the total number of ATAC-seq peaks. </w:t>
      </w:r>
      <w:r w:rsidRPr="55C04A84">
        <w:rPr>
          <w:rStyle w:val="normaltextrun"/>
          <w:b/>
          <w:bCs/>
          <w:color w:val="0E101A"/>
        </w:rPr>
        <w:t>(c-e)</w:t>
      </w:r>
      <w:r w:rsidRPr="55C04A84">
        <w:rPr>
          <w:rStyle w:val="normaltextrun"/>
          <w:color w:val="0E101A"/>
        </w:rPr>
        <w:t xml:space="preserve"> </w:t>
      </w:r>
      <w:r>
        <w:t>Table</w:t>
      </w:r>
      <w:r w:rsidRPr="55C04A84">
        <w:rPr>
          <w:rStyle w:val="normaltextrun"/>
          <w:color w:val="0E101A"/>
        </w:rPr>
        <w:t xml:space="preserve"> showing the top transcription factors motif enriched in naïve (c), primed (d), and shared (e) ATAC-seq intronic-intergenic peaks using HOMER. </w:t>
      </w:r>
      <w:r w:rsidRPr="55C04A84">
        <w:rPr>
          <w:rStyle w:val="normaltextrun"/>
          <w:b/>
          <w:bCs/>
          <w:color w:val="0E101A"/>
        </w:rPr>
        <w:t xml:space="preserve">(f-g) </w:t>
      </w:r>
      <w:r>
        <w:t>Heatmaps showing ATAC signals in the two independent clones of the AT-hook mutant in naïve (top) and primed (bottom) states versus WT. ATAC signals are sorted based on WT.</w:t>
      </w:r>
    </w:p>
    <w:p w14:paraId="540F64A9" w14:textId="77777777" w:rsidR="000D10A8" w:rsidRDefault="000D10A8" w:rsidP="000D10A8">
      <w:r>
        <w:rPr>
          <w:noProof/>
        </w:rPr>
        <w:drawing>
          <wp:inline distT="0" distB="0" distL="0" distR="0" wp14:anchorId="0F58DA46" wp14:editId="5EBA55A4">
            <wp:extent cx="5943600" cy="2955290"/>
            <wp:effectExtent l="0" t="0" r="0" b="381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8893" w14:textId="77777777" w:rsidR="000D10A8" w:rsidRDefault="000D10A8" w:rsidP="000D10A8"/>
    <w:p w14:paraId="6A988D1C" w14:textId="6A8AF63D" w:rsidR="000D10A8" w:rsidRDefault="000D10A8" w:rsidP="000D10A8">
      <w:pPr>
        <w:rPr>
          <w:rStyle w:val="normaltextrun"/>
          <w:rFonts w:ascii="Times New Roman" w:hAnsi="Times New Roman" w:cs="Times New Roman"/>
          <w:color w:val="0E101A"/>
        </w:rPr>
      </w:pPr>
      <w:r w:rsidRPr="1A51CCC1">
        <w:rPr>
          <w:rFonts w:ascii="Times New Roman" w:hAnsi="Times New Roman" w:cs="Times New Roman"/>
          <w:b/>
          <w:bCs/>
        </w:rPr>
        <w:t xml:space="preserve">Figure S6.  </w:t>
      </w:r>
      <w:r w:rsidRPr="1A51CCC1">
        <w:rPr>
          <w:rStyle w:val="normaltextrun"/>
          <w:rFonts w:ascii="Times New Roman" w:hAnsi="Times New Roman" w:cs="Times New Roman"/>
          <w:color w:val="0E101A"/>
        </w:rPr>
        <w:t>Heatmaps showing Brg1 localization at AT-dependent (a) and AT-independent (b) ATAC intronic-intergenic sites. ChIP signals are sorted based on WT in each group</w:t>
      </w:r>
      <w:r>
        <w:rPr>
          <w:rStyle w:val="normaltextrun"/>
          <w:rFonts w:ascii="Times New Roman" w:hAnsi="Times New Roman" w:cs="Times New Roman"/>
          <w:color w:val="0E101A"/>
        </w:rPr>
        <w:t>.</w:t>
      </w:r>
    </w:p>
    <w:p w14:paraId="659A4661" w14:textId="70157DCA" w:rsidR="000D10A8" w:rsidRDefault="000D10A8" w:rsidP="000D10A8"/>
    <w:p w14:paraId="47AA3E7B" w14:textId="77777777" w:rsidR="000D10A8" w:rsidRDefault="000D10A8" w:rsidP="000D10A8">
      <w:pPr>
        <w:jc w:val="both"/>
        <w:rPr>
          <w:rStyle w:val="Strong"/>
          <w:rFonts w:ascii="Times New Roman" w:hAnsi="Times New Roman" w:cs="Times New Roman"/>
          <w:color w:val="0E101A"/>
        </w:rPr>
      </w:pPr>
      <w:r>
        <w:rPr>
          <w:rFonts w:ascii="Times New Roman" w:hAnsi="Times New Roman" w:cs="Times New Roman"/>
          <w:b/>
          <w:bCs/>
          <w:noProof/>
          <w:color w:val="0E101A"/>
        </w:rPr>
        <w:lastRenderedPageBreak/>
        <w:drawing>
          <wp:inline distT="0" distB="0" distL="0" distR="0" wp14:anchorId="5ADB074B" wp14:editId="1FB39BF1">
            <wp:extent cx="4572000" cy="3201870"/>
            <wp:effectExtent l="0" t="0" r="0" b="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0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D749" w14:textId="77777777" w:rsidR="000D10A8" w:rsidRDefault="000D10A8" w:rsidP="000D10A8">
      <w:pPr>
        <w:jc w:val="both"/>
        <w:rPr>
          <w:rStyle w:val="Strong"/>
          <w:rFonts w:ascii="Times New Roman" w:hAnsi="Times New Roman" w:cs="Times New Roman"/>
          <w:color w:val="0E101A"/>
        </w:rPr>
      </w:pPr>
    </w:p>
    <w:p w14:paraId="51EF0D38" w14:textId="77777777" w:rsidR="000D10A8" w:rsidRPr="00C5169C" w:rsidRDefault="000D10A8" w:rsidP="000D10A8">
      <w:pPr>
        <w:jc w:val="both"/>
        <w:rPr>
          <w:rFonts w:ascii="Times New Roman" w:hAnsi="Times New Roman" w:cs="Times New Roman"/>
        </w:rPr>
      </w:pPr>
      <w:r w:rsidRPr="00C5169C">
        <w:rPr>
          <w:rStyle w:val="Strong"/>
          <w:rFonts w:ascii="Times New Roman" w:hAnsi="Times New Roman" w:cs="Times New Roman"/>
          <w:color w:val="0E101A"/>
        </w:rPr>
        <w:t>Figure S</w:t>
      </w:r>
      <w:r>
        <w:rPr>
          <w:rStyle w:val="Strong"/>
          <w:rFonts w:ascii="Times New Roman" w:hAnsi="Times New Roman" w:cs="Times New Roman"/>
          <w:color w:val="0E101A"/>
        </w:rPr>
        <w:t>7.</w:t>
      </w:r>
      <w:r w:rsidRPr="00C5169C">
        <w:rPr>
          <w:rStyle w:val="Strong"/>
          <w:rFonts w:ascii="Times New Roman" w:hAnsi="Times New Roman" w:cs="Times New Roman"/>
          <w:color w:val="0E101A"/>
        </w:rPr>
        <w:t xml:space="preserve"> Transcriptional defects due to the loss of the AT-hook. </w:t>
      </w:r>
      <w:r w:rsidRPr="00671A23">
        <w:rPr>
          <w:rFonts w:ascii="Times New Roman" w:hAnsi="Times New Roman" w:cs="Times New Roman"/>
          <w:b/>
          <w:bCs/>
          <w:color w:val="0E101A"/>
        </w:rPr>
        <w:t>(a-b)</w:t>
      </w:r>
      <w:r w:rsidRPr="00C5169C">
        <w:rPr>
          <w:rFonts w:ascii="Times New Roman" w:hAnsi="Times New Roman" w:cs="Times New Roman"/>
          <w:color w:val="0E101A"/>
        </w:rPr>
        <w:t xml:space="preserve"> Meta-analysis of PRO-seq signals (upstream TSS -100 bp to +300 bp downstream of TSS) for paused genes up-regulated in WT (</w:t>
      </w:r>
      <w:r>
        <w:rPr>
          <w:rFonts w:ascii="Times New Roman" w:hAnsi="Times New Roman" w:cs="Times New Roman"/>
          <w:color w:val="0E101A"/>
        </w:rPr>
        <w:t>a</w:t>
      </w:r>
      <w:r w:rsidRPr="00C5169C">
        <w:rPr>
          <w:rFonts w:ascii="Times New Roman" w:hAnsi="Times New Roman" w:cs="Times New Roman"/>
          <w:color w:val="0E101A"/>
        </w:rPr>
        <w:t>) and dAT2 mutant (</w:t>
      </w:r>
      <w:r>
        <w:rPr>
          <w:rFonts w:ascii="Times New Roman" w:hAnsi="Times New Roman" w:cs="Times New Roman"/>
          <w:color w:val="0E101A"/>
        </w:rPr>
        <w:t>b</w:t>
      </w:r>
      <w:r w:rsidRPr="00C5169C">
        <w:rPr>
          <w:rFonts w:ascii="Times New Roman" w:hAnsi="Times New Roman" w:cs="Times New Roman"/>
          <w:color w:val="0E101A"/>
        </w:rPr>
        <w:t xml:space="preserve">) in naïve condition. </w:t>
      </w:r>
      <w:r w:rsidRPr="00671A23">
        <w:rPr>
          <w:rFonts w:ascii="Times New Roman" w:hAnsi="Times New Roman" w:cs="Times New Roman"/>
          <w:b/>
          <w:bCs/>
          <w:color w:val="0E101A"/>
        </w:rPr>
        <w:t>(c-d)</w:t>
      </w:r>
      <w:r w:rsidRPr="00C5169C">
        <w:rPr>
          <w:rFonts w:ascii="Times New Roman" w:hAnsi="Times New Roman" w:cs="Times New Roman"/>
          <w:color w:val="0E101A"/>
        </w:rPr>
        <w:t xml:space="preserve"> Meta-analysis of PRO-seq signals (upstream TSS -100 bp to +300 bp downstream of TSS) for paused genes up-regulated in WT (</w:t>
      </w:r>
      <w:r>
        <w:rPr>
          <w:rFonts w:ascii="Times New Roman" w:hAnsi="Times New Roman" w:cs="Times New Roman"/>
          <w:color w:val="0E101A"/>
        </w:rPr>
        <w:t>c</w:t>
      </w:r>
      <w:r w:rsidRPr="00C5169C">
        <w:rPr>
          <w:rFonts w:ascii="Times New Roman" w:hAnsi="Times New Roman" w:cs="Times New Roman"/>
          <w:color w:val="0E101A"/>
        </w:rPr>
        <w:t>) and dAT2 mutant (</w:t>
      </w:r>
      <w:r>
        <w:rPr>
          <w:rFonts w:ascii="Times New Roman" w:hAnsi="Times New Roman" w:cs="Times New Roman"/>
          <w:color w:val="0E101A"/>
        </w:rPr>
        <w:t>d</w:t>
      </w:r>
      <w:r w:rsidRPr="00C5169C">
        <w:rPr>
          <w:rFonts w:ascii="Times New Roman" w:hAnsi="Times New Roman" w:cs="Times New Roman"/>
          <w:color w:val="0E101A"/>
        </w:rPr>
        <w:t>) in Primed condition.</w:t>
      </w:r>
    </w:p>
    <w:p w14:paraId="0387A35A" w14:textId="76D6E41C" w:rsidR="000D10A8" w:rsidRDefault="000D10A8" w:rsidP="000D10A8"/>
    <w:p w14:paraId="0BBFC610" w14:textId="77777777" w:rsidR="000D10A8" w:rsidRDefault="000D10A8" w:rsidP="000D10A8">
      <w:pPr>
        <w:pStyle w:val="paragraph"/>
        <w:jc w:val="both"/>
        <w:textAlignment w:val="baseline"/>
        <w:rPr>
          <w:rStyle w:val="normaltextrun"/>
          <w:b/>
          <w:bCs/>
          <w:color w:val="0E101A"/>
        </w:rPr>
      </w:pPr>
      <w:r>
        <w:rPr>
          <w:b/>
          <w:bCs/>
          <w:noProof/>
          <w:color w:val="0E101A"/>
        </w:rPr>
        <w:lastRenderedPageBreak/>
        <w:drawing>
          <wp:inline distT="0" distB="0" distL="0" distR="0" wp14:anchorId="33C2EDCF" wp14:editId="5829F02B">
            <wp:extent cx="5943600" cy="6003925"/>
            <wp:effectExtent l="0" t="0" r="0" b="3175"/>
            <wp:docPr id="8" name="Picture 8" descr="A picture containing text, stationa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stationar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DF814" w14:textId="77777777" w:rsidR="000D10A8" w:rsidRPr="00B877A4" w:rsidRDefault="000D10A8" w:rsidP="000D10A8">
      <w:pPr>
        <w:pStyle w:val="paragraph"/>
        <w:jc w:val="both"/>
        <w:textAlignment w:val="baseline"/>
      </w:pPr>
      <w:r>
        <w:rPr>
          <w:rStyle w:val="normaltextrun"/>
          <w:b/>
          <w:bCs/>
          <w:color w:val="0E101A"/>
        </w:rPr>
        <w:t xml:space="preserve">Figure S8. Deletion of AT-hook does not affect Brg1 localization and accessibility at promoter regions. </w:t>
      </w:r>
      <w:r>
        <w:rPr>
          <w:rStyle w:val="normaltextrun"/>
          <w:color w:val="0E101A"/>
        </w:rPr>
        <w:t>(</w:t>
      </w:r>
      <w:r>
        <w:rPr>
          <w:rStyle w:val="normaltextrun"/>
          <w:b/>
          <w:bCs/>
          <w:color w:val="0E101A"/>
        </w:rPr>
        <w:t>a-b)</w:t>
      </w:r>
      <w:r>
        <w:rPr>
          <w:rStyle w:val="normaltextrun"/>
          <w:color w:val="0E101A"/>
        </w:rPr>
        <w:t xml:space="preserve"> Heatmaps show localization of Brg1 (blue) and active histone mark H3K4m3 (red) in WT and AT-hook deletion clones at the promoter regions of differential genes that are being shared between dAT1 and dAT2 clones. ChIP-signals are sorted based on WT Brg1. (</w:t>
      </w:r>
      <w:r>
        <w:rPr>
          <w:rStyle w:val="normaltextrun"/>
          <w:b/>
          <w:bCs/>
          <w:color w:val="0E101A"/>
        </w:rPr>
        <w:t>c-f)</w:t>
      </w:r>
      <w:r>
        <w:rPr>
          <w:rStyle w:val="normaltextrun"/>
          <w:color w:val="0E101A"/>
        </w:rPr>
        <w:t xml:space="preserve"> Box plots showing average ATAC-seq signals in WT and dAT mutants at the promoter regions of genes. N represents the number of genes in each group.</w:t>
      </w:r>
      <w:r>
        <w:rPr>
          <w:rStyle w:val="eop"/>
          <w:color w:val="0E101A"/>
        </w:rPr>
        <w:t> </w:t>
      </w:r>
      <w:r w:rsidRPr="006E5DCE">
        <w:rPr>
          <w:rStyle w:val="eop"/>
          <w:b/>
          <w:bCs/>
          <w:color w:val="0E101A"/>
        </w:rPr>
        <w:t>(g)</w:t>
      </w:r>
      <w:r>
        <w:rPr>
          <w:rStyle w:val="eop"/>
          <w:b/>
          <w:bCs/>
          <w:color w:val="0E101A"/>
        </w:rPr>
        <w:t xml:space="preserve"> </w:t>
      </w:r>
      <w:r>
        <w:rPr>
          <w:rStyle w:val="eop"/>
          <w:color w:val="0E101A"/>
        </w:rPr>
        <w:t>Bar graph showing the percentage of differential-regulated genes (DE-genes) are located near the state-specific ATAC-seq peaks showing enhancer marks.</w:t>
      </w:r>
    </w:p>
    <w:p w14:paraId="31F55499" w14:textId="726A11F7" w:rsidR="375737FB" w:rsidRDefault="375737FB" w:rsidP="375737FB">
      <w:pPr>
        <w:pStyle w:val="paragraph"/>
        <w:jc w:val="both"/>
        <w:rPr>
          <w:rStyle w:val="eop"/>
          <w:color w:val="0E101A"/>
        </w:rPr>
      </w:pPr>
    </w:p>
    <w:p w14:paraId="652329ED" w14:textId="44C38F17" w:rsidR="6B5432C6" w:rsidRDefault="6B5432C6" w:rsidP="375737FB">
      <w:pPr>
        <w:jc w:val="both"/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7F9D7381" wp14:editId="7A8079B8">
            <wp:extent cx="5943600" cy="2638425"/>
            <wp:effectExtent l="0" t="0" r="0" b="0"/>
            <wp:docPr id="1805778790" name="Picture 1805778790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D59D" w14:textId="1EA5EEBE" w:rsidR="375737FB" w:rsidRDefault="375737FB" w:rsidP="375737FB">
      <w:pPr>
        <w:jc w:val="both"/>
        <w:rPr>
          <w:rFonts w:ascii="Calibri" w:eastAsia="Calibri" w:hAnsi="Calibri" w:cs="Calibri"/>
        </w:rPr>
      </w:pPr>
    </w:p>
    <w:p w14:paraId="03DF6174" w14:textId="1255527B" w:rsidR="375737FB" w:rsidRDefault="375737FB" w:rsidP="375737FB">
      <w:pPr>
        <w:jc w:val="both"/>
        <w:rPr>
          <w:rFonts w:ascii="Calibri" w:eastAsia="Calibri" w:hAnsi="Calibri" w:cs="Calibri"/>
        </w:rPr>
      </w:pPr>
    </w:p>
    <w:p w14:paraId="017630BE" w14:textId="4184345E" w:rsidR="6B5432C6" w:rsidRDefault="6B5432C6" w:rsidP="375737FB">
      <w:pPr>
        <w:jc w:val="both"/>
        <w:rPr>
          <w:rFonts w:ascii="Times New Roman" w:eastAsia="Times New Roman" w:hAnsi="Times New Roman" w:cs="Times New Roman"/>
        </w:rPr>
      </w:pPr>
      <w:r w:rsidRPr="375737FB">
        <w:rPr>
          <w:rFonts w:ascii="Times New Roman" w:eastAsia="Times New Roman" w:hAnsi="Times New Roman" w:cs="Times New Roman"/>
          <w:b/>
          <w:bCs/>
        </w:rPr>
        <w:t xml:space="preserve">Figure S9. Brg1 AT-hook is dispensable for maintaining </w:t>
      </w:r>
      <w:r w:rsidRPr="375737FB">
        <w:rPr>
          <w:rStyle w:val="normaltextrun"/>
          <w:rFonts w:ascii="Times New Roman" w:eastAsia="Times New Roman" w:hAnsi="Times New Roman" w:cs="Times New Roman"/>
          <w:b/>
          <w:bCs/>
          <w:color w:val="0E101A"/>
        </w:rPr>
        <w:t>pluripotency phenotype.</w:t>
      </w:r>
      <w:r w:rsidRPr="375737FB">
        <w:rPr>
          <w:rStyle w:val="normaltextrun"/>
          <w:rFonts w:ascii="Times New Roman" w:eastAsia="Times New Roman" w:hAnsi="Times New Roman" w:cs="Times New Roman"/>
          <w:color w:val="0E101A"/>
        </w:rPr>
        <w:t> (</w:t>
      </w:r>
      <w:r w:rsidRPr="375737FB">
        <w:rPr>
          <w:rStyle w:val="normaltextrun"/>
          <w:rFonts w:ascii="Times New Roman" w:eastAsia="Times New Roman" w:hAnsi="Times New Roman" w:cs="Times New Roman"/>
          <w:b/>
          <w:bCs/>
          <w:color w:val="0E101A"/>
        </w:rPr>
        <w:t>a)</w:t>
      </w:r>
      <w:r w:rsidRPr="375737FB">
        <w:rPr>
          <w:rStyle w:val="normaltextrun"/>
          <w:rFonts w:ascii="Times New Roman" w:eastAsia="Times New Roman" w:hAnsi="Times New Roman" w:cs="Times New Roman"/>
          <w:color w:val="0E101A"/>
        </w:rPr>
        <w:t> Morphology of wildtype (WT) and AT-hook deletion mutants (dAT1 and dAT2) mESCs grown in naïve [(LIF/2i media supplemented with leukemia inhibitory factor (LIF), MAP/ERK kinase inhibitor (MEKi), glycogen synthase kinase 3 beta inhibitor (GSK3βi)] and primed [(media supplemented activin A, fibroblast growth factor 2 (FGF2)] conditions. (</w:t>
      </w:r>
      <w:r w:rsidRPr="375737FB">
        <w:rPr>
          <w:rStyle w:val="normaltextrun"/>
          <w:rFonts w:ascii="Times New Roman" w:eastAsia="Times New Roman" w:hAnsi="Times New Roman" w:cs="Times New Roman"/>
          <w:b/>
          <w:bCs/>
          <w:color w:val="0E101A"/>
        </w:rPr>
        <w:t>b)</w:t>
      </w:r>
      <w:r w:rsidRPr="375737FB">
        <w:rPr>
          <w:rStyle w:val="normaltextrun"/>
          <w:rFonts w:ascii="Times New Roman" w:eastAsia="Times New Roman" w:hAnsi="Times New Roman" w:cs="Times New Roman"/>
          <w:color w:val="0E101A"/>
        </w:rPr>
        <w:t xml:space="preserve"> Smarca4/Brg1 expression in WT and AT-hook deletion mutants in naïve state is determined by immunoblotting; α-tubulin as a loading control. </w:t>
      </w:r>
      <w:r w:rsidRPr="375737FB">
        <w:rPr>
          <w:rFonts w:ascii="Times New Roman" w:eastAsia="Times New Roman" w:hAnsi="Times New Roman" w:cs="Times New Roman"/>
        </w:rPr>
        <w:t xml:space="preserve"> </w:t>
      </w:r>
      <w:r w:rsidRPr="375737FB">
        <w:rPr>
          <w:rFonts w:ascii="Times New Roman" w:eastAsia="Times New Roman" w:hAnsi="Times New Roman" w:cs="Times New Roman"/>
          <w:b/>
          <w:bCs/>
        </w:rPr>
        <w:t>(c)</w:t>
      </w:r>
      <w:r w:rsidRPr="375737FB">
        <w:rPr>
          <w:rFonts w:ascii="Times New Roman" w:eastAsia="Times New Roman" w:hAnsi="Times New Roman" w:cs="Times New Roman"/>
        </w:rPr>
        <w:t xml:space="preserve"> Immunofluorescence images showing expression and localization of the pluripotency markers Oct4, Nanog, and Sox2 in WT and AT-hook deleted mutant mESCs in naïve cells (scale bar, 20 micron).</w:t>
      </w:r>
    </w:p>
    <w:p w14:paraId="4DABB478" w14:textId="10165149" w:rsidR="375737FB" w:rsidRDefault="375737FB" w:rsidP="375737FB">
      <w:pPr>
        <w:pStyle w:val="paragraph"/>
        <w:jc w:val="both"/>
        <w:rPr>
          <w:rStyle w:val="eop"/>
          <w:color w:val="0E101A"/>
        </w:rPr>
      </w:pPr>
    </w:p>
    <w:p w14:paraId="2CF9F1D8" w14:textId="77777777" w:rsidR="000D10A8" w:rsidRDefault="000D10A8" w:rsidP="000D10A8"/>
    <w:sectPr w:rsidR="000D1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A8"/>
    <w:rsid w:val="000103EF"/>
    <w:rsid w:val="0001202C"/>
    <w:rsid w:val="00066DE6"/>
    <w:rsid w:val="000D10A8"/>
    <w:rsid w:val="000F5553"/>
    <w:rsid w:val="00111A5D"/>
    <w:rsid w:val="00162B56"/>
    <w:rsid w:val="00166271"/>
    <w:rsid w:val="001F4609"/>
    <w:rsid w:val="001F79A7"/>
    <w:rsid w:val="00233D7B"/>
    <w:rsid w:val="00234EEE"/>
    <w:rsid w:val="00271EE2"/>
    <w:rsid w:val="00277088"/>
    <w:rsid w:val="00281A0E"/>
    <w:rsid w:val="002F2116"/>
    <w:rsid w:val="002F2C39"/>
    <w:rsid w:val="0031091D"/>
    <w:rsid w:val="00323FFD"/>
    <w:rsid w:val="003A585C"/>
    <w:rsid w:val="003B59BD"/>
    <w:rsid w:val="00476846"/>
    <w:rsid w:val="004A6C0B"/>
    <w:rsid w:val="004D1D8A"/>
    <w:rsid w:val="004E7812"/>
    <w:rsid w:val="005C7887"/>
    <w:rsid w:val="005D1A3D"/>
    <w:rsid w:val="005E0134"/>
    <w:rsid w:val="00615946"/>
    <w:rsid w:val="00645AD6"/>
    <w:rsid w:val="006E211C"/>
    <w:rsid w:val="00745599"/>
    <w:rsid w:val="00760301"/>
    <w:rsid w:val="00760C03"/>
    <w:rsid w:val="007930A0"/>
    <w:rsid w:val="007A5411"/>
    <w:rsid w:val="007C2551"/>
    <w:rsid w:val="008133AE"/>
    <w:rsid w:val="00845871"/>
    <w:rsid w:val="008756DD"/>
    <w:rsid w:val="00891BF0"/>
    <w:rsid w:val="008A143E"/>
    <w:rsid w:val="008A3E31"/>
    <w:rsid w:val="008A5892"/>
    <w:rsid w:val="008A6954"/>
    <w:rsid w:val="008E2F00"/>
    <w:rsid w:val="008F4DC5"/>
    <w:rsid w:val="00990982"/>
    <w:rsid w:val="009D635D"/>
    <w:rsid w:val="00A64BD4"/>
    <w:rsid w:val="00AA7893"/>
    <w:rsid w:val="00AB67C4"/>
    <w:rsid w:val="00AE254C"/>
    <w:rsid w:val="00B334E0"/>
    <w:rsid w:val="00B40810"/>
    <w:rsid w:val="00B60BA5"/>
    <w:rsid w:val="00B95CC2"/>
    <w:rsid w:val="00BE1527"/>
    <w:rsid w:val="00C24FBF"/>
    <w:rsid w:val="00C256DC"/>
    <w:rsid w:val="00C46482"/>
    <w:rsid w:val="00C525A0"/>
    <w:rsid w:val="00CC1CFE"/>
    <w:rsid w:val="00D14BBF"/>
    <w:rsid w:val="00D86785"/>
    <w:rsid w:val="00D87BA2"/>
    <w:rsid w:val="00DA3E13"/>
    <w:rsid w:val="00E043FF"/>
    <w:rsid w:val="00E22406"/>
    <w:rsid w:val="00E25DAF"/>
    <w:rsid w:val="00E32B62"/>
    <w:rsid w:val="00E65604"/>
    <w:rsid w:val="00E7618E"/>
    <w:rsid w:val="00E9056A"/>
    <w:rsid w:val="00F21AEE"/>
    <w:rsid w:val="00F80DB4"/>
    <w:rsid w:val="00FC1438"/>
    <w:rsid w:val="00FD5867"/>
    <w:rsid w:val="375737FB"/>
    <w:rsid w:val="626C4831"/>
    <w:rsid w:val="6B54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229DC"/>
  <w15:chartTrackingRefBased/>
  <w15:docId w15:val="{9F90F23E-8CFB-E042-B0BD-CBA1A6DA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D10A8"/>
  </w:style>
  <w:style w:type="paragraph" w:customStyle="1" w:styleId="paragraph">
    <w:name w:val="paragraph"/>
    <w:basedOn w:val="Normal"/>
    <w:rsid w:val="000D10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D10A8"/>
    <w:rPr>
      <w:b/>
      <w:bCs/>
    </w:rPr>
  </w:style>
  <w:style w:type="character" w:customStyle="1" w:styleId="eop">
    <w:name w:val="eop"/>
    <w:basedOn w:val="DefaultParagraphFont"/>
    <w:rsid w:val="000D1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Bartholomew,Blaine</dc:creator>
  <cp:keywords/>
  <dc:description/>
  <cp:lastModifiedBy>Bartholomew,Blaine</cp:lastModifiedBy>
  <cp:revision>2</cp:revision>
  <dcterms:created xsi:type="dcterms:W3CDTF">2022-12-30T21:09:00Z</dcterms:created>
  <dcterms:modified xsi:type="dcterms:W3CDTF">2022-12-30T21:09:00Z</dcterms:modified>
</cp:coreProperties>
</file>