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9EEC" w14:textId="77777777"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Figure 1. Study design and genomic differences between BM NSCLC and primary tissue (PT) or extracranial metastatic (EM) sites</w:t>
      </w:r>
    </w:p>
    <w:p w14:paraId="65487A0E" w14:textId="5D87688D"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A: Figure 1. Study design and genomic differences between BM NSCLC and primary tissue (PT) or extracranial metastatic (EM) sites</w:t>
      </w:r>
    </w:p>
    <w:p w14:paraId="287F5F60"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A: Overview of study design</w:t>
      </w:r>
    </w:p>
    <w:p w14:paraId="397ABC1E"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B: Comparison of broad genomic features between brain metastases (BM) samples, extracranial metastases (EM) samples, and primary tumor (PT) samples.</w:t>
      </w:r>
    </w:p>
    <w:p w14:paraId="348FA75C"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 xml:space="preserve">1, C: </w:t>
      </w:r>
      <w:proofErr w:type="spellStart"/>
      <w:r w:rsidRPr="00E24C77">
        <w:rPr>
          <w:rFonts w:ascii="Calibri" w:hAnsi="Calibri" w:cs="Calibri"/>
          <w:color w:val="000000"/>
          <w:sz w:val="22"/>
          <w:szCs w:val="22"/>
        </w:rPr>
        <w:t>Oncoprint</w:t>
      </w:r>
      <w:proofErr w:type="spellEnd"/>
      <w:r w:rsidRPr="00E24C77">
        <w:rPr>
          <w:rFonts w:ascii="Calibri" w:hAnsi="Calibri" w:cs="Calibri"/>
          <w:color w:val="000000"/>
          <w:sz w:val="22"/>
          <w:szCs w:val="22"/>
        </w:rPr>
        <w:t xml:space="preserve"> depicting the most frequent oncogenic alterations in BM, EM, and PT samples.</w:t>
      </w:r>
    </w:p>
    <w:p w14:paraId="061453CF"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D: Comparison of oncogenic signaling pathway alterations across BM, EM, and PT samples.</w:t>
      </w:r>
    </w:p>
    <w:p w14:paraId="54DFE871"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E: Genome-wide copy number profiles for BM, PT, and EM samples.</w:t>
      </w:r>
    </w:p>
    <w:p w14:paraId="2CE51264" w14:textId="77777777"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Figure 2. Paired analysis</w:t>
      </w:r>
    </w:p>
    <w:p w14:paraId="6AFF49E9"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A: Overview of mutations that were either shared or unique when comparing BM to PT/EM samples when BM samples were obtained before PT/EM samples; the bar plot at the bottom represents the most frequently mutated genes that were private to the BM samples</w:t>
      </w:r>
    </w:p>
    <w:p w14:paraId="5EC369B3"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B: Overview of mutations that were either shared or unique when comparing BM to PT/EM samples when BM samples were obtained after PT/EM samples; the bar plot at the bottom represents the most frequently mutated genes that were private to the BM samples</w:t>
      </w:r>
    </w:p>
    <w:p w14:paraId="09BAF430"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C: Overview of mutations that were either shared or unique when comparing BM to CSF samples when BM samples were obtained before CSF samples; the asterisk indicates one patient in which CSF was obtained before BM sample. The bar plot at the bottom represents the most frequently mutated genes that were private to the BM samples.</w:t>
      </w:r>
    </w:p>
    <w:p w14:paraId="64368816"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 xml:space="preserve">2, D: Shared and unique mutations between patients with synchronous BM and PT/EM tumors. </w:t>
      </w:r>
      <w:proofErr w:type="spellStart"/>
      <w:r w:rsidRPr="00E24C77">
        <w:rPr>
          <w:rFonts w:ascii="Calibri" w:hAnsi="Calibri" w:cs="Calibri"/>
          <w:color w:val="000000"/>
          <w:sz w:val="22"/>
          <w:szCs w:val="22"/>
        </w:rPr>
        <w:t>Oncoprint</w:t>
      </w:r>
      <w:proofErr w:type="spellEnd"/>
      <w:r w:rsidRPr="00E24C77">
        <w:rPr>
          <w:rFonts w:ascii="Calibri" w:hAnsi="Calibri" w:cs="Calibri"/>
          <w:color w:val="000000"/>
          <w:sz w:val="22"/>
          <w:szCs w:val="22"/>
        </w:rPr>
        <w:t xml:space="preserve"> depicts the types of mutations across the samples per patient.</w:t>
      </w:r>
    </w:p>
    <w:p w14:paraId="1B0FAC1B"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 xml:space="preserve">2, E: </w:t>
      </w:r>
      <w:proofErr w:type="spellStart"/>
      <w:r w:rsidRPr="00E24C77">
        <w:rPr>
          <w:rFonts w:ascii="Calibri" w:hAnsi="Calibri" w:cs="Calibri"/>
          <w:color w:val="000000"/>
          <w:sz w:val="22"/>
          <w:szCs w:val="22"/>
        </w:rPr>
        <w:t>Oncoprint</w:t>
      </w:r>
      <w:proofErr w:type="spellEnd"/>
      <w:r w:rsidRPr="00E24C77">
        <w:rPr>
          <w:rFonts w:ascii="Calibri" w:hAnsi="Calibri" w:cs="Calibri"/>
          <w:color w:val="000000"/>
          <w:sz w:val="22"/>
          <w:szCs w:val="22"/>
        </w:rPr>
        <w:t xml:space="preserve"> of BM tumor pairs from patients with multiple BM samples showing shared and unique alterations.</w:t>
      </w:r>
    </w:p>
    <w:p w14:paraId="434A41CE"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F: Patient vignettes for two patients with multiple samples per patient. Tumor locations are shown in the body maps and the intervals of time between samplings are depicted at the bottom. Oncogenic alterations identified for each tumor are written out, colored by whether they were shared or unique.</w:t>
      </w:r>
    </w:p>
    <w:p w14:paraId="12CB45F1" w14:textId="77777777"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Figure 3. Clinical and genomic correlates including disease progression in BM LUAD cohort</w:t>
      </w:r>
    </w:p>
    <w:p w14:paraId="1B46FAAE"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 xml:space="preserve">3, A: Scatterplots comparing driver alteration frequencies between (left to right): BM samples found at diagnosis versus BM samples found as progression of disease, BM samples from patients with one BM at diagnosis versus BM samples from patients with multiple BMs at diagnosis, treatment naïve BM samples </w:t>
      </w:r>
      <w:r w:rsidRPr="00E24C77">
        <w:rPr>
          <w:rFonts w:ascii="Calibri" w:hAnsi="Calibri" w:cs="Calibri"/>
          <w:color w:val="000000"/>
          <w:sz w:val="22"/>
          <w:szCs w:val="22"/>
        </w:rPr>
        <w:lastRenderedPageBreak/>
        <w:t>versus BM samples from patients with prior treatment, and BM samples from patients with no prior tyrosine kinase inhibitor (TKI) treatment versus BM samples from patients with prior TKI treatment. Genes altered in at least 25% of one of the groups being compared are shown and red coloring of a point indicates significance.</w:t>
      </w:r>
    </w:p>
    <w:p w14:paraId="0D0BADAC"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3, B: Overall survival (OS) in BM LUAD group from the time of BM diagnosis</w:t>
      </w:r>
    </w:p>
    <w:p w14:paraId="14124567"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3, C: Progression free survival (PFS) in BM LUAD group from the time of BM diagnosis</w:t>
      </w:r>
    </w:p>
    <w:p w14:paraId="1BFD3073"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3, D: Comparison of oncogenic alterations in BM samples from patients with different types of intracranial disease progression. Comparisons with significant p-value results are shown with the presence of an asterisk by their alteration frequency. The color of the asterisk indicates which groups were being compared.</w:t>
      </w:r>
    </w:p>
    <w:p w14:paraId="5B386FD0"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3, E: Pathway-level alterations between BM samples from patients with different types of intracranial disease progression.</w:t>
      </w:r>
    </w:p>
    <w:p w14:paraId="1F2655B5" w14:textId="77777777"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 xml:space="preserve">Figure 4. </w:t>
      </w:r>
      <w:r w:rsidRPr="00E24C77">
        <w:rPr>
          <w:rFonts w:ascii="Calibri" w:hAnsi="Calibri" w:cs="Calibri"/>
          <w:b/>
          <w:bCs/>
          <w:i/>
          <w:iCs/>
          <w:color w:val="000000"/>
          <w:sz w:val="22"/>
          <w:szCs w:val="22"/>
        </w:rPr>
        <w:t>EGFR</w:t>
      </w:r>
      <w:r w:rsidRPr="00E24C77">
        <w:rPr>
          <w:rFonts w:ascii="Calibri" w:hAnsi="Calibri" w:cs="Calibri"/>
          <w:b/>
          <w:bCs/>
          <w:color w:val="000000"/>
          <w:sz w:val="22"/>
          <w:szCs w:val="22"/>
        </w:rPr>
        <w:t xml:space="preserve"> alteration distributions and individual patient cases</w:t>
      </w:r>
    </w:p>
    <w:p w14:paraId="1CB2BDBF"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4, A: Lollipop plot (on the left) of EGFR depicting the most common sites of mutations in the BM samples. The kinase domain is blown out to show the types of mutations by the type of intracranial progression. The stacked bar plot (on the right) depicts the most common types of mutations stratified by the type of intracranial progression.</w:t>
      </w:r>
    </w:p>
    <w:p w14:paraId="10261CAF"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4, B: Vignette of patient B with three sequenced samples. The disease timeline depicting the treatment the patient received and tumor samplings is shown beneath, along with what oncogenic alterations were shared or unique to each of the samples.</w:t>
      </w:r>
    </w:p>
    <w:p w14:paraId="21272651"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4, C: Vignette of patient C with multiple sequenced samples. The disease depicting the treatment the patient received and tumor samplings is shown beneath, along with what oncogenic alterations were shared or unique to each of the samples and the circulating tumor cells (CTC) count at each sampling.</w:t>
      </w:r>
    </w:p>
    <w:p w14:paraId="75F5A280" w14:textId="41E2DB32"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 xml:space="preserve">Supplemental </w:t>
      </w:r>
      <w:r w:rsidR="00B916C3" w:rsidRPr="00E24C77">
        <w:rPr>
          <w:rFonts w:ascii="Calibri" w:hAnsi="Calibri" w:cs="Calibri"/>
          <w:b/>
          <w:bCs/>
          <w:color w:val="000000"/>
          <w:sz w:val="22"/>
          <w:szCs w:val="22"/>
        </w:rPr>
        <w:t>F</w:t>
      </w:r>
      <w:r w:rsidRPr="00E24C77">
        <w:rPr>
          <w:rFonts w:ascii="Calibri" w:hAnsi="Calibri" w:cs="Calibri"/>
          <w:b/>
          <w:bCs/>
          <w:color w:val="000000"/>
          <w:sz w:val="22"/>
          <w:szCs w:val="22"/>
        </w:rPr>
        <w:t>igure 1. Genomic differences of BM NSCLC based on different histologic types and frequency of genomic alterations in primary tumors with different metastatic disease status</w:t>
      </w:r>
    </w:p>
    <w:p w14:paraId="6B6807BA"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 xml:space="preserve">1, A: Comparison of the oncogenic alterations at both the gene and pathway level between BM samples of different histologic subtypes (LUAD – lung adenocarcinoma, SCC – squamous cell carcinoma, other – other NSCLC </w:t>
      </w:r>
      <w:proofErr w:type="spellStart"/>
      <w:r w:rsidRPr="00E24C77">
        <w:rPr>
          <w:rFonts w:ascii="Calibri" w:hAnsi="Calibri" w:cs="Calibri"/>
          <w:color w:val="000000"/>
          <w:sz w:val="22"/>
          <w:szCs w:val="22"/>
        </w:rPr>
        <w:t>histologies</w:t>
      </w:r>
      <w:proofErr w:type="spellEnd"/>
      <w:r w:rsidRPr="00E24C77">
        <w:rPr>
          <w:rFonts w:ascii="Calibri" w:hAnsi="Calibri" w:cs="Calibri"/>
          <w:color w:val="000000"/>
          <w:sz w:val="22"/>
          <w:szCs w:val="22"/>
        </w:rPr>
        <w:t>)</w:t>
      </w:r>
    </w:p>
    <w:p w14:paraId="10FD54E6"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B: Comparison of the genome-wide copy number profiles for LUAD, SCC, and other histologic subtypes shown on top, and a comparison of the tumor mutation burden (TMB) and fraction genome altered (FGA) by histologic subtype shown on the bottom.</w:t>
      </w:r>
    </w:p>
    <w:p w14:paraId="61AEA570"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C: Purity-corrected fraction genome altered comparison between BM, EM, and PT samples.</w:t>
      </w:r>
    </w:p>
    <w:p w14:paraId="040DA823"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1, D: Comparison of oncogenic alterations at both the gene- and pathway-level between BM, PT, and EM samples, restricting only to LUAD samples.</w:t>
      </w:r>
    </w:p>
    <w:p w14:paraId="1AF7F027"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lastRenderedPageBreak/>
        <w:t>1, E: Comparison of oncogenic alterations at both the gene- and pathway-level between primary LUAD samples from patients with BM (PT LUAD BM+), primary LUAD samples from metastatic patients without BM (PT LUAD BM-, EM+), and primary LUAD samples from non-metastatic patients (PT LUAD BM-, EM-).</w:t>
      </w:r>
    </w:p>
    <w:p w14:paraId="34C4CCCE" w14:textId="107F17DC" w:rsidR="00393AD9" w:rsidRPr="00E24C77" w:rsidRDefault="00393AD9" w:rsidP="00393AD9">
      <w:pPr>
        <w:pStyle w:val="NormalWeb"/>
        <w:rPr>
          <w:rFonts w:ascii="Calibri" w:hAnsi="Calibri" w:cs="Calibri"/>
          <w:b/>
          <w:bCs/>
          <w:color w:val="000000"/>
          <w:sz w:val="22"/>
          <w:szCs w:val="22"/>
        </w:rPr>
      </w:pPr>
      <w:r w:rsidRPr="00E24C77">
        <w:rPr>
          <w:rFonts w:ascii="Calibri" w:hAnsi="Calibri" w:cs="Calibri"/>
          <w:b/>
          <w:bCs/>
          <w:color w:val="000000"/>
          <w:sz w:val="22"/>
          <w:szCs w:val="22"/>
        </w:rPr>
        <w:t xml:space="preserve">Supplemental </w:t>
      </w:r>
      <w:r w:rsidR="00B916C3" w:rsidRPr="00E24C77">
        <w:rPr>
          <w:rFonts w:ascii="Calibri" w:hAnsi="Calibri" w:cs="Calibri"/>
          <w:b/>
          <w:bCs/>
          <w:color w:val="000000"/>
          <w:sz w:val="22"/>
          <w:szCs w:val="22"/>
        </w:rPr>
        <w:t>F</w:t>
      </w:r>
      <w:r w:rsidRPr="00E24C77">
        <w:rPr>
          <w:rFonts w:ascii="Calibri" w:hAnsi="Calibri" w:cs="Calibri"/>
          <w:b/>
          <w:bCs/>
          <w:color w:val="000000"/>
          <w:sz w:val="22"/>
          <w:szCs w:val="22"/>
        </w:rPr>
        <w:t>igure 2. Further genomic characterization of disease progression groups</w:t>
      </w:r>
    </w:p>
    <w:p w14:paraId="4219CDBA" w14:textId="3EF7C135" w:rsidR="00760A8C" w:rsidRPr="00E24C77" w:rsidRDefault="00393AD9" w:rsidP="00760A8C">
      <w:pPr>
        <w:pStyle w:val="NormalWeb"/>
        <w:rPr>
          <w:rFonts w:ascii="Calibri" w:hAnsi="Calibri" w:cs="Calibri"/>
          <w:color w:val="000000"/>
          <w:sz w:val="22"/>
          <w:szCs w:val="22"/>
        </w:rPr>
      </w:pPr>
      <w:r w:rsidRPr="00E24C77">
        <w:rPr>
          <w:rFonts w:ascii="Calibri" w:hAnsi="Calibri" w:cs="Calibri"/>
          <w:color w:val="000000"/>
          <w:sz w:val="22"/>
          <w:szCs w:val="22"/>
        </w:rPr>
        <w:t xml:space="preserve">2, A: Oncogenic mutations that were shared </w:t>
      </w:r>
      <w:r w:rsidR="00760A8C" w:rsidRPr="00E24C77">
        <w:rPr>
          <w:rFonts w:ascii="Calibri" w:hAnsi="Calibri" w:cs="Calibri"/>
          <w:color w:val="000000"/>
          <w:sz w:val="22"/>
          <w:szCs w:val="22"/>
        </w:rPr>
        <w:t xml:space="preserve">between PT/EM </w:t>
      </w:r>
      <w:r w:rsidR="00760A8C" w:rsidRPr="00E24C77">
        <w:rPr>
          <w:rFonts w:ascii="Calibri" w:hAnsi="Calibri" w:cs="Calibri"/>
          <w:color w:val="000000"/>
          <w:sz w:val="22"/>
          <w:szCs w:val="22"/>
        </w:rPr>
        <w:t xml:space="preserve">and </w:t>
      </w:r>
      <w:r w:rsidR="00760A8C" w:rsidRPr="00E24C77">
        <w:rPr>
          <w:rFonts w:ascii="Calibri" w:hAnsi="Calibri" w:cs="Calibri"/>
          <w:color w:val="000000"/>
          <w:sz w:val="22"/>
          <w:szCs w:val="22"/>
        </w:rPr>
        <w:t>BM tumor samples when the PT/EM sampling occurred later.</w:t>
      </w:r>
    </w:p>
    <w:p w14:paraId="60EC6B63" w14:textId="72F6334E" w:rsidR="00393AD9" w:rsidRPr="00E24C77" w:rsidRDefault="00393AD9" w:rsidP="00760A8C">
      <w:pPr>
        <w:pStyle w:val="NormalWeb"/>
        <w:rPr>
          <w:rFonts w:ascii="Calibri" w:hAnsi="Calibri" w:cs="Calibri"/>
          <w:color w:val="000000"/>
          <w:sz w:val="22"/>
          <w:szCs w:val="22"/>
        </w:rPr>
      </w:pPr>
      <w:r w:rsidRPr="00E24C77">
        <w:rPr>
          <w:rFonts w:ascii="Calibri" w:hAnsi="Calibri" w:cs="Calibri"/>
          <w:color w:val="000000"/>
          <w:sz w:val="22"/>
          <w:szCs w:val="22"/>
        </w:rPr>
        <w:t>2, B: Oncogenic mutations that were shared between BM and PT/EM tumor samples when the BM sampling occurred later.</w:t>
      </w:r>
    </w:p>
    <w:p w14:paraId="68E08C67"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C: Oncogenic mutations that were shared between BM and CSF samples.</w:t>
      </w:r>
    </w:p>
    <w:p w14:paraId="09774AA6"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D: Heatmap of the oncogenic alteration frequencies within the RTK-RAS pathway, stratified by the type of intracranial progression.</w:t>
      </w:r>
    </w:p>
    <w:p w14:paraId="4077861D" w14:textId="77777777" w:rsidR="00393AD9" w:rsidRPr="00E24C77" w:rsidRDefault="00393AD9" w:rsidP="00393AD9">
      <w:pPr>
        <w:pStyle w:val="NormalWeb"/>
        <w:rPr>
          <w:rFonts w:ascii="Calibri" w:hAnsi="Calibri" w:cs="Calibri"/>
          <w:color w:val="000000"/>
          <w:sz w:val="22"/>
          <w:szCs w:val="22"/>
        </w:rPr>
      </w:pPr>
      <w:r w:rsidRPr="00E24C77">
        <w:rPr>
          <w:rFonts w:ascii="Calibri" w:hAnsi="Calibri" w:cs="Calibri"/>
          <w:color w:val="000000"/>
          <w:sz w:val="22"/>
          <w:szCs w:val="22"/>
        </w:rPr>
        <w:t>2, E: Frequency of whole-genome duplication (WGD) stratified by the type of intracranial progression.</w:t>
      </w:r>
    </w:p>
    <w:p w14:paraId="1EAD48BC" w14:textId="77777777" w:rsidR="008F72E8" w:rsidRPr="00E24C77" w:rsidRDefault="008F72E8">
      <w:pPr>
        <w:rPr>
          <w:rFonts w:ascii="Calibri" w:hAnsi="Calibri" w:cs="Calibri"/>
          <w:sz w:val="22"/>
          <w:szCs w:val="22"/>
        </w:rPr>
      </w:pPr>
    </w:p>
    <w:sectPr w:rsidR="008F72E8" w:rsidRPr="00E24C77" w:rsidSect="00BD7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D9"/>
    <w:rsid w:val="002663BE"/>
    <w:rsid w:val="00393AD9"/>
    <w:rsid w:val="00760A8C"/>
    <w:rsid w:val="008F72E8"/>
    <w:rsid w:val="00A97149"/>
    <w:rsid w:val="00B916C3"/>
    <w:rsid w:val="00BD7EA4"/>
    <w:rsid w:val="00E17795"/>
    <w:rsid w:val="00E24C77"/>
    <w:rsid w:val="00F101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AA478A"/>
  <w15:chartTrackingRefBased/>
  <w15:docId w15:val="{6DDCCE24-EF2F-B449-A573-808B900F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3AD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933769">
      <w:bodyDiv w:val="1"/>
      <w:marLeft w:val="0"/>
      <w:marRight w:val="0"/>
      <w:marTop w:val="0"/>
      <w:marBottom w:val="0"/>
      <w:divBdr>
        <w:top w:val="none" w:sz="0" w:space="0" w:color="auto"/>
        <w:left w:val="none" w:sz="0" w:space="0" w:color="auto"/>
        <w:bottom w:val="none" w:sz="0" w:space="0" w:color="auto"/>
        <w:right w:val="none" w:sz="0" w:space="0" w:color="auto"/>
      </w:divBdr>
    </w:div>
    <w:div w:id="94785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930</Words>
  <Characters>5302</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Tringale</dc:creator>
  <cp:keywords/>
  <dc:description/>
  <cp:lastModifiedBy>Kathryn Tringale</cp:lastModifiedBy>
  <cp:revision>5</cp:revision>
  <dcterms:created xsi:type="dcterms:W3CDTF">2022-12-30T19:31:00Z</dcterms:created>
  <dcterms:modified xsi:type="dcterms:W3CDTF">2022-12-30T19:33:00Z</dcterms:modified>
</cp:coreProperties>
</file>