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Methods Section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Catalyst reparation</w:t>
      </w:r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lang w:val="en-US" w:eastAsia="zh-CN"/>
        </w:rPr>
        <w:t xml:space="preserve">S1 The effect </w:t>
      </w:r>
      <w:r>
        <w:rPr>
          <w:rFonts w:hint="default" w:ascii="Times New Roman" w:hAnsi="Times New Roman" w:cs="Times New Roman"/>
          <w:lang w:val="en-US" w:eastAsia="zh-CN"/>
        </w:rPr>
        <w:t>of preparation conditions for nanodiamond supported Rh catalysts</w:t>
      </w:r>
      <w:r>
        <w:rPr>
          <w:rFonts w:hint="eastAsia" w:ascii="Times New Roman" w:hAnsi="Times New Roman" w:cs="Times New Roman"/>
          <w:lang w:val="en-US" w:eastAsia="zh-CN"/>
        </w:rPr>
        <w:t xml:space="preserve"> on the catalytic performance in styrene hydroformylation</w:t>
      </w:r>
      <w:r>
        <w:rPr>
          <w:rFonts w:hint="default" w:ascii="Times New Roman" w:hAnsi="Times New Roman" w:cs="Times New Roman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373245" cy="1727835"/>
            <wp:effectExtent l="0" t="0" r="8255" b="12065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r="12955"/>
                    <a:stretch>
                      <a:fillRect/>
                    </a:stretch>
                  </pic:blipFill>
                  <pic:spPr>
                    <a:xfrm>
                      <a:off x="0" y="0"/>
                      <a:ext cx="437324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3445"/>
        <w:gridCol w:w="1725"/>
        <w:gridCol w:w="1004"/>
        <w:gridCol w:w="1126"/>
        <w:gridCol w:w="49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Entry</w:t>
            </w:r>
            <w:r>
              <w:rPr>
                <w:rFonts w:hint="default" w:ascii="Times New Roman" w:hAnsi="Times New Roman" w:cs="Times New Roman"/>
              </w:rPr>
              <w:br w:type="page"/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Reaction conditions for Step 1</w:t>
            </w:r>
            <w:r>
              <w:rPr>
                <w:rFonts w:hint="eastAsia" w:ascii="Times New Roman" w:hAnsi="Times New Roman" w:cs="Times New Roman"/>
                <w:i/>
                <w:iCs/>
                <w:vertAlign w:val="superscript"/>
                <w:lang w:val="en-US" w:eastAsia="zh-CN"/>
              </w:rPr>
              <w:t>a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Solvent in Step 2</w:t>
            </w:r>
            <w:r>
              <w:rPr>
                <w:rFonts w:hint="eastAsia" w:ascii="Times New Roman" w:hAnsi="Times New Roman" w:cs="Times New Roman"/>
                <w:i/>
                <w:iCs/>
                <w:vertAlign w:val="superscript"/>
                <w:lang w:val="en-US" w:eastAsia="zh-CN"/>
              </w:rPr>
              <w:t>b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Conv.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</w:rPr>
              <w:t>/%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Sel.</w:t>
            </w:r>
            <w:r>
              <w:rPr>
                <w:rFonts w:hint="eastAsia" w:ascii="Times New Roman" w:hAnsi="Times New Roman" w:cs="Times New Roman"/>
                <w:i/>
                <w:iCs/>
                <w:vertAlign w:val="superscript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i/>
                <w:iCs/>
                <w:vertAlign w:val="subscript"/>
              </w:rPr>
              <w:t>CHO</w:t>
            </w:r>
            <w:r>
              <w:rPr>
                <w:rFonts w:hint="default" w:ascii="Times New Roman" w:hAnsi="Times New Roman" w:cs="Times New Roman"/>
              </w:rPr>
              <w:t>/%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i/>
                <w:iCs/>
              </w:rPr>
              <w:t>/</w:t>
            </w:r>
            <w:r>
              <w:rPr>
                <w:rFonts w:hint="eastAsia" w:ascii="Times New Roman" w:hAnsi="Times New Roman" w:cs="Times New Roman"/>
                <w:i/>
                <w:iCs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i/>
                <w:iCs/>
                <w:vertAlign w:val="superscript"/>
                <w:lang w:val="en-US" w:eastAsia="zh-CN"/>
              </w:rPr>
              <w:t>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vertAlign w:val="superscript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DCC,</w:t>
            </w:r>
            <w:bookmarkStart w:id="0" w:name="OLE_LINK1"/>
            <w:bookmarkStart w:id="1" w:name="OLE_LINK2"/>
            <w:r>
              <w:rPr>
                <w:rFonts w:hint="default" w:ascii="Times New Roman" w:hAnsi="Times New Roman" w:cs="Times New Roman"/>
              </w:rPr>
              <w:t xml:space="preserve"> DMAP, TEA, THF</w:t>
            </w:r>
            <w:bookmarkEnd w:id="0"/>
            <w:bookmarkEnd w:id="1"/>
            <w:r>
              <w:rPr>
                <w:rFonts w:hint="default" w:ascii="Times New Roman" w:hAnsi="Times New Roman" w:cs="Times New Roman"/>
              </w:rPr>
              <w:t xml:space="preserve">, 30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℃, 48 h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THF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34.1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98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DCC, DMAP, TEA, DMF, 30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℃, 48 h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DMF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48.3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99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DCC, DMAP, TEA, DMF, 30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℃, 48 h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toluene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53.0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98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vertAlign w:val="superscript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NMM, CDMT, DMF, 90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℃, 48 h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THF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99.5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&gt;99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NMM, CDMT, DMF, 90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℃, 48 h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DMF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97.3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&gt;99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NMM, CDMT, DMF, 90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℃, 48 h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CH</w:t>
            </w:r>
            <w:r>
              <w:rPr>
                <w:rFonts w:hint="default" w:ascii="Times New Roman" w:hAnsi="Times New Roman" w:cs="Times New Roman"/>
                <w:vertAlign w:val="subscript"/>
              </w:rPr>
              <w:t>3</w:t>
            </w:r>
            <w:r>
              <w:rPr>
                <w:rFonts w:hint="default" w:ascii="Times New Roman" w:hAnsi="Times New Roman" w:cs="Times New Roman"/>
              </w:rPr>
              <w:t>CN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90.4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&gt;99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NMM, CDMT, DMF, 90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℃, 48 h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toluene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85.0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&gt;99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NMM, CDMT, DMF, 70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℃, 48 h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THF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31.5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&gt;99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NMM, CDMT, DMF, 130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℃, 48 h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THF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&gt;99</w:t>
            </w:r>
          </w:p>
        </w:tc>
        <w:tc>
          <w:tcPr>
            <w:tcW w:w="0" w:type="auto"/>
          </w:tcPr>
          <w:p>
            <w:pPr>
              <w:spacing w:line="48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2.0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sz w:val="21"/>
          <w:szCs w:val="21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In step 1, 50 mg nanodiamond, 12 mL solvent (THF or DMF), 88 mg diphosphino-amine, 32 mg CDMT (2-Chloro-4,6-dimethoxy-1,3,5-triazine), 65 mg NMM (N-methyl morpholine), DCC (N,N'-dicyclohexylcarbodiimide), DMAP (4-Dimethylaminopyridine), TEA (triethylamine) were used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i/>
          <w:iCs/>
          <w:sz w:val="21"/>
          <w:szCs w:val="21"/>
          <w:vertAlign w:val="superscript"/>
          <w:lang w:val="en-US" w:eastAsia="zh-CN"/>
        </w:rPr>
        <w:t>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I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n step 2, 50 mg PNP-ND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46 mg [Rh(COD)Cl]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were added in 10 mL solvent, and then stirred at 30 ℃ for 12 h. </w:t>
      </w:r>
      <w:r>
        <w:rPr>
          <w:rFonts w:hint="eastAsia" w:ascii="Times New Roman" w:hAnsi="Times New Roman" w:cs="Times New Roman"/>
          <w:i/>
          <w:iCs/>
          <w:sz w:val="21"/>
          <w:szCs w:val="21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The hydroformylation was conducted in the presence of 50 mg catalyst at 60 ℃, 3.0 MPa syngas (CO/H</w:t>
      </w:r>
      <w:r>
        <w:rPr>
          <w:rFonts w:hint="default" w:ascii="Times New Roman" w:hAnsi="Times New Roman" w:cs="Times New Roman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=1)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within 10 h in toluene/H</w:t>
      </w:r>
      <w:r>
        <w:rPr>
          <w:rFonts w:hint="eastAsia" w:ascii="Times New Roman" w:hAnsi="Times New Roman" w:cs="Times New Roman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O (1:1, 15 mL/15 mL) by using 3 mmol styrene. 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>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selectivity for aldehyde products. </w:t>
      </w:r>
      <w:r>
        <w:rPr>
          <w:rFonts w:hint="eastAsia" w:ascii="Times New Roman" w:hAnsi="Times New Roman" w:cs="Times New Roman"/>
          <w:i/>
          <w:iCs/>
          <w:sz w:val="21"/>
          <w:szCs w:val="21"/>
          <w:vertAlign w:val="superscript"/>
          <w:lang w:val="en-US" w:eastAsia="zh-CN"/>
        </w:rPr>
        <w:t>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molar ratio of branched aldehyde/linear aldehyde determined by GC. </w:t>
      </w:r>
    </w:p>
    <w:p>
      <w:pPr>
        <w:pStyle w:val="11"/>
        <w:numPr>
          <w:numId w:val="0"/>
        </w:numPr>
        <w:ind w:leftChars="0"/>
        <w:rPr>
          <w:rFonts w:hint="eastAsia"/>
          <w:b w:val="0"/>
          <w:bCs/>
          <w:sz w:val="24"/>
          <w:szCs w:val="24"/>
        </w:rPr>
      </w:pPr>
      <w:r>
        <w:rPr>
          <w:rFonts w:hint="eastAsia" w:ascii="Times New Roman" w:hAnsi="Times New Roman"/>
          <w:b w:val="0"/>
          <w:bCs/>
          <w:color w:val="000000"/>
          <w:sz w:val="24"/>
          <w:szCs w:val="24"/>
          <w:lang w:val="en-US" w:eastAsia="zh-CN"/>
        </w:rPr>
        <w:t xml:space="preserve">2. PNP pincer ligand </w:t>
      </w:r>
      <w:r>
        <w:rPr>
          <w:rFonts w:hint="eastAsia" w:ascii="Times New Roman" w:hAnsi="Times New Roman"/>
          <w:b w:val="0"/>
          <w:bCs/>
          <w:color w:val="000000"/>
          <w:sz w:val="24"/>
          <w:szCs w:val="24"/>
        </w:rPr>
        <w:t>Bis[2-(diphenylphosphino)ethy</w:t>
      </w:r>
      <w:r>
        <w:rPr>
          <w:rFonts w:ascii="Times New Roman" w:hAnsi="Times New Roman"/>
          <w:b w:val="0"/>
          <w:bCs/>
          <w:color w:val="000000"/>
          <w:sz w:val="24"/>
          <w:szCs w:val="24"/>
        </w:rPr>
        <w:t>]</w:t>
      </w:r>
      <w:r>
        <w:rPr>
          <w:rFonts w:hint="eastAsia" w:ascii="Times New Roman" w:hAnsi="Times New Roman"/>
          <w:b w:val="0"/>
          <w:bCs/>
          <w:color w:val="000000"/>
          <w:sz w:val="24"/>
          <w:szCs w:val="24"/>
        </w:rPr>
        <w:t>amine.</w:t>
      </w:r>
    </w:p>
    <w:p>
      <w:pPr>
        <w:rPr>
          <w:rFonts w:hint="eastAsia"/>
        </w:rPr>
      </w:pPr>
      <w:r>
        <w:object>
          <v:shape id="_x0000_i1025" o:spt="75" alt="" type="#_x0000_t75" style="height:59.55pt;width:142.45pt;" o:ole="t" filled="f" o:preferrelative="t" stroked="f" coordsize="21600,21600">
            <v:path/>
            <v:fill on="f" focussize="0,0"/>
            <v:stroke on="f"/>
            <v:imagedata r:id="rId7" gain="61603f" blacklevel="0f" o:title=""/>
            <o:lock v:ext="edit" aspectratio="t"/>
            <w10:wrap type="none"/>
            <w10:anchorlock/>
          </v:shape>
          <o:OLEObject Type="Embed" ProgID="ChemDraw.Document.6.0" ShapeID="_x0000_i1025" DrawAspect="Content" ObjectID="_1468075725" r:id="rId6">
            <o:LockedField>false</o:LockedField>
          </o:OLEObject>
        </w:object>
      </w:r>
    </w:p>
    <w:p>
      <w:pPr>
        <w:rPr>
          <w:rFonts w:hint="eastAsia"/>
        </w:rPr>
      </w:pPr>
      <w:bookmarkStart w:id="2" w:name="_GoBack"/>
      <w:bookmarkEnd w:id="2"/>
    </w:p>
    <w:p>
      <w:pPr>
        <w:pStyle w:val="11"/>
        <w:spacing w:line="360" w:lineRule="auto"/>
        <w:ind w:firstLine="0" w:firstLineChars="0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Under nitrogen atmosphere, </w:t>
      </w:r>
      <w:r>
        <w:rPr>
          <w:rFonts w:hint="eastAsia"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iphenylphosphine (14.0 mL, 80 mmol)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was added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to a solution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of </w:t>
      </w:r>
      <w:r>
        <w:rPr>
          <w:rFonts w:ascii="Times New Roman" w:hAnsi="Times New Roman"/>
          <w:i/>
          <w:color w:val="000000"/>
          <w:sz w:val="24"/>
          <w:szCs w:val="24"/>
        </w:rPr>
        <w:t>tert</w:t>
      </w:r>
      <w:r>
        <w:rPr>
          <w:rFonts w:ascii="Times New Roman" w:hAnsi="Times New Roman"/>
          <w:color w:val="000000"/>
          <w:sz w:val="24"/>
          <w:szCs w:val="24"/>
        </w:rPr>
        <w:t>-butoxide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(14 g, 125 mmol) in anhydrous THF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(300 ml)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at ambient temperature. 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And then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bis(2-chloroethyl)amine hydrochloride (7.15 g, 40 mmol) was added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to the 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solution</w:t>
      </w:r>
      <w:r>
        <w:rPr>
          <w:rFonts w:ascii="Times New Roman" w:hAnsi="Times New Roman"/>
          <w:color w:val="000000"/>
          <w:sz w:val="24"/>
          <w:szCs w:val="24"/>
        </w:rPr>
        <w:t xml:space="preserve">. The 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 xml:space="preserve">mixture </w:t>
      </w:r>
      <w:r>
        <w:rPr>
          <w:rFonts w:ascii="Times New Roman" w:hAnsi="Times New Roman"/>
          <w:color w:val="000000"/>
          <w:sz w:val="24"/>
          <w:szCs w:val="24"/>
        </w:rPr>
        <w:t>was stirred for 18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 under reflux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. 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>After reaction, t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he reaction mixture was </w:t>
      </w:r>
      <w:r>
        <w:rPr>
          <w:rFonts w:ascii="Times New Roman" w:hAnsi="Times New Roman"/>
          <w:color w:val="000000"/>
          <w:sz w:val="24"/>
          <w:szCs w:val="24"/>
        </w:rPr>
        <w:t>poured into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400 mL</w:t>
      </w:r>
      <w:r>
        <w:rPr>
          <w:rFonts w:hint="eastAsia" w:ascii="Times New Roman" w:hAnsi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hexane, </w:t>
      </w:r>
      <w:r>
        <w:rPr>
          <w:rFonts w:hint="eastAsia"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 organic phase was washed with 10% aqueous NaOH</w:t>
      </w:r>
      <w:r>
        <w:rPr>
          <w:rFonts w:hint="eastAsia"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saturated aqueous NaCl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solution, and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N aqueous HC1 solution 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to provide </w:t>
      </w:r>
      <w:r>
        <w:rPr>
          <w:rFonts w:ascii="Times New Roman" w:hAnsi="Times New Roman"/>
          <w:color w:val="000000"/>
          <w:sz w:val="24"/>
          <w:szCs w:val="24"/>
        </w:rPr>
        <w:t xml:space="preserve">a dense white precipitate of </w:t>
      </w:r>
      <w:r>
        <w:rPr>
          <w:rFonts w:ascii="Times New Roman" w:hAnsi="Times New Roman"/>
          <w:b/>
          <w:color w:val="000000"/>
          <w:sz w:val="24"/>
          <w:szCs w:val="24"/>
        </w:rPr>
        <w:t>1·</w:t>
      </w:r>
      <w:r>
        <w:rPr>
          <w:rFonts w:ascii="Times New Roman" w:hAnsi="Times New Roman"/>
          <w:color w:val="000000"/>
          <w:sz w:val="24"/>
          <w:szCs w:val="24"/>
        </w:rPr>
        <w:t>HCl. Recrystallization from boiling acetonitrile gave a 90% yield (17.2 g) of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1·</w:t>
      </w:r>
      <w:r>
        <w:rPr>
          <w:rFonts w:ascii="Times New Roman" w:hAnsi="Times New Roman"/>
          <w:color w:val="000000"/>
          <w:sz w:val="24"/>
          <w:szCs w:val="24"/>
        </w:rPr>
        <w:t>HCl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of white ne</w:t>
      </w:r>
      <w:r>
        <w:rPr>
          <w:rFonts w:ascii="Times New Roman" w:hAnsi="Times New Roman"/>
          <w:color w:val="000000"/>
          <w:sz w:val="24"/>
          <w:szCs w:val="24"/>
        </w:rPr>
        <w:t>edles.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mp 174-175 °C [lit</w:t>
      </w:r>
      <w:r>
        <w:rPr>
          <w:rFonts w:hint="eastAsia" w:ascii="Times New Roman" w:hAnsi="Times New Roman"/>
          <w:color w:val="000000"/>
          <w:sz w:val="24"/>
          <w:szCs w:val="24"/>
        </w:rPr>
        <w:t>.</w:t>
      </w:r>
      <w:r>
        <w:rPr>
          <w:rFonts w:hint="eastAsia" w:ascii="Times New Roman" w:hAnsi="Times New Roman"/>
          <w:color w:val="000000"/>
          <w:sz w:val="24"/>
          <w:szCs w:val="24"/>
          <w:vertAlign w:val="superscript"/>
        </w:rPr>
        <w:t>[1]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17</w:t>
      </w:r>
      <w:r>
        <w:rPr>
          <w:rFonts w:hint="eastAsia"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.5-175.5 °C]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H NMR (400 MHz, </w:t>
      </w:r>
      <w:r>
        <w:rPr>
          <w:rFonts w:hint="eastAsia" w:ascii="Times New Roman" w:hAnsi="Times New Roman"/>
          <w:sz w:val="24"/>
          <w:szCs w:val="24"/>
        </w:rPr>
        <w:t>CDCl</w:t>
      </w:r>
      <w:r>
        <w:rPr>
          <w:rFonts w:hint="eastAsia"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δ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2.3-3.3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hint="eastAsia"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hint="eastAsia"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H), 7</w:t>
      </w:r>
      <w:r>
        <w:rPr>
          <w:rFonts w:hint="eastAsia" w:ascii="Times New Roman" w:hAnsi="Times New Roman"/>
          <w:sz w:val="24"/>
          <w:szCs w:val="24"/>
        </w:rPr>
        <w:t>.0-7.6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hint="eastAsia"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hint="eastAsia"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H), </w:t>
      </w:r>
      <w:r>
        <w:rPr>
          <w:rFonts w:hint="eastAsia" w:ascii="Times New Roman" w:hAnsi="Times New Roman"/>
          <w:sz w:val="24"/>
          <w:szCs w:val="24"/>
        </w:rPr>
        <w:t>9.9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hint="eastAsia"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hint="eastAsia"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H)</w:t>
      </w:r>
      <w:r>
        <w:rPr>
          <w:rFonts w:hint="eastAsia" w:ascii="Times New Roman" w:hAnsi="Times New Roman"/>
          <w:sz w:val="24"/>
          <w:szCs w:val="24"/>
        </w:rPr>
        <w:t>.</w:t>
      </w:r>
    </w:p>
    <w:p>
      <w:pPr>
        <w:pStyle w:val="11"/>
        <w:spacing w:line="360" w:lineRule="auto"/>
        <w:ind w:firstLine="0" w:firstLineChars="0"/>
        <w:rPr>
          <w:rFonts w:hint="eastAsia" w:ascii="Times New Roman" w:hAnsi="Times New Roman"/>
          <w:sz w:val="24"/>
          <w:szCs w:val="24"/>
        </w:rPr>
      </w:pPr>
    </w:p>
    <w:p>
      <w:pPr>
        <w:pStyle w:val="11"/>
        <w:spacing w:line="360" w:lineRule="auto"/>
        <w:ind w:firstLine="0" w:firstLineChars="0"/>
        <w:rPr>
          <w:rFonts w:hint="eastAsia" w:ascii="Times New Roman" w:hAnsi="Times New Roman"/>
          <w:sz w:val="24"/>
          <w:szCs w:val="24"/>
        </w:rPr>
      </w:pPr>
    </w:p>
    <w:p>
      <w:pPr>
        <w:pStyle w:val="11"/>
        <w:spacing w:line="360" w:lineRule="auto"/>
        <w:ind w:firstLine="0" w:firstLineChars="0"/>
        <w:rPr>
          <w:rFonts w:hint="eastAsia" w:ascii="Times New Roman" w:hAnsi="Times New Roman"/>
          <w:sz w:val="24"/>
          <w:szCs w:val="24"/>
        </w:rPr>
      </w:pPr>
    </w:p>
    <w:p>
      <w:pPr>
        <w:pStyle w:val="11"/>
        <w:ind w:firstLine="0" w:firstLineChars="0"/>
        <w:rPr>
          <w:rFonts w:ascii="Times New Roman" w:hAnsi="Times New Roman"/>
          <w:b w:val="0"/>
          <w:bCs/>
          <w:color w:val="000000"/>
          <w:sz w:val="21"/>
          <w:szCs w:val="21"/>
        </w:rPr>
      </w:pPr>
      <w:r>
        <w:rPr>
          <w:rFonts w:ascii="Times New Roman" w:hAnsi="Times New Roman"/>
          <w:b w:val="0"/>
          <w:bCs/>
          <w:color w:val="000000"/>
          <w:sz w:val="21"/>
          <w:szCs w:val="21"/>
        </w:rPr>
        <w:t>[1] Nuzzo,</w:t>
      </w:r>
      <w:r>
        <w:rPr>
          <w:rFonts w:hint="eastAsia" w:ascii="Times New Roman" w:hAnsi="Times New Roman"/>
          <w:b w:val="0"/>
          <w:bCs/>
          <w:color w:val="000000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/>
          <w:b w:val="0"/>
          <w:bCs/>
          <w:color w:val="000000"/>
          <w:sz w:val="21"/>
          <w:szCs w:val="21"/>
        </w:rPr>
        <w:t>R.</w:t>
      </w:r>
      <w:r>
        <w:rPr>
          <w:rFonts w:hint="eastAsia" w:ascii="Times New Roman" w:hAnsi="Times New Roman"/>
          <w:b w:val="0"/>
          <w:bCs/>
          <w:color w:val="000000"/>
          <w:sz w:val="21"/>
          <w:szCs w:val="21"/>
          <w:lang w:val="en-US" w:eastAsia="zh-CN"/>
        </w:rPr>
        <w:t xml:space="preserve"> et al.</w:t>
      </w:r>
      <w:r>
        <w:rPr>
          <w:rFonts w:ascii="Times New Roman" w:hAnsi="Times New Roman"/>
          <w:b w:val="0"/>
          <w:bCs/>
          <w:color w:val="000000"/>
          <w:sz w:val="21"/>
          <w:szCs w:val="21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sz w:val="21"/>
          <w:szCs w:val="21"/>
        </w:rPr>
        <w:t>Synthesis of functional chelating diphosphines containing the bis[2-(diphenylphosphino)ethyl]amino moiety and the use of these materials in the preparation of water-soluble diphosphine complexes of transition metals</w:t>
      </w:r>
      <w:r>
        <w:rPr>
          <w:rFonts w:hint="eastAsia" w:ascii="Times New Roman" w:hAnsi="Times New Roman"/>
          <w:b w:val="0"/>
          <w:bCs/>
          <w:color w:val="000000"/>
          <w:sz w:val="21"/>
          <w:szCs w:val="21"/>
          <w:lang w:val="en-US" w:eastAsia="zh-CN"/>
        </w:rPr>
        <w:t xml:space="preserve">. </w:t>
      </w:r>
      <w:r>
        <w:rPr>
          <w:rFonts w:ascii="Times New Roman" w:hAnsi="Times New Roman"/>
          <w:b w:val="0"/>
          <w:bCs/>
          <w:i/>
          <w:iCs/>
          <w:color w:val="000000"/>
          <w:sz w:val="21"/>
          <w:szCs w:val="21"/>
        </w:rPr>
        <w:t>J. Org. Chem</w:t>
      </w:r>
      <w:r>
        <w:rPr>
          <w:rFonts w:hint="eastAsia" w:ascii="Times New Roman" w:hAnsi="Times New Roman"/>
          <w:b w:val="0"/>
          <w:bCs/>
          <w:iCs/>
          <w:color w:val="000000"/>
          <w:sz w:val="21"/>
          <w:szCs w:val="21"/>
        </w:rPr>
        <w:t>.</w:t>
      </w:r>
      <w:r>
        <w:rPr>
          <w:rFonts w:ascii="Times New Roman" w:hAnsi="Times New Roman"/>
          <w:b w:val="0"/>
          <w:bCs/>
          <w:color w:val="000000"/>
          <w:sz w:val="21"/>
          <w:szCs w:val="21"/>
        </w:rPr>
        <w:t xml:space="preserve">, </w:t>
      </w:r>
      <w:r>
        <w:rPr>
          <w:rFonts w:ascii="Times New Roman" w:hAnsi="Times New Roman"/>
          <w:b/>
          <w:bCs w:val="0"/>
          <w:i w:val="0"/>
          <w:iCs w:val="0"/>
          <w:color w:val="000000"/>
          <w:sz w:val="21"/>
          <w:szCs w:val="21"/>
        </w:rPr>
        <w:t>46</w:t>
      </w:r>
      <w:r>
        <w:rPr>
          <w:rFonts w:ascii="Times New Roman" w:hAnsi="Times New Roman"/>
          <w:b w:val="0"/>
          <w:bCs/>
          <w:color w:val="000000"/>
          <w:sz w:val="21"/>
          <w:szCs w:val="21"/>
        </w:rPr>
        <w:t>,</w:t>
      </w:r>
      <w:r>
        <w:rPr>
          <w:rFonts w:hint="eastAsia" w:ascii="Times New Roman" w:hAnsi="Times New Roman"/>
          <w:b w:val="0"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b w:val="0"/>
          <w:bCs/>
          <w:color w:val="000000"/>
          <w:sz w:val="21"/>
          <w:szCs w:val="21"/>
        </w:rPr>
        <w:t>286</w:t>
      </w:r>
      <w:r>
        <w:rPr>
          <w:rFonts w:hint="eastAsia" w:ascii="Times New Roman" w:hAnsi="Times New Roman"/>
          <w:b w:val="0"/>
          <w:bCs/>
          <w:color w:val="000000"/>
          <w:sz w:val="21"/>
          <w:szCs w:val="21"/>
        </w:rPr>
        <w:t>1-2867</w:t>
      </w:r>
      <w:r>
        <w:rPr>
          <w:rFonts w:hint="eastAsia" w:ascii="Times New Roman" w:hAnsi="Times New Roman"/>
          <w:b w:val="0"/>
          <w:bCs/>
          <w:color w:val="000000"/>
          <w:sz w:val="21"/>
          <w:szCs w:val="21"/>
          <w:lang w:val="en-US" w:eastAsia="zh-CN"/>
        </w:rPr>
        <w:t xml:space="preserve"> (</w:t>
      </w:r>
      <w:r>
        <w:rPr>
          <w:rFonts w:ascii="Times New Roman" w:hAnsi="Times New Roman"/>
          <w:b w:val="0"/>
          <w:bCs/>
          <w:color w:val="000000"/>
          <w:sz w:val="21"/>
          <w:szCs w:val="21"/>
        </w:rPr>
        <w:t>1981</w:t>
      </w:r>
      <w:r>
        <w:rPr>
          <w:rFonts w:hint="eastAsia" w:ascii="Times New Roman" w:hAnsi="Times New Roman"/>
          <w:b/>
          <w:bCs w:val="0"/>
          <w:color w:val="000000"/>
          <w:sz w:val="21"/>
          <w:szCs w:val="21"/>
          <w:lang w:val="en-US" w:eastAsia="zh-CN"/>
        </w:rPr>
        <w:t>)</w:t>
      </w:r>
      <w:r>
        <w:rPr>
          <w:rFonts w:ascii="Times New Roman" w:hAnsi="Times New Roman"/>
          <w:b w:val="0"/>
          <w:bCs/>
          <w:color w:val="000000"/>
          <w:sz w:val="21"/>
          <w:szCs w:val="21"/>
        </w:rPr>
        <w:t>.</w:t>
      </w:r>
    </w:p>
    <w:p>
      <w:pPr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M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rFonts w:hint="eastAsia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7DA0BC"/>
    <w:multiLevelType w:val="singleLevel"/>
    <w:tmpl w:val="9F7DA0B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99"/>
    <w:rsid w:val="003C60BD"/>
    <w:rsid w:val="00492A99"/>
    <w:rsid w:val="004A65DD"/>
    <w:rsid w:val="004F5EF8"/>
    <w:rsid w:val="00622734"/>
    <w:rsid w:val="006559C6"/>
    <w:rsid w:val="006647EE"/>
    <w:rsid w:val="00754BC5"/>
    <w:rsid w:val="00760AC3"/>
    <w:rsid w:val="008445A5"/>
    <w:rsid w:val="009C67E7"/>
    <w:rsid w:val="00A90112"/>
    <w:rsid w:val="00A96B61"/>
    <w:rsid w:val="00D53106"/>
    <w:rsid w:val="00D64484"/>
    <w:rsid w:val="00DB3854"/>
    <w:rsid w:val="00DD1C40"/>
    <w:rsid w:val="00E836F5"/>
    <w:rsid w:val="00E86F2A"/>
    <w:rsid w:val="00F50A7C"/>
    <w:rsid w:val="018046BA"/>
    <w:rsid w:val="02304385"/>
    <w:rsid w:val="02446CF2"/>
    <w:rsid w:val="03346830"/>
    <w:rsid w:val="0380735E"/>
    <w:rsid w:val="051075D3"/>
    <w:rsid w:val="06E733B4"/>
    <w:rsid w:val="072F1968"/>
    <w:rsid w:val="0A0A6AF3"/>
    <w:rsid w:val="0A44527C"/>
    <w:rsid w:val="0AC339BC"/>
    <w:rsid w:val="0B941E02"/>
    <w:rsid w:val="0CC31052"/>
    <w:rsid w:val="0CD92A7E"/>
    <w:rsid w:val="0E30698E"/>
    <w:rsid w:val="0E4C159D"/>
    <w:rsid w:val="10095A43"/>
    <w:rsid w:val="10305AC8"/>
    <w:rsid w:val="105443E7"/>
    <w:rsid w:val="1077147F"/>
    <w:rsid w:val="11732213"/>
    <w:rsid w:val="11D57B48"/>
    <w:rsid w:val="12852DBB"/>
    <w:rsid w:val="129F395A"/>
    <w:rsid w:val="133816BF"/>
    <w:rsid w:val="138F2F58"/>
    <w:rsid w:val="149E2268"/>
    <w:rsid w:val="18837718"/>
    <w:rsid w:val="1B846DD8"/>
    <w:rsid w:val="1C196EF3"/>
    <w:rsid w:val="1C5519D1"/>
    <w:rsid w:val="1E3B0446"/>
    <w:rsid w:val="1E591FDC"/>
    <w:rsid w:val="212672CB"/>
    <w:rsid w:val="21774828"/>
    <w:rsid w:val="21C100C2"/>
    <w:rsid w:val="22452FD7"/>
    <w:rsid w:val="22555BDA"/>
    <w:rsid w:val="231C14C9"/>
    <w:rsid w:val="237B3263"/>
    <w:rsid w:val="244F5613"/>
    <w:rsid w:val="245A43F8"/>
    <w:rsid w:val="25116D7E"/>
    <w:rsid w:val="264522C9"/>
    <w:rsid w:val="289C0F56"/>
    <w:rsid w:val="2B2F05BE"/>
    <w:rsid w:val="2BC45DFD"/>
    <w:rsid w:val="2D4E37B6"/>
    <w:rsid w:val="2ECE05C5"/>
    <w:rsid w:val="2F870E5D"/>
    <w:rsid w:val="322122C0"/>
    <w:rsid w:val="328A471E"/>
    <w:rsid w:val="354954F1"/>
    <w:rsid w:val="365C6AAD"/>
    <w:rsid w:val="387D2A3F"/>
    <w:rsid w:val="3B055018"/>
    <w:rsid w:val="3C963467"/>
    <w:rsid w:val="3CD91DAB"/>
    <w:rsid w:val="3D813BE3"/>
    <w:rsid w:val="40F24230"/>
    <w:rsid w:val="42785363"/>
    <w:rsid w:val="42F42246"/>
    <w:rsid w:val="43CE45CD"/>
    <w:rsid w:val="46084EE0"/>
    <w:rsid w:val="46324D90"/>
    <w:rsid w:val="47A47387"/>
    <w:rsid w:val="47B725B3"/>
    <w:rsid w:val="48722575"/>
    <w:rsid w:val="4AAE299D"/>
    <w:rsid w:val="4AD90643"/>
    <w:rsid w:val="4B193FAA"/>
    <w:rsid w:val="4E8F126C"/>
    <w:rsid w:val="4F556B79"/>
    <w:rsid w:val="4FB51697"/>
    <w:rsid w:val="50B94AEE"/>
    <w:rsid w:val="51E906DC"/>
    <w:rsid w:val="528B0AD2"/>
    <w:rsid w:val="52903E16"/>
    <w:rsid w:val="53C02D0F"/>
    <w:rsid w:val="550D4F06"/>
    <w:rsid w:val="56126229"/>
    <w:rsid w:val="562479A7"/>
    <w:rsid w:val="56E618C2"/>
    <w:rsid w:val="584A7A76"/>
    <w:rsid w:val="5A101AE0"/>
    <w:rsid w:val="5AAE24B7"/>
    <w:rsid w:val="5B392883"/>
    <w:rsid w:val="5BF40AF7"/>
    <w:rsid w:val="5CF11991"/>
    <w:rsid w:val="5EE75AD7"/>
    <w:rsid w:val="6037697E"/>
    <w:rsid w:val="614E5445"/>
    <w:rsid w:val="615A4142"/>
    <w:rsid w:val="61C46F26"/>
    <w:rsid w:val="61FE1522"/>
    <w:rsid w:val="62FC2840"/>
    <w:rsid w:val="63F57D97"/>
    <w:rsid w:val="66E25818"/>
    <w:rsid w:val="67034865"/>
    <w:rsid w:val="6A4041B3"/>
    <w:rsid w:val="6A4E71FF"/>
    <w:rsid w:val="6AB968DC"/>
    <w:rsid w:val="6BAC2DDC"/>
    <w:rsid w:val="6BAF1A25"/>
    <w:rsid w:val="6C114F5E"/>
    <w:rsid w:val="6C230CF1"/>
    <w:rsid w:val="6EC529EA"/>
    <w:rsid w:val="6F485F83"/>
    <w:rsid w:val="6F5A6BE8"/>
    <w:rsid w:val="70AA01A0"/>
    <w:rsid w:val="7218451A"/>
    <w:rsid w:val="735530AC"/>
    <w:rsid w:val="73C80A10"/>
    <w:rsid w:val="73F87642"/>
    <w:rsid w:val="75CF6617"/>
    <w:rsid w:val="75F1328A"/>
    <w:rsid w:val="76697C10"/>
    <w:rsid w:val="769165CA"/>
    <w:rsid w:val="76935163"/>
    <w:rsid w:val="790E5739"/>
    <w:rsid w:val="79C21FA1"/>
    <w:rsid w:val="7A1F5B60"/>
    <w:rsid w:val="7DA842DC"/>
    <w:rsid w:val="7FA2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style0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</w:rPr>
  </w:style>
  <w:style w:type="character" w:customStyle="1" w:styleId="8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fontstyle21"/>
    <w:basedOn w:val="6"/>
    <w:qFormat/>
    <w:uiPriority w:val="0"/>
    <w:rPr>
      <w:rFonts w:hint="default" w:ascii="TimesNewRomanMS" w:hAnsi="TimesNewRomanMS"/>
      <w:color w:val="000000"/>
      <w:sz w:val="16"/>
      <w:szCs w:val="16"/>
    </w:rPr>
  </w:style>
  <w:style w:type="character" w:customStyle="1" w:styleId="10">
    <w:name w:val="apple-converted-space"/>
    <w:basedOn w:val="6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emf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345</Words>
  <Characters>1973</Characters>
  <Lines>16</Lines>
  <Paragraphs>4</Paragraphs>
  <TotalTime>10</TotalTime>
  <ScaleCrop>false</ScaleCrop>
  <LinksUpToDate>false</LinksUpToDate>
  <CharactersWithSpaces>2314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2019-12-17T10:02:00Z</dcterms:created>
  <dc:creator>liang</dc:creator>
  <cp:lastModifiedBy>bluesky</cp:lastModifiedBy>
  <cp:lastPrinted>2020-01-15T02:10:00Z</cp:lastPrinted>
  <dcterms:modified xsi:type="dcterms:W3CDTF">2021-02-07T07:23:42Z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