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03DA97" w14:textId="581637F8" w:rsidR="00FC2856" w:rsidRPr="00262BE9" w:rsidRDefault="00FC2856" w:rsidP="00FC2856">
      <w:pPr>
        <w:pStyle w:val="Title"/>
        <w:shd w:val="clear" w:color="auto" w:fill="FFFFFF" w:themeFill="background1"/>
        <w:spacing w:after="240"/>
        <w:jc w:val="center"/>
        <w:rPr>
          <w:rFonts w:ascii="Times New Roman" w:hAnsi="Times New Roman" w:cs="Times New Roman"/>
          <w:b/>
          <w:sz w:val="36"/>
          <w:szCs w:val="24"/>
        </w:rPr>
      </w:pPr>
      <w:bookmarkStart w:id="0" w:name="_GoBack"/>
      <w:bookmarkEnd w:id="0"/>
      <w:r w:rsidRPr="00262BE9">
        <w:rPr>
          <w:rFonts w:ascii="Times New Roman" w:hAnsi="Times New Roman" w:cs="Times New Roman"/>
          <w:b/>
          <w:sz w:val="36"/>
          <w:szCs w:val="24"/>
        </w:rPr>
        <w:t>Supplementary Materials</w:t>
      </w:r>
    </w:p>
    <w:p w14:paraId="676E0D04" w14:textId="77777777" w:rsidR="00CF738E" w:rsidRPr="00CF738E" w:rsidRDefault="00CF738E" w:rsidP="00CF738E"/>
    <w:p w14:paraId="45B6DBFA" w14:textId="77777777" w:rsidR="00F2564B" w:rsidRPr="00AC702E" w:rsidRDefault="00F2564B" w:rsidP="00F2564B">
      <w:pPr>
        <w:pStyle w:val="Title"/>
        <w:shd w:val="clear" w:color="auto" w:fill="FFFFFF" w:themeFill="background1"/>
        <w:spacing w:after="240"/>
        <w:jc w:val="left"/>
        <w:rPr>
          <w:rFonts w:asciiTheme="majorBidi" w:hAnsiTheme="majorBidi"/>
          <w:b/>
          <w:bCs/>
          <w:color w:val="000000" w:themeColor="text1"/>
          <w:sz w:val="32"/>
          <w:szCs w:val="28"/>
        </w:rPr>
      </w:pPr>
      <w:r w:rsidRPr="00AC702E">
        <w:rPr>
          <w:rFonts w:asciiTheme="majorBidi" w:hAnsiTheme="majorBidi"/>
          <w:b/>
          <w:bCs/>
          <w:color w:val="000000" w:themeColor="text1"/>
          <w:sz w:val="32"/>
          <w:szCs w:val="28"/>
        </w:rPr>
        <w:t xml:space="preserve">Pressure-flow characteristics of a microchannel combining super-hydrophobicity and wall compliance </w:t>
      </w:r>
    </w:p>
    <w:p w14:paraId="1321D2C6" w14:textId="77777777" w:rsidR="00F2564B" w:rsidRPr="00AC702E" w:rsidRDefault="00F2564B" w:rsidP="00F2564B">
      <w:pPr>
        <w:shd w:val="clear" w:color="auto" w:fill="FFFFFF" w:themeFill="background1"/>
        <w:spacing w:after="0"/>
        <w:jc w:val="left"/>
        <w:rPr>
          <w:rFonts w:asciiTheme="majorBidi" w:hAnsiTheme="majorBidi" w:cstheme="majorBidi"/>
          <w:color w:val="000000" w:themeColor="text1"/>
          <w:szCs w:val="20"/>
        </w:rPr>
      </w:pPr>
      <w:r w:rsidRPr="00AC702E">
        <w:rPr>
          <w:rFonts w:asciiTheme="majorBidi" w:hAnsiTheme="majorBidi" w:cstheme="majorBidi"/>
          <w:color w:val="000000" w:themeColor="text1"/>
          <w:szCs w:val="20"/>
        </w:rPr>
        <w:t xml:space="preserve">Kumar </w:t>
      </w:r>
      <w:proofErr w:type="spellStart"/>
      <w:r w:rsidRPr="00AC702E">
        <w:rPr>
          <w:rFonts w:asciiTheme="majorBidi" w:hAnsiTheme="majorBidi" w:cstheme="majorBidi"/>
          <w:color w:val="000000" w:themeColor="text1"/>
          <w:szCs w:val="20"/>
        </w:rPr>
        <w:t>Amit</w:t>
      </w:r>
      <w:r w:rsidRPr="00AC702E">
        <w:rPr>
          <w:rFonts w:asciiTheme="majorBidi" w:hAnsiTheme="majorBidi" w:cstheme="majorBidi"/>
          <w:color w:val="000000" w:themeColor="text1"/>
          <w:szCs w:val="20"/>
          <w:vertAlign w:val="superscript"/>
        </w:rPr>
        <w:t>a</w:t>
      </w:r>
      <w:proofErr w:type="spellEnd"/>
      <w:r w:rsidRPr="00AC702E">
        <w:rPr>
          <w:rFonts w:asciiTheme="majorBidi" w:hAnsiTheme="majorBidi" w:cstheme="majorBidi"/>
          <w:color w:val="000000" w:themeColor="text1"/>
          <w:szCs w:val="20"/>
        </w:rPr>
        <w:t xml:space="preserve">, </w:t>
      </w:r>
      <w:proofErr w:type="spellStart"/>
      <w:r w:rsidRPr="00AC702E">
        <w:rPr>
          <w:rFonts w:asciiTheme="majorBidi" w:hAnsiTheme="majorBidi" w:cstheme="majorBidi"/>
          <w:color w:val="000000" w:themeColor="text1"/>
          <w:szCs w:val="20"/>
        </w:rPr>
        <w:t>Ashwani</w:t>
      </w:r>
      <w:proofErr w:type="spellEnd"/>
      <w:r w:rsidRPr="00AC702E">
        <w:rPr>
          <w:rFonts w:asciiTheme="majorBidi" w:hAnsiTheme="majorBidi" w:cstheme="majorBidi"/>
          <w:color w:val="000000" w:themeColor="text1"/>
          <w:szCs w:val="20"/>
        </w:rPr>
        <w:t xml:space="preserve"> </w:t>
      </w:r>
      <w:proofErr w:type="spellStart"/>
      <w:r w:rsidRPr="00AC702E">
        <w:rPr>
          <w:rFonts w:asciiTheme="majorBidi" w:hAnsiTheme="majorBidi" w:cstheme="majorBidi"/>
          <w:color w:val="000000" w:themeColor="text1"/>
          <w:szCs w:val="20"/>
        </w:rPr>
        <w:t>Assam</w:t>
      </w:r>
      <w:r w:rsidRPr="00AC702E">
        <w:rPr>
          <w:rFonts w:asciiTheme="majorBidi" w:hAnsiTheme="majorBidi" w:cstheme="majorBidi"/>
          <w:color w:val="000000" w:themeColor="text1"/>
          <w:szCs w:val="20"/>
          <w:vertAlign w:val="superscript"/>
        </w:rPr>
        <w:t>a</w:t>
      </w:r>
      <w:proofErr w:type="spellEnd"/>
      <w:r w:rsidRPr="00AC702E">
        <w:rPr>
          <w:rFonts w:asciiTheme="majorBidi" w:hAnsiTheme="majorBidi" w:cstheme="majorBidi"/>
          <w:color w:val="000000" w:themeColor="text1"/>
          <w:szCs w:val="20"/>
        </w:rPr>
        <w:t xml:space="preserve">, Abhishek </w:t>
      </w:r>
      <w:proofErr w:type="spellStart"/>
      <w:r w:rsidRPr="00AC702E">
        <w:rPr>
          <w:rFonts w:asciiTheme="majorBidi" w:hAnsiTheme="majorBidi" w:cstheme="majorBidi"/>
          <w:color w:val="000000" w:themeColor="text1"/>
          <w:szCs w:val="20"/>
        </w:rPr>
        <w:t>Raj</w:t>
      </w:r>
      <w:r w:rsidRPr="00AC702E">
        <w:rPr>
          <w:rFonts w:asciiTheme="majorBidi" w:hAnsiTheme="majorBidi" w:cstheme="majorBidi"/>
          <w:color w:val="000000" w:themeColor="text1"/>
          <w:szCs w:val="20"/>
          <w:vertAlign w:val="superscript"/>
        </w:rPr>
        <w:t>a</w:t>
      </w:r>
      <w:proofErr w:type="gramStart"/>
      <w:r w:rsidRPr="00AC702E">
        <w:rPr>
          <w:rFonts w:asciiTheme="majorBidi" w:hAnsiTheme="majorBidi" w:cstheme="majorBidi"/>
          <w:color w:val="000000" w:themeColor="text1"/>
          <w:szCs w:val="20"/>
          <w:vertAlign w:val="superscript"/>
        </w:rPr>
        <w:t>,b</w:t>
      </w:r>
      <w:proofErr w:type="spellEnd"/>
      <w:proofErr w:type="gramEnd"/>
      <w:r w:rsidRPr="00AC702E">
        <w:rPr>
          <w:rFonts w:asciiTheme="majorBidi" w:hAnsiTheme="majorBidi" w:cstheme="majorBidi"/>
          <w:color w:val="000000" w:themeColor="text1"/>
          <w:szCs w:val="20"/>
        </w:rPr>
        <w:br/>
      </w:r>
    </w:p>
    <w:p w14:paraId="139FBE50" w14:textId="77777777" w:rsidR="00F2564B" w:rsidRPr="00AC702E" w:rsidRDefault="00F2564B" w:rsidP="00F2564B">
      <w:pPr>
        <w:shd w:val="clear" w:color="auto" w:fill="FFFFFF" w:themeFill="background1"/>
        <w:spacing w:after="0"/>
        <w:rPr>
          <w:rFonts w:asciiTheme="majorBidi" w:hAnsiTheme="majorBidi" w:cstheme="majorBidi"/>
          <w:color w:val="000000" w:themeColor="text1"/>
          <w:szCs w:val="20"/>
        </w:rPr>
      </w:pPr>
      <w:proofErr w:type="spellStart"/>
      <w:proofErr w:type="gramStart"/>
      <w:r w:rsidRPr="00AC702E">
        <w:rPr>
          <w:rFonts w:asciiTheme="majorBidi" w:hAnsiTheme="majorBidi" w:cstheme="majorBidi"/>
          <w:color w:val="000000" w:themeColor="text1"/>
          <w:szCs w:val="20"/>
          <w:vertAlign w:val="superscript"/>
        </w:rPr>
        <w:t>a</w:t>
      </w:r>
      <w:r w:rsidRPr="00AC702E">
        <w:rPr>
          <w:rFonts w:asciiTheme="majorBidi" w:hAnsiTheme="majorBidi" w:cstheme="majorBidi"/>
          <w:color w:val="000000" w:themeColor="text1"/>
          <w:szCs w:val="20"/>
        </w:rPr>
        <w:t>Department</w:t>
      </w:r>
      <w:proofErr w:type="spellEnd"/>
      <w:proofErr w:type="gramEnd"/>
      <w:r w:rsidRPr="00AC702E">
        <w:rPr>
          <w:rFonts w:asciiTheme="majorBidi" w:hAnsiTheme="majorBidi" w:cstheme="majorBidi"/>
          <w:color w:val="000000" w:themeColor="text1"/>
          <w:szCs w:val="20"/>
        </w:rPr>
        <w:t xml:space="preserve"> of Mechanical Engineering, Indian Institute of Technology Patna,</w:t>
      </w:r>
      <w:r>
        <w:rPr>
          <w:rFonts w:asciiTheme="majorBidi" w:hAnsiTheme="majorBidi" w:cstheme="majorBidi"/>
          <w:color w:val="000000" w:themeColor="text1"/>
          <w:szCs w:val="20"/>
        </w:rPr>
        <w:t xml:space="preserve"> </w:t>
      </w:r>
      <w:proofErr w:type="spellStart"/>
      <w:r>
        <w:rPr>
          <w:rFonts w:asciiTheme="majorBidi" w:hAnsiTheme="majorBidi" w:cstheme="majorBidi"/>
          <w:color w:val="000000" w:themeColor="text1"/>
          <w:szCs w:val="20"/>
        </w:rPr>
        <w:t>Bihta</w:t>
      </w:r>
      <w:proofErr w:type="spellEnd"/>
      <w:r>
        <w:rPr>
          <w:rFonts w:asciiTheme="majorBidi" w:hAnsiTheme="majorBidi" w:cstheme="majorBidi"/>
          <w:color w:val="000000" w:themeColor="text1"/>
          <w:szCs w:val="20"/>
        </w:rPr>
        <w:t>,</w:t>
      </w:r>
      <w:r w:rsidRPr="00AC702E">
        <w:rPr>
          <w:rFonts w:asciiTheme="majorBidi" w:hAnsiTheme="majorBidi" w:cstheme="majorBidi"/>
          <w:color w:val="000000" w:themeColor="text1"/>
          <w:szCs w:val="20"/>
        </w:rPr>
        <w:t xml:space="preserve"> Bihar</w:t>
      </w:r>
      <w:r>
        <w:rPr>
          <w:rFonts w:asciiTheme="majorBidi" w:hAnsiTheme="majorBidi" w:cstheme="majorBidi"/>
          <w:color w:val="000000" w:themeColor="text1"/>
          <w:szCs w:val="20"/>
        </w:rPr>
        <w:t>-801106</w:t>
      </w:r>
      <w:r w:rsidRPr="00AC702E">
        <w:rPr>
          <w:rFonts w:asciiTheme="majorBidi" w:hAnsiTheme="majorBidi" w:cstheme="majorBidi"/>
          <w:color w:val="000000" w:themeColor="text1"/>
          <w:szCs w:val="20"/>
        </w:rPr>
        <w:t xml:space="preserve">, India </w:t>
      </w:r>
    </w:p>
    <w:p w14:paraId="7254C85E" w14:textId="77777777" w:rsidR="00F2564B" w:rsidRPr="00AC702E" w:rsidRDefault="00F2564B" w:rsidP="00F2564B">
      <w:pPr>
        <w:shd w:val="clear" w:color="auto" w:fill="FFFFFF" w:themeFill="background1"/>
        <w:rPr>
          <w:rFonts w:asciiTheme="majorBidi" w:hAnsiTheme="majorBidi" w:cstheme="majorBidi"/>
          <w:color w:val="000000" w:themeColor="text1"/>
          <w:szCs w:val="20"/>
        </w:rPr>
      </w:pPr>
      <w:proofErr w:type="spellStart"/>
      <w:proofErr w:type="gramStart"/>
      <w:r w:rsidRPr="00AC702E">
        <w:rPr>
          <w:rFonts w:asciiTheme="majorBidi" w:hAnsiTheme="majorBidi" w:cstheme="majorBidi"/>
          <w:color w:val="000000" w:themeColor="text1"/>
          <w:szCs w:val="20"/>
          <w:vertAlign w:val="superscript"/>
        </w:rPr>
        <w:t>b</w:t>
      </w:r>
      <w:r w:rsidRPr="00AC702E">
        <w:rPr>
          <w:rFonts w:asciiTheme="majorBidi" w:hAnsiTheme="majorBidi" w:cstheme="majorBidi"/>
          <w:color w:val="000000" w:themeColor="text1"/>
          <w:szCs w:val="20"/>
        </w:rPr>
        <w:t>Corresponding</w:t>
      </w:r>
      <w:proofErr w:type="spellEnd"/>
      <w:proofErr w:type="gramEnd"/>
      <w:r w:rsidRPr="00AC702E">
        <w:rPr>
          <w:rFonts w:asciiTheme="majorBidi" w:hAnsiTheme="majorBidi" w:cstheme="majorBidi"/>
          <w:color w:val="000000" w:themeColor="text1"/>
          <w:szCs w:val="20"/>
        </w:rPr>
        <w:t xml:space="preserve"> Author, araj@iitp.ac.in</w:t>
      </w:r>
    </w:p>
    <w:p w14:paraId="4151F8AD" w14:textId="77777777" w:rsidR="001C45B9" w:rsidRDefault="001C45B9" w:rsidP="001C45B9">
      <w:pPr>
        <w:shd w:val="clear" w:color="auto" w:fill="FFFFFF" w:themeFill="background1"/>
        <w:spacing w:after="0"/>
        <w:rPr>
          <w:b/>
        </w:rPr>
      </w:pPr>
    </w:p>
    <w:p w14:paraId="00BDD194" w14:textId="77777777" w:rsidR="001C45B9" w:rsidRPr="00BE347E" w:rsidRDefault="001C45B9" w:rsidP="001C45B9">
      <w:pPr>
        <w:shd w:val="clear" w:color="auto" w:fill="FFFFFF" w:themeFill="background1"/>
        <w:spacing w:after="0"/>
        <w:rPr>
          <w:b/>
        </w:rPr>
      </w:pPr>
      <w:r>
        <w:rPr>
          <w:b/>
        </w:rPr>
        <w:t>S1</w:t>
      </w:r>
      <w:r w:rsidRPr="00BE347E">
        <w:rPr>
          <w:b/>
        </w:rPr>
        <w:t>. VALIDATION</w:t>
      </w:r>
    </w:p>
    <w:p w14:paraId="0D1DCE3F" w14:textId="77777777" w:rsidR="001C45B9" w:rsidRPr="00BE347E" w:rsidRDefault="001C45B9" w:rsidP="001C45B9">
      <w:pPr>
        <w:pStyle w:val="ListParagraph"/>
        <w:shd w:val="clear" w:color="auto" w:fill="FFFFFF" w:themeFill="background1"/>
        <w:spacing w:after="0"/>
        <w:rPr>
          <w:b/>
        </w:rPr>
      </w:pPr>
    </w:p>
    <w:p w14:paraId="4B7DF232" w14:textId="71FCF8F8" w:rsidR="001C45B9" w:rsidRPr="00BE347E" w:rsidRDefault="001C45B9" w:rsidP="001C45B9">
      <w:pPr>
        <w:shd w:val="clear" w:color="auto" w:fill="FFFFFF" w:themeFill="background1"/>
        <w:spacing w:line="360" w:lineRule="auto"/>
        <w:rPr>
          <w:rFonts w:eastAsiaTheme="minorEastAsia"/>
        </w:rPr>
      </w:pPr>
      <w:r w:rsidRPr="00BE347E">
        <w:rPr>
          <w:rFonts w:eastAsiaTheme="minorEastAsia"/>
        </w:rPr>
        <w:t xml:space="preserve">   In order to validate the numerical model adopted in this work, as explained in Sec. </w:t>
      </w:r>
      <w:r w:rsidR="001812C2">
        <w:rPr>
          <w:rFonts w:eastAsiaTheme="minorEastAsia"/>
        </w:rPr>
        <w:t>4</w:t>
      </w:r>
      <w:r w:rsidRPr="00BE347E">
        <w:rPr>
          <w:rFonts w:eastAsiaTheme="minorEastAsia"/>
        </w:rPr>
        <w:t>, we hav</w:t>
      </w:r>
      <w:r w:rsidR="00E51D2F">
        <w:rPr>
          <w:rFonts w:eastAsiaTheme="minorEastAsia"/>
        </w:rPr>
        <w:t>e obtained results (shown Fig. s1</w:t>
      </w:r>
      <w:r w:rsidRPr="00BE347E">
        <w:rPr>
          <w:rFonts w:eastAsiaTheme="minorEastAsia"/>
        </w:rPr>
        <w:t xml:space="preserve">) similar with those present in the literature for flow in a channel with </w:t>
      </w:r>
      <w:proofErr w:type="spellStart"/>
      <w:r w:rsidRPr="00BE347E">
        <w:rPr>
          <w:rFonts w:eastAsiaTheme="minorEastAsia"/>
        </w:rPr>
        <w:t>superhydrophobic</w:t>
      </w:r>
      <w:proofErr w:type="spellEnd"/>
      <w:r w:rsidRPr="00BE347E">
        <w:rPr>
          <w:rFonts w:eastAsiaTheme="minorEastAsia"/>
        </w:rPr>
        <w:t xml:space="preserve"> surface only, i.e., without deformable wall</w:t>
      </w:r>
      <w:r w:rsidR="00E51D2F">
        <w:rPr>
          <w:rFonts w:eastAsiaTheme="minorEastAsia"/>
        </w:rPr>
        <w:t xml:space="preserve"> (Fig. </w:t>
      </w:r>
      <w:proofErr w:type="gramStart"/>
      <w:r w:rsidR="00E51D2F">
        <w:rPr>
          <w:rFonts w:eastAsiaTheme="minorEastAsia"/>
        </w:rPr>
        <w:t>s1(</w:t>
      </w:r>
      <w:proofErr w:type="gramEnd"/>
      <w:r w:rsidR="00E51D2F">
        <w:rPr>
          <w:rFonts w:eastAsiaTheme="minorEastAsia"/>
        </w:rPr>
        <w:t>a) and for the flow in a compliant microchannel channel with the top wall deformable (Fig. s1(b))</w:t>
      </w:r>
      <w:r w:rsidRPr="00BE347E">
        <w:rPr>
          <w:rFonts w:eastAsiaTheme="minorEastAsia"/>
        </w:rPr>
        <w:t>.</w:t>
      </w:r>
    </w:p>
    <w:p w14:paraId="39C14D0E" w14:textId="77777777" w:rsidR="006647D6" w:rsidRDefault="006647D6" w:rsidP="001C45B9">
      <w:pPr>
        <w:shd w:val="clear" w:color="auto" w:fill="FFFFFF" w:themeFill="background1"/>
        <w:spacing w:before="240" w:line="360" w:lineRule="auto"/>
        <w:rPr>
          <w:color w:val="0070C0"/>
          <w:sz w:val="22"/>
          <w:szCs w:val="24"/>
        </w:rPr>
      </w:pPr>
      <w:r w:rsidRPr="006647D6">
        <w:rPr>
          <w:color w:val="0070C0"/>
          <w:sz w:val="22"/>
          <w:szCs w:val="24"/>
        </w:rPr>
        <w:t xml:space="preserve"> </w:t>
      </w:r>
      <w:r w:rsidRPr="006647D6">
        <w:rPr>
          <w:noProof/>
          <w:lang w:eastAsia="en-IN" w:bidi="hi-IN"/>
        </w:rPr>
        <w:drawing>
          <wp:inline distT="0" distB="0" distL="0" distR="0" wp14:anchorId="2A97DB7A" wp14:editId="1ECB9776">
            <wp:extent cx="5586826" cy="2336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316"/>
                    <a:stretch/>
                  </pic:blipFill>
                  <pic:spPr bwMode="auto">
                    <a:xfrm>
                      <a:off x="0" y="0"/>
                      <a:ext cx="5588000" cy="2337291"/>
                    </a:xfrm>
                    <a:prstGeom prst="rect">
                      <a:avLst/>
                    </a:prstGeom>
                    <a:noFill/>
                    <a:ln>
                      <a:noFill/>
                    </a:ln>
                    <a:extLst>
                      <a:ext uri="{53640926-AAD7-44D8-BBD7-CCE9431645EC}">
                        <a14:shadowObscured xmlns:a14="http://schemas.microsoft.com/office/drawing/2010/main"/>
                      </a:ext>
                    </a:extLst>
                  </pic:spPr>
                </pic:pic>
              </a:graphicData>
            </a:graphic>
          </wp:inline>
        </w:drawing>
      </w:r>
    </w:p>
    <w:p w14:paraId="47B5EEFF" w14:textId="77777777" w:rsidR="006F070E" w:rsidRPr="0028333D" w:rsidRDefault="006F070E" w:rsidP="001C45B9">
      <w:pPr>
        <w:shd w:val="clear" w:color="auto" w:fill="FFFFFF" w:themeFill="background1"/>
        <w:spacing w:before="240" w:line="360" w:lineRule="auto"/>
      </w:pPr>
      <w:proofErr w:type="gramStart"/>
      <w:r w:rsidRPr="0028333D">
        <w:rPr>
          <w:b/>
        </w:rPr>
        <w:t>Fig. s1.</w:t>
      </w:r>
      <w:proofErr w:type="gramEnd"/>
      <w:r w:rsidRPr="0028333D">
        <w:t xml:space="preserve"> Validation: (a) VOF model- Velocity profiles along the vertical central line (shown in inset) running over the cavity centre up to the top wall, and (b) two-way FSI model- pressure drop across the channel at different flow rates.</w:t>
      </w:r>
    </w:p>
    <w:p w14:paraId="299E8F78" w14:textId="7FFCA742" w:rsidR="001C45B9" w:rsidRPr="00BE347E" w:rsidRDefault="005C18B7" w:rsidP="001C45B9">
      <w:pPr>
        <w:shd w:val="clear" w:color="auto" w:fill="FFFFFF" w:themeFill="background1"/>
        <w:spacing w:before="240" w:line="360" w:lineRule="auto"/>
      </w:pPr>
      <w:r w:rsidRPr="0028333D">
        <w:t xml:space="preserve">The use of unsteady VOF model for the two-phase interface tracking is very common for modelling hydrophobic and </w:t>
      </w:r>
      <w:proofErr w:type="spellStart"/>
      <w:r w:rsidRPr="0028333D">
        <w:t>superhydrophobic</w:t>
      </w:r>
      <w:proofErr w:type="spellEnd"/>
      <w:r w:rsidRPr="0028333D">
        <w:t xml:space="preserve"> surfaces with ridge-cavity modules on the wall surface. The same can be found in many earlier studies</w:t>
      </w:r>
      <w:r w:rsidR="00C978C2">
        <w:fldChar w:fldCharType="begin" w:fldLock="1"/>
      </w:r>
      <w:r w:rsidR="00483B43">
        <w:instrText>ADDIN CSL_CITATION {"citationItems":[{"id":"ITEM-1","itemData":{"DOI":"10.1088/0960-1317/25/12/125002","ISSN":"13616439","abstract":"Surface texturing at the micro/nanolevel allows air to be trapped in sufficiently small cavities, thereby reducing the flow resistance over the surface in the laminar regime. The nature of the liquid-gas meniscus plays an important role in defining the boundary condition and it depends on the flow conditions and geometrical properties of textures. In the present work, we employ the unsteady volume of fluid model to investigate the behavior of the liquid-gas meniscus for ridges arranged normal to the flow direction to substantiate the frictional resistance of flow in a microchannel. It is found that the assumption of 'zero shear stress' at the liquid-gas interface grossly overpredicts the effective slip length with meniscus curvature and local partial slip length playing the dominant role. Numerical simulations performed in the laminar regime (20 &lt; Re &lt; 120) over single layered ridges normal to the flow direction revealed the effect of texture geometry on the reduction in pressure drop. In single layered structures, lotus-like geometries exhibited a greater reduction in drag (more than 30%) when compared to all other texture geometries. It is recognized that the flow experiences expansion and contraction cycles as it flows over the transverse ridges increasing the frictional resistance. Our findings will help to modify the boundary condition at the liquid-gas meniscus for accurate modeling in the laminar regime and to optimize the texture geometry to improve drag reduction.","author":[{"dropping-particle":"","family":"Gaddam","given":"Anvesh","non-dropping-particle":"","parse-names":false,"suffix":""},{"dropping-particle":"","family":"Garg","given":"Mayank","non-dropping-particle":"","parse-names":false,"suffix":""},{"dropping-particle":"","family":"Agrawal","given":"Amit","non-dropping-particle":"","parse-names":false,"suffix":""},{"dropping-particle":"","family":"Joshi","given":"Suhas S.","non-dropping-particle":"","parse-names":false,"suffix":""}],"container-title":"Journal of Micromechanics and Microengineering","id":"ITEM-1","issue":"12","issued":{"date-parts":[["2015"]]},"page":"125002","publisher":"IOP Publishing","title":"Modeling of liquid-gas meniscus for textured surfaces: Effects of curvature and local slip length","type":"article-journal","volume":"25"},"uris":["http://www.mendeley.com/documents/?uuid=e22cb4da-8ae8-4215-9911-fc4b9dc297fa"]},{"id":"ITEM-2","itemData":{"DOI":"10.1063/5.0073041","ISSN":"10897666","abstract":"Although superhydrophobic surfaces that achieve underwater drag reduction by entrapped gas have become a consensus, few studies have analyzed the influence of bubble morphology on the drag reduction effect. Therefore, this paper proposes a grooved surface to achieve underwater drag reduction and discusses the influence of a bubble state on the underwater drag reduction effect through a numerical study. The results indicate that the morphological deformation of bubbles at different flow velocities can be divided into three states. State I: at low flow velocities, the entrapped gas remains as bubbles are contained with each groove; state II: at intermediate flow velocities, the bubbles deform and bridge multiple grooves forming a gas layer; and state III: at high flow velocities, bubbles break off of the gas layer, but the layer persists with a reduced volume. When the morphology of the bubble changes, the values of pressure drag and viscous drag also change over time. In the flow velocity range of 15-22 m/s (corresponding to states II and III), the hydrophobic grooved surface can obtain a considerable drag reduction effect. The morphology of entrapped gas at the liquid-solid interface is continuously changing, and the drag reduction effect is related to the morphology of the gas-liquid interface. In addition, experiments were carried out to verify the numerical simulation results. The results provide a theoretical basis for the surface structure design of underwater drag reduction and are helpful to the further research and applications of engineering.","author":[{"dropping-particle":"","family":"Wang","given":"Zhe","non-dropping-particle":"","parse-names":false,"suffix":""},{"dropping-particle":"","family":"Wang","given":"Bao","non-dropping-particle":"","parse-names":false,"suffix":""},{"dropping-particle":"","family":"Weng","given":"Ding","non-dropping-particle":"","parse-names":false,"suffix":""},{"dropping-particle":"","family":"Wang","given":"Caihua","non-dropping-particle":"","parse-names":false,"suffix":""},{"dropping-particle":"","family":"Sun","given":"Na","non-dropping-particle":"","parse-names":false,"suffix":""},{"dropping-particle":"","family":"Wang","given":"Jiadao","non-dropping-particle":"","parse-names":false,"suffix":""}],"container-title":"Physics of Fluids","id":"ITEM-2","issue":"12","issued":{"date-parts":[["2021"]]},"publisher":"AIP Publishing LLC","title":"Influence of entrapped gas morphology at liquid-solid interface on underwater drag reduction effect","type":"article-journal","volume":"33"},"uris":["http://www.mendeley.com/documents/?uuid=91e7ba3a-085a-4a42-a005-f294badaf33a"]},{"id":"ITEM-3","itemData":{"DOI":"10.1007/s10404-019-2297-8","ISBN":"0123456789","ISSN":"16134990","abstract":"Slippery hydrodynamics in grooved hydrophobic microchannels is known to be primarily dictated by the area of the gas–liquid contact surface. Here, we augment this classical notion by bringing out the critical role played by the channel dimensions on the underlying slip mechanisms and the consequent drag reduction. Our analysis, towards this, reveals the non-trivial implication of gas–liquid interface topology and its position inside the groove towards dictating the underlying frictional characteristics, which in turn is largely dependent on the confluence of the channel hydraulic diameter and the groove width. These results may turn out to be of immense consequence towards arriving at preferred frictional drag characteristics of hydrophobic microchannels and nanochannels by judicious choices of the pertinent geometric parameters.","author":[{"dropping-particle":"","family":"Dey","given":"Prasenjit","non-dropping-particle":"","parse-names":false,"suffix":""},{"dropping-particle":"","family":"Saha","given":"Sandip K.","non-dropping-particle":"","parse-names":false,"suffix":""},{"dropping-particle":"","family":"Chakraborty","given":"Suman","non-dropping-particle":"","parse-names":false,"suffix":""}],"container-title":"Microfluidics and Nanofluidics","id":"ITEM-3","issue":"3","issued":{"date-parts":[["2020"]]},"page":"1-15","publisher":"Springer Berlin Heidelberg","title":"Confluence of channel dimensions and groove width dictates slippery hydrodynamics in grooved hydrophobic confinements","type":"article-journal","volume":"24"},"uris":["http://www.mendeley.com/documents/?uuid=17ea0ba9-036d-49b8-bb8b-d2288ec89d29"]},{"id":"ITEM-4","itemData":{"DOI":"10.1063/1.5119412","ISSN":"10897666","abstract":"We bring out a critical force for shape transition of air-water meniscus in superhydrophobic triangular microgrooves under dynamic conditions, considering an intricate interplay of the viscous and capillary forces. A closed form theoretical expression for the critical force depicts its explicit dependence on the groove geometry and relevant physical properties. A negative value of this critical force denotes a convex meniscus shape, whereas a positive value signifies a concave meniscus shape. Considering the shape transition, the critical pressure is further interpreted to denote a physical condition under which the meniscus is nontrivially flat, despite the existence of surface tension forces. Our analysis opens up a paradigm by which the meniscus shape in a groove can be virtually controlled at will, consistent with the specific requirements such as drag reduction, as demanded by the application on hand.","author":[{"dropping-particle":"","family":"Dey","given":"Prasenjit","non-dropping-particle":"","parse-names":false,"suffix":""},{"dropping-particle":"","family":"Saha","given":"Sandip K.","non-dropping-particle":"","parse-names":false,"suffix":""},{"dropping-particle":"","family":"Chakraborty","given":"Suman","non-dropping-particle":"","parse-names":false,"suffix":""}],"container-title":"Physics of Fluids","id":"ITEM-4","issue":"10","issued":{"date-parts":[["2019"]]},"publisher":"AIP Publishing, LLC","title":"Air-water meniscus shape in superhydrophobic triangular microgroove is dictated by a critical pressure under dynamic conditions","type":"article-journal","volume":"31"},"uris":["http://www.mendeley.com/documents/?uuid=311f33de-525d-4ce4-a91f-bcb751dde370"]},{"id":"ITEM-5","itemData":{"DOI":"10.1016/j.ijmultiphaseflow.2009.11.009","ISSN":"03019322","abstract":"Gas-liquid two-phase flow in a microfluidic T-junction with nearly square microchannels of 113 μm hydraulic diameter was investigated experimentally and numerically. Air and water superficial velocities were 0.018-0.791 m/s and 0.042-0.757 m/s, respectively. Three-dimensional modeling was performed with computational fluid dynamics (CFD) software FLUENT and the volume of fluid (VOF) model. Slug flow (snapping/breaking/jetting) and stratified flow were observed experimentally. Numerically predicted void fraction followed a linear relationship with the homogeneous void fraction, while experimental values depended on the superficial velocity ratio UG/UL. Higher experimental velocity slip caused by gas inlet pressure build-up and oscillation caused deviation from numerical predictions. Velocity slip was found to depend on the cross-sectional area coverage of the gas slug, the formation of a liquid film and the presence of liquid at the channel corners. Numerical modeling was found to require improvement to treat the contact angle and contact line slip, and could benefit from the use of a dynamic boundary condition to simulate the compressible gas phase inlet reservoir. © 2009 Elsevier Ltd. All rights reserved.","author":[{"dropping-particle":"","family":"Santos","given":"Rafael M.","non-dropping-particle":"","parse-names":false,"suffix":""},{"dropping-particle":"","family":"Kawaji","given":"Masahiro","non-dropping-particle":"","parse-names":false,"suffix":""}],"container-title":"International Journal of Multiphase Flow","id":"ITEM-5","issue":"4","issued":{"date-parts":[["2010"]]},"page":"314-323","publisher":"Elsevier Ltd","title":"Numerical modeling and experimental investigation of gas-liquid slug formation in a microchannel T-junction","type":"article-journal","volume":"36"},"uris":["http://www.mendeley.com/documents/?uuid=72bdd554-37e2-4d29-84a4-0b83d98277a0"]}],"mendeley":{"formattedCitation":"(Santos and Kawaji 2010; Gaddam et al. 2015; Dey et al. 2019, 2020; Wang et al. 2021)","plainTextFormattedCitation":"(Santos and Kawaji 2010; Gaddam et al. 2015; Dey et al. 2019, 2020; Wang et al. 2021)","previouslyFormattedCitation":"(Dey et al., 2020, 2019; Gaddam et al., 2015; Santos and Kawaji, 2010; Wang et al., 2021)"},"properties":{"noteIndex":0},"schema":"https://github.com/citation-style-language/schema/raw/master/csl-citation.json"}</w:instrText>
      </w:r>
      <w:r w:rsidR="00C978C2">
        <w:fldChar w:fldCharType="separate"/>
      </w:r>
      <w:r w:rsidR="00483B43" w:rsidRPr="00483B43">
        <w:rPr>
          <w:noProof/>
        </w:rPr>
        <w:t>(Santos and Kawaji 2010; Gaddam et al. 2015; Dey et al. 2019, 2020; Wang et al. 2021)</w:t>
      </w:r>
      <w:r w:rsidR="00C978C2">
        <w:fldChar w:fldCharType="end"/>
      </w:r>
      <w:r w:rsidRPr="0028333D">
        <w:t xml:space="preserve">. </w:t>
      </w:r>
      <w:r w:rsidR="001C45B9" w:rsidRPr="0028333D">
        <w:t xml:space="preserve">A validation work for VOF model has been </w:t>
      </w:r>
      <w:r w:rsidR="001C45B9" w:rsidRPr="00BE347E">
        <w:t xml:space="preserve">performed with the numerical model of </w:t>
      </w:r>
      <w:proofErr w:type="spellStart"/>
      <w:r w:rsidR="001C45B9" w:rsidRPr="00BE347E">
        <w:t>Gaddam</w:t>
      </w:r>
      <w:proofErr w:type="spellEnd"/>
      <w:r w:rsidR="001C45B9" w:rsidRPr="00BE347E">
        <w:t xml:space="preserve"> et al.</w:t>
      </w:r>
      <w:r w:rsidR="001C45B9" w:rsidRPr="00BE347E">
        <w:fldChar w:fldCharType="begin" w:fldLock="1"/>
      </w:r>
      <w:r w:rsidR="00483B43">
        <w:instrText>ADDIN CSL_CITATION {"citationItems":[{"id":"ITEM-1","itemData":{"DOI":"10.1088/0960-1317/25/12/125002","ISSN":"13616439","abstract":"Surface texturing at the micro/nanolevel allows air to be trapped in sufficiently small cavities, thereby reducing the flow resistance over the surface in the laminar regime. The nature of the liquid-gas meniscus plays an important role in defining the boundary condition and it depends on the flow conditions and geometrical properties of textures. In the present work, we employ the unsteady volume of fluid model to investigate the behavior of the liquid-gas meniscus for ridges arranged normal to the flow direction to substantiate the frictional resistance of flow in a microchannel. It is found that the assumption of 'zero shear stress' at the liquid-gas interface grossly overpredicts the effective slip length with meniscus curvature and local partial slip length playing the dominant role. Numerical simulations performed in the laminar regime (20 &lt; Re &lt; 120) over single layered ridges normal to the flow direction revealed the effect of texture geometry on the reduction in pressure drop. In single layered structures, lotus-like geometries exhibited a greater reduction in drag (more than 30%) when compared to all other texture geometries. It is recognized that the flow experiences expansion and contraction cycles as it flows over the transverse ridges increasing the frictional resistance. Our findings will help to modify the boundary condition at the liquid-gas meniscus for accurate modeling in the laminar regime and to optimize the texture geometry to improve drag reduction.","author":[{"dropping-particle":"","family":"Gaddam","given":"Anvesh","non-dropping-particle":"","parse-names":false,"suffix":""},{"dropping-particle":"","family":"Garg","given":"Mayank","non-dropping-particle":"","parse-names":false,"suffix":""},{"dropping-particle":"","family":"Agrawal","given":"Amit","non-dropping-particle":"","parse-names":false,"suffix":""},{"dropping-particle":"","family":"Joshi","given":"Suhas S.","non-dropping-particle":"","parse-names":false,"suffix":""}],"container-title":"Journal of Micromechanics and Microengineering","id":"ITEM-1","issue":"12","issued":{"date-parts":[["2015"]]},"page":"125002","publisher":"IOP Publishing","title":"Modeling of liquid-gas meniscus for textured surfaces: Effects of curvature and local slip length","type":"article-journal","volume":"25"},"uris":["http://www.mendeley.com/documents/?uuid=e22cb4da-8ae8-4215-9911-fc4b9dc297fa"]}],"mendeley":{"formattedCitation":"(Gaddam et al. 2015)","plainTextFormattedCitation":"(Gaddam et al. 2015)","previouslyFormattedCitation":"(Gaddam et al., 2015)"},"properties":{"noteIndex":0},"schema":"https://github.com/citation-style-language/schema/raw/master/csl-citation.json"}</w:instrText>
      </w:r>
      <w:r w:rsidR="001C45B9" w:rsidRPr="00BE347E">
        <w:fldChar w:fldCharType="separate"/>
      </w:r>
      <w:r w:rsidR="00483B43" w:rsidRPr="00483B43">
        <w:rPr>
          <w:noProof/>
        </w:rPr>
        <w:t>(</w:t>
      </w:r>
      <w:proofErr w:type="spellStart"/>
      <w:r w:rsidR="00483B43" w:rsidRPr="00483B43">
        <w:rPr>
          <w:noProof/>
        </w:rPr>
        <w:t>Gaddam</w:t>
      </w:r>
      <w:proofErr w:type="spellEnd"/>
      <w:r w:rsidR="00483B43" w:rsidRPr="00483B43">
        <w:rPr>
          <w:noProof/>
        </w:rPr>
        <w:t xml:space="preserve"> et al. 2015)</w:t>
      </w:r>
      <w:r w:rsidR="001C45B9" w:rsidRPr="00BE347E">
        <w:fldChar w:fldCharType="end"/>
      </w:r>
      <w:r w:rsidR="001C45B9" w:rsidRPr="00BE347E">
        <w:t xml:space="preserve"> for transverse cavity-ridge arrangement at Re = 1 and the same has been compared </w:t>
      </w:r>
      <w:r w:rsidR="001C45B9" w:rsidRPr="00BE347E">
        <w:lastRenderedPageBreak/>
        <w:t xml:space="preserve">with the present simulation with our adopted numerical methodology. </w:t>
      </w:r>
      <w:proofErr w:type="spellStart"/>
      <w:r w:rsidR="001C45B9" w:rsidRPr="00BE347E">
        <w:t>Gaddam</w:t>
      </w:r>
      <w:proofErr w:type="spellEnd"/>
      <w:r w:rsidR="001C45B9" w:rsidRPr="00BE347E">
        <w:t xml:space="preserve"> et al.</w:t>
      </w:r>
      <w:r w:rsidR="001C45B9" w:rsidRPr="00BE347E">
        <w:fldChar w:fldCharType="begin" w:fldLock="1"/>
      </w:r>
      <w:r w:rsidR="00483B43">
        <w:instrText>ADDIN CSL_CITATION {"citationItems":[{"id":"ITEM-1","itemData":{"DOI":"10.1088/0960-1317/25/12/125002","ISSN":"13616439","abstract":"Surface texturing at the micro/nanolevel allows air to be trapped in sufficiently small cavities, thereby reducing the flow resistance over the surface in the laminar regime. The nature of the liquid-gas meniscus plays an important role in defining the boundary condition and it depends on the flow conditions and geometrical properties of textures. In the present work, we employ the unsteady volume of fluid model to investigate the behavior of the liquid-gas meniscus for ridges arranged normal to the flow direction to substantiate the frictional resistance of flow in a microchannel. It is found that the assumption of 'zero shear stress' at the liquid-gas interface grossly overpredicts the effective slip length with meniscus curvature and local partial slip length playing the dominant role. Numerical simulations performed in the laminar regime (20 &lt; Re &lt; 120) over single layered ridges normal to the flow direction revealed the effect of texture geometry on the reduction in pressure drop. In single layered structures, lotus-like geometries exhibited a greater reduction in drag (more than 30%) when compared to all other texture geometries. It is recognized that the flow experiences expansion and contraction cycles as it flows over the transverse ridges increasing the frictional resistance. Our findings will help to modify the boundary condition at the liquid-gas meniscus for accurate modeling in the laminar regime and to optimize the texture geometry to improve drag reduction.","author":[{"dropping-particle":"","family":"Gaddam","given":"Anvesh","non-dropping-particle":"","parse-names":false,"suffix":""},{"dropping-particle":"","family":"Garg","given":"Mayank","non-dropping-particle":"","parse-names":false,"suffix":""},{"dropping-particle":"","family":"Agrawal","given":"Amit","non-dropping-particle":"","parse-names":false,"suffix":""},{"dropping-particle":"","family":"Joshi","given":"Suhas S.","non-dropping-particle":"","parse-names":false,"suffix":""}],"container-title":"Journal of Micromechanics and Microengineering","id":"ITEM-1","issue":"12","issued":{"date-parts":[["2015"]]},"page":"125002","publisher":"IOP Publishing","title":"Modeling of liquid-gas meniscus for textured surfaces: Effects of curvature and local slip length","type":"article-journal","volume":"25"},"uris":["http://www.mendeley.com/documents/?uuid=e22cb4da-8ae8-4215-9911-fc4b9dc297fa"]}],"mendeley":{"formattedCitation":"(Gaddam et al. 2015)","plainTextFormattedCitation":"(Gaddam et al. 2015)","previouslyFormattedCitation":"(Gaddam et al., 2015)"},"properties":{"noteIndex":0},"schema":"https://github.com/citation-style-language/schema/raw/master/csl-citation.json"}</w:instrText>
      </w:r>
      <w:r w:rsidR="001C45B9" w:rsidRPr="00BE347E">
        <w:fldChar w:fldCharType="separate"/>
      </w:r>
      <w:r w:rsidR="00483B43" w:rsidRPr="00483B43">
        <w:rPr>
          <w:noProof/>
        </w:rPr>
        <w:t>(</w:t>
      </w:r>
      <w:proofErr w:type="spellStart"/>
      <w:r w:rsidR="00483B43" w:rsidRPr="00483B43">
        <w:rPr>
          <w:noProof/>
        </w:rPr>
        <w:t>Gaddam</w:t>
      </w:r>
      <w:proofErr w:type="spellEnd"/>
      <w:r w:rsidR="00483B43" w:rsidRPr="00483B43">
        <w:rPr>
          <w:noProof/>
        </w:rPr>
        <w:t xml:space="preserve"> et al. 2015)</w:t>
      </w:r>
      <w:r w:rsidR="001C45B9" w:rsidRPr="00BE347E">
        <w:fldChar w:fldCharType="end"/>
      </w:r>
      <w:r w:rsidR="001C45B9" w:rsidRPr="00BE347E">
        <w:t xml:space="preserve"> have validated their model with the experimental model of </w:t>
      </w:r>
      <w:proofErr w:type="spellStart"/>
      <w:r w:rsidR="001C45B9" w:rsidRPr="00BE347E">
        <w:t>Ou</w:t>
      </w:r>
      <w:proofErr w:type="spellEnd"/>
      <w:r w:rsidR="001C45B9" w:rsidRPr="00BE347E">
        <w:t xml:space="preserve"> et al.</w:t>
      </w:r>
      <w:r w:rsidR="001C45B9" w:rsidRPr="00BE347E">
        <w:fldChar w:fldCharType="begin" w:fldLock="1"/>
      </w:r>
      <w:r w:rsidR="00483B43">
        <w:instrText>ADDIN CSL_CITATION {"citationItems":[{"id":"ITEM-1","itemData":{"DOI":"10.1063/1.1812011","ISSN":"10706631","abstract":"A series of experiments is presented which demonstrate significant drag reduction for the laminar flow of water through microchannels using hydrophobic surfaces with well-defined micron-sized surface roughness. These ultrahydrophobic surfaces are fabricated from silicon wafers using photolithography and are designed to incorporate precise patterns of microposts and microridges which are made hydrophobic through a chemical reaction with an organosilane. An experimental flow cell is used to measure the pressure drop as a function of the flow rate for a series of microchannel geometries and ultrahydrophobic surface designs. Pressure drop reductions up to 40% and apparent slip lengths larger than 20 μm are obtained using ultrahydrophobic surfaces. No drag reduction is observed for smooth hydrophobic surfaces. A confocal surface metrology system was used to measure the deflection of an air-water interface that is formed between microposts and supported by surface tension. This shear-free interface reduces the flow resistance by allowing the fluid to contact only a very small effective area of the silicon surface. The impact of the surface topology on the drag reduction is explored in detail and the results are found to be in good qualitative agreement with the predictions of analytical theory.","author":[{"dropping-particle":"","family":"Ou","given":"Jia","non-dropping-particle":"","parse-names":false,"suffix":""},{"dropping-particle":"","family":"Perot","given":"Blair","non-dropping-particle":"","parse-names":false,"suffix":""},{"dropping-particle":"","family":"Rothstein","given":"Jonathan P.","non-dropping-particle":"","parse-names":false,"suffix":""}],"container-title":"Physics of Fluids","id":"ITEM-1","issue":"12","issued":{"date-parts":[["2004"]]},"page":"4635-4643","title":"Laminar drag reduction in microchannels using ultrahydrophobic surfaces","type":"article-journal","volume":"16"},"uris":["http://www.mendeley.com/documents/?uuid=6497317c-5421-4d06-a020-858ab3e1e4ba"]}],"mendeley":{"formattedCitation":"(Ou et al. 2004)","plainTextFormattedCitation":"(Ou et al. 2004)","previouslyFormattedCitation":"(Ou et al., 2004)"},"properties":{"noteIndex":0},"schema":"https://github.com/citation-style-language/schema/raw/master/csl-citation.json"}</w:instrText>
      </w:r>
      <w:r w:rsidR="001C45B9" w:rsidRPr="00BE347E">
        <w:fldChar w:fldCharType="separate"/>
      </w:r>
      <w:proofErr w:type="gramStart"/>
      <w:r w:rsidR="00483B43" w:rsidRPr="00483B43">
        <w:rPr>
          <w:noProof/>
        </w:rPr>
        <w:t>(</w:t>
      </w:r>
      <w:proofErr w:type="spellStart"/>
      <w:r w:rsidR="00483B43" w:rsidRPr="00483B43">
        <w:rPr>
          <w:noProof/>
        </w:rPr>
        <w:t>Ou</w:t>
      </w:r>
      <w:proofErr w:type="spellEnd"/>
      <w:r w:rsidR="00483B43" w:rsidRPr="00483B43">
        <w:rPr>
          <w:noProof/>
        </w:rPr>
        <w:t xml:space="preserve"> et al. 2004)</w:t>
      </w:r>
      <w:r w:rsidR="001C45B9" w:rsidRPr="00BE347E">
        <w:fldChar w:fldCharType="end"/>
      </w:r>
      <w:r w:rsidR="001C45B9" w:rsidRPr="00BE347E">
        <w:t>.</w:t>
      </w:r>
      <w:proofErr w:type="gramEnd"/>
      <w:r w:rsidR="001C45B9" w:rsidRPr="00BE347E" w:rsidDel="00C935E1">
        <w:t xml:space="preserve"> </w:t>
      </w:r>
      <w:r w:rsidR="001C45B9" w:rsidRPr="00BE347E">
        <w:t xml:space="preserve">This justifies the use of their model being used as a benchmark in this study. </w:t>
      </w:r>
    </w:p>
    <w:p w14:paraId="42F2B879" w14:textId="06C3EFDA" w:rsidR="001C45B9" w:rsidRPr="004D346C" w:rsidRDefault="001C45B9" w:rsidP="001C45B9">
      <w:pPr>
        <w:shd w:val="clear" w:color="auto" w:fill="FFFFFF" w:themeFill="background1"/>
        <w:spacing w:after="0" w:line="360" w:lineRule="auto"/>
        <w:rPr>
          <w:i/>
        </w:rPr>
      </w:pPr>
      <w:r w:rsidRPr="00BE347E">
        <w:t xml:space="preserve">The velocity profile along the vertical central line (shown in inset of Fig. 2) of the present simulation shows a good agreement with the work of </w:t>
      </w:r>
      <w:proofErr w:type="spellStart"/>
      <w:r w:rsidRPr="00BE347E">
        <w:t>Gaddam</w:t>
      </w:r>
      <w:proofErr w:type="spellEnd"/>
      <w:r w:rsidRPr="00BE347E">
        <w:t xml:space="preserve"> et al.</w:t>
      </w:r>
      <w:r w:rsidRPr="00BE347E">
        <w:fldChar w:fldCharType="begin" w:fldLock="1"/>
      </w:r>
      <w:r w:rsidR="00483B43">
        <w:instrText>ADDIN CSL_CITATION {"citationItems":[{"id":"ITEM-1","itemData":{"DOI":"10.1088/0960-1317/25/12/125002","ISSN":"13616439","abstract":"Surface texturing at the micro/nanolevel allows air to be trapped in sufficiently small cavities, thereby reducing the flow resistance over the surface in the laminar regime. The nature of the liquid-gas meniscus plays an important role in defining the boundary condition and it depends on the flow conditions and geometrical properties of textures. In the present work, we employ the unsteady volume of fluid model to investigate the behavior of the liquid-gas meniscus for ridges arranged normal to the flow direction to substantiate the frictional resistance of flow in a microchannel. It is found that the assumption of 'zero shear stress' at the liquid-gas interface grossly overpredicts the effective slip length with meniscus curvature and local partial slip length playing the dominant role. Numerical simulations performed in the laminar regime (20 &lt; Re &lt; 120) over single layered ridges normal to the flow direction revealed the effect of texture geometry on the reduction in pressure drop. In single layered structures, lotus-like geometries exhibited a greater reduction in drag (more than 30%) when compared to all other texture geometries. It is recognized that the flow experiences expansion and contraction cycles as it flows over the transverse ridges increasing the frictional resistance. Our findings will help to modify the boundary condition at the liquid-gas meniscus for accurate modeling in the laminar regime and to optimize the texture geometry to improve drag reduction.","author":[{"dropping-particle":"","family":"Gaddam","given":"Anvesh","non-dropping-particle":"","parse-names":false,"suffix":""},{"dropping-particle":"","family":"Garg","given":"Mayank","non-dropping-particle":"","parse-names":false,"suffix":""},{"dropping-particle":"","family":"Agrawal","given":"Amit","non-dropping-particle":"","parse-names":false,"suffix":""},{"dropping-particle":"","family":"Joshi","given":"Suhas S.","non-dropping-particle":"","parse-names":false,"suffix":""}],"container-title":"Journal of Micromechanics and Microengineering","id":"ITEM-1","issue":"12","issued":{"date-parts":[["2015"]]},"page":"125002","publisher":"IOP Publishing","title":"Modeling of liquid-gas meniscus for textured surfaces: Effects of curvature and local slip length","type":"article-journal","volume":"25"},"uris":["http://www.mendeley.com/documents/?uuid=e22cb4da-8ae8-4215-9911-fc4b9dc297fa"]}],"mendeley":{"formattedCitation":"(Gaddam et al. 2015)","plainTextFormattedCitation":"(Gaddam et al. 2015)","previouslyFormattedCitation":"(Gaddam et al., 2015)"},"properties":{"noteIndex":0},"schema":"https://github.com/citation-style-language/schema/raw/master/csl-citation.json"}</w:instrText>
      </w:r>
      <w:r w:rsidRPr="00BE347E">
        <w:fldChar w:fldCharType="separate"/>
      </w:r>
      <w:r w:rsidR="00483B43" w:rsidRPr="00483B43">
        <w:rPr>
          <w:noProof/>
        </w:rPr>
        <w:t>(</w:t>
      </w:r>
      <w:proofErr w:type="spellStart"/>
      <w:r w:rsidR="00483B43" w:rsidRPr="00483B43">
        <w:rPr>
          <w:noProof/>
        </w:rPr>
        <w:t>Gaddam</w:t>
      </w:r>
      <w:proofErr w:type="spellEnd"/>
      <w:r w:rsidR="00483B43" w:rsidRPr="00483B43">
        <w:rPr>
          <w:noProof/>
        </w:rPr>
        <w:t xml:space="preserve"> et al. 2015)</w:t>
      </w:r>
      <w:r w:rsidRPr="00BE347E">
        <w:fldChar w:fldCharType="end"/>
      </w:r>
      <w:r w:rsidRPr="00BE347E">
        <w:t xml:space="preserve">, as shown in Fig. </w:t>
      </w:r>
      <w:r w:rsidR="006647D6">
        <w:t>s</w:t>
      </w:r>
      <w:r w:rsidRPr="00BE347E">
        <w:t>2</w:t>
      </w:r>
      <w:r>
        <w:t xml:space="preserve"> (a)</w:t>
      </w:r>
      <w:r w:rsidRPr="00BE347E">
        <w:t>. Here, the x-axis corresponds to the horizontal velocity which has been non-</w:t>
      </w:r>
      <w:proofErr w:type="spellStart"/>
      <w:r w:rsidRPr="00BE347E">
        <w:t>dimensionalized</w:t>
      </w:r>
      <w:proofErr w:type="spellEnd"/>
      <w:r w:rsidRPr="00BE347E">
        <w:t xml:space="preserve"> with the maximum centreline velocity (</w:t>
      </w:r>
      <m:oMath>
        <m:sSub>
          <m:sSubPr>
            <m:ctrlPr>
              <w:rPr>
                <w:rFonts w:ascii="Cambria Math" w:hAnsi="Cambria Math"/>
                <w:i/>
              </w:rPr>
            </m:ctrlPr>
          </m:sSubPr>
          <m:e>
            <m:r>
              <w:rPr>
                <w:rFonts w:ascii="Cambria Math" w:hAnsi="Cambria Math"/>
              </w:rPr>
              <m:t>U</m:t>
            </m:r>
          </m:e>
          <m:sub>
            <m:r>
              <w:rPr>
                <w:rFonts w:ascii="Cambria Math" w:hAnsi="Cambria Math"/>
              </w:rPr>
              <m:t>max</m:t>
            </m:r>
          </m:sub>
        </m:sSub>
      </m:oMath>
      <w:r w:rsidRPr="00BE347E">
        <w:t>) prescribed at the inlet, while the y-axis represents the vertical height from the water-air interface, and it is non-</w:t>
      </w:r>
      <w:proofErr w:type="spellStart"/>
      <w:r w:rsidRPr="0028333D">
        <w:t>dimensionalized</w:t>
      </w:r>
      <w:proofErr w:type="spellEnd"/>
      <w:r w:rsidRPr="0028333D">
        <w:t xml:space="preserve"> with half of the </w:t>
      </w:r>
      <w:proofErr w:type="spellStart"/>
      <w:r w:rsidRPr="0028333D">
        <w:t>undeformed</w:t>
      </w:r>
      <w:proofErr w:type="spellEnd"/>
      <w:r w:rsidRPr="0028333D">
        <w:t xml:space="preserve"> channel </w:t>
      </w:r>
      <w:proofErr w:type="gramStart"/>
      <w:r w:rsidRPr="0028333D">
        <w:t xml:space="preserve">height </w:t>
      </w:r>
      <w:proofErr w:type="gramEnd"/>
      <m:oMath>
        <m:d>
          <m:dPr>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2</m:t>
                </m:r>
              </m:den>
            </m:f>
          </m:e>
        </m:d>
      </m:oMath>
      <w:r w:rsidRPr="0028333D">
        <w:t xml:space="preserve">. Fig. </w:t>
      </w:r>
      <w:r w:rsidR="006647D6" w:rsidRPr="0028333D">
        <w:t>s</w:t>
      </w:r>
      <w:r w:rsidRPr="0028333D">
        <w:t>2 (b) shows the validation of the two-way coupling model used in the study. The present results are within 10% of maximum deviation in pressure drop observed in the experimental data</w:t>
      </w:r>
      <w:r w:rsidR="00A97F35" w:rsidRPr="0028333D">
        <w:t xml:space="preserve"> of Raj et al.</w:t>
      </w:r>
      <w:r w:rsidR="00A97F35" w:rsidRPr="0028333D">
        <w:rPr>
          <w:vertAlign w:val="superscript"/>
        </w:rPr>
        <w:fldChar w:fldCharType="begin" w:fldLock="1"/>
      </w:r>
      <w:r w:rsidR="00483B43">
        <w:rPr>
          <w:vertAlign w:val="superscript"/>
        </w:rPr>
        <w:instrText>ADDIN CSL_CITATION {"citationItems":[{"id":"ITEM-1","itemData":{"DOI":"10.1007/s10404-016-1702-9","ISSN":"16134990","abstract":"We report theoretical and experimental investigations of flow through compliant microchannels in which one of the walls is a thin PDMS membrane. A theoretical model is derived that provides an insight into the physics of the coupled fluid–structure interaction. For a fixed channel size, flow rate and fluid viscosity, a compliance parameter $$f_{\\text{p}}$$fp is identified, which controls the pressure–flow characteristics. The pressure and deflection profiles and pressure–flow characteristics of the compliant microchannels are predicted using the model and compared with experimental data, which show good agreement. The pressure–flow characteristics of the compliant microchannel are compared with that obtained for an identical conventional (rigid) microchannel. For a fixed channel size and flow rate, the effect of fluid viscosity and compliance parameter $$f_{\\text{p}}$$fp on the pressure drop is predicted using the theoretical model, which successfully confront experimental data. The pressure–flow characteristics of a non-Newtonian fluid (0.1 % polyethylene oxide solution) through the compliant and conventional (rigid) microchannels are experimentally measured and compared. The results reveal that for a given change in the flow rate, the corresponding modification in the viscosity due to the shear thinning effect determines the change in the pressure drop in such microchannels.","author":[{"dropping-particle":"","family":"Raj","given":"A.","non-dropping-particle":"","parse-names":false,"suffix":""},{"dropping-particle":"","family":"Sen","given":"A. K.","non-dropping-particle":"","parse-names":false,"suffix":""}],"container-title":"Microfluidics and Nanofluidics","id":"ITEM-1","issue":"2","issued":{"date-parts":[["2016"]]},"note":"Flow-induced deformation of shallow microfluidic channels_Gervias et al._2006: Similar work","page":"1-13","publisher":"Springer Berlin Heidelberg","title":"Flow-induced deformation of compliant microchannels and its effect on pressure–flow characteristics","type":"article-journal","volume":"20"},"uris":["http://www.mendeley.com/documents/?uuid=7f260bbf-71b9-4a65-91ef-ab3a1f8566ba"]}],"mendeley":{"formattedCitation":"(Raj and Sen 2016)","plainTextFormattedCitation":"(Raj and Sen 2016)","previouslyFormattedCitation":"(Raj and Sen, 2016)"},"properties":{"noteIndex":0},"schema":"https://github.com/citation-style-language/schema/raw/master/csl-citation.json"}</w:instrText>
      </w:r>
      <w:r w:rsidR="00A97F35" w:rsidRPr="0028333D">
        <w:rPr>
          <w:vertAlign w:val="superscript"/>
        </w:rPr>
        <w:fldChar w:fldCharType="separate"/>
      </w:r>
      <w:r w:rsidR="00483B43" w:rsidRPr="00483B43">
        <w:rPr>
          <w:noProof/>
        </w:rPr>
        <w:t>(Raj and Sen 2016)</w:t>
      </w:r>
      <w:r w:rsidR="00A97F35" w:rsidRPr="0028333D">
        <w:rPr>
          <w:vertAlign w:val="superscript"/>
        </w:rPr>
        <w:fldChar w:fldCharType="end"/>
      </w:r>
      <w:r w:rsidR="00A97F35" w:rsidRPr="0028333D">
        <w:t xml:space="preserve">  </w:t>
      </w:r>
      <w:r w:rsidRPr="0028333D">
        <w:t xml:space="preserve">A further validation of the adopted methodology, wherein we have compared the </w:t>
      </w:r>
      <w:proofErr w:type="spellStart"/>
      <w:r w:rsidRPr="0028333D">
        <w:t>Poiseuille</w:t>
      </w:r>
      <w:proofErr w:type="spellEnd"/>
      <w:r w:rsidRPr="0028333D">
        <w:t xml:space="preserve"> number </w:t>
      </w:r>
      <m:oMath>
        <m:r>
          <m:rPr>
            <m:sty m:val="p"/>
          </m:rPr>
          <w:rPr>
            <w:rFonts w:ascii="Cambria Math" w:hAnsi="Cambria Math"/>
          </w:rPr>
          <m:t>(</m:t>
        </m:r>
        <m:r>
          <w:rPr>
            <w:rFonts w:ascii="Cambria Math" w:hAnsi="Cambria Math"/>
          </w:rPr>
          <m:t>fRe</m:t>
        </m:r>
        <m:r>
          <m:rPr>
            <m:sty m:val="p"/>
          </m:rPr>
          <w:rPr>
            <w:rFonts w:ascii="Cambria Math" w:hAnsi="Cambria Math"/>
          </w:rPr>
          <m:t>)</m:t>
        </m:r>
      </m:oMath>
      <w:r w:rsidRPr="0028333D">
        <w:t xml:space="preserve"> of the flow with respect to analytical result of smooth channel</w:t>
      </w:r>
      <w:r w:rsidR="001812C2">
        <w:t>, is presented in Sec. 5.1</w:t>
      </w:r>
      <w:r w:rsidRPr="0028333D">
        <w:t>.</w:t>
      </w:r>
    </w:p>
    <w:p w14:paraId="19A8C451" w14:textId="77777777" w:rsidR="001C45B9" w:rsidRPr="00BE347E" w:rsidRDefault="001C45B9" w:rsidP="001C45B9">
      <w:pPr>
        <w:shd w:val="clear" w:color="auto" w:fill="FFFFFF" w:themeFill="background1"/>
        <w:spacing w:after="0" w:line="360" w:lineRule="auto"/>
      </w:pPr>
    </w:p>
    <w:p w14:paraId="7A802293" w14:textId="77777777" w:rsidR="001C45B9" w:rsidRPr="00BE347E" w:rsidRDefault="001C45B9" w:rsidP="001C45B9">
      <w:pPr>
        <w:shd w:val="clear" w:color="auto" w:fill="FFFFFF" w:themeFill="background1"/>
        <w:rPr>
          <w:b/>
        </w:rPr>
      </w:pPr>
      <w:r>
        <w:rPr>
          <w:b/>
        </w:rPr>
        <w:t>S2</w:t>
      </w:r>
      <w:r w:rsidRPr="00BE347E">
        <w:rPr>
          <w:b/>
        </w:rPr>
        <w:t xml:space="preserve">. MESH INDEPENDENCE STUDY </w:t>
      </w:r>
    </w:p>
    <w:p w14:paraId="20BB68BA" w14:textId="77777777" w:rsidR="001C45B9" w:rsidRPr="00BE347E" w:rsidRDefault="001C45B9" w:rsidP="001C45B9">
      <w:pPr>
        <w:pStyle w:val="ListParagraph"/>
        <w:shd w:val="clear" w:color="auto" w:fill="FFFFFF" w:themeFill="background1"/>
        <w:spacing w:after="0"/>
        <w:rPr>
          <w:b/>
        </w:rPr>
      </w:pPr>
    </w:p>
    <w:p w14:paraId="50AD5CD8" w14:textId="32C4D4EB" w:rsidR="001C45B9" w:rsidRPr="00BE347E" w:rsidRDefault="001C45B9" w:rsidP="001C45B9">
      <w:pPr>
        <w:shd w:val="clear" w:color="auto" w:fill="FFFFFF" w:themeFill="background1"/>
        <w:spacing w:line="360" w:lineRule="auto"/>
      </w:pPr>
      <w:r w:rsidRPr="00BE347E">
        <w:t xml:space="preserve">   The results obtained in this study are independent of the grid size. A mesh independent result for the problem model, presented in Sec. </w:t>
      </w:r>
      <w:r w:rsidR="001812C2">
        <w:t>1</w:t>
      </w:r>
      <w:r w:rsidRPr="00BE347E">
        <w:t xml:space="preserve"> and shown in Fig. 1(b), has been presented here based on the percentage reduction in </w:t>
      </w:r>
      <m:oMath>
        <m:r>
          <m:rPr>
            <m:sty m:val="p"/>
          </m:rPr>
          <w:rPr>
            <w:rFonts w:ascii="Cambria Math" w:hAnsi="Cambria Math"/>
          </w:rPr>
          <m:t>Δ</m:t>
        </m:r>
      </m:oMath>
      <w:r w:rsidRPr="00BE347E">
        <w:rPr>
          <w:rFonts w:eastAsiaTheme="minorEastAsia"/>
        </w:rPr>
        <w:t xml:space="preserve">p (pressure drop across the channel) with respect to smooth channel and the top wall deformation in the model. </w:t>
      </w:r>
      <w:r w:rsidRPr="00BE347E">
        <w:t xml:space="preserve">The </w:t>
      </w:r>
      <w:proofErr w:type="gramStart"/>
      <w:r w:rsidRPr="00BE347E">
        <w:t>dimensions of the computational domai</w:t>
      </w:r>
      <w:r w:rsidR="001812C2">
        <w:t>n taken is</w:t>
      </w:r>
      <w:proofErr w:type="gramEnd"/>
      <w:r w:rsidR="001812C2">
        <w:t xml:space="preserve"> explained in Sec. 5.1</w:t>
      </w:r>
      <w:r w:rsidRPr="00BE347E">
        <w:t>.</w:t>
      </w:r>
    </w:p>
    <w:tbl>
      <w:tblPr>
        <w:tblStyle w:val="TableGrid"/>
        <w:tblW w:w="9093" w:type="dxa"/>
        <w:jc w:val="center"/>
        <w:tblLook w:val="04A0" w:firstRow="1" w:lastRow="0" w:firstColumn="1" w:lastColumn="0" w:noHBand="0" w:noVBand="1"/>
      </w:tblPr>
      <w:tblGrid>
        <w:gridCol w:w="650"/>
        <w:gridCol w:w="1335"/>
        <w:gridCol w:w="992"/>
        <w:gridCol w:w="1980"/>
        <w:gridCol w:w="1984"/>
        <w:gridCol w:w="2082"/>
        <w:gridCol w:w="70"/>
      </w:tblGrid>
      <w:tr w:rsidR="001C45B9" w:rsidRPr="00BE347E" w14:paraId="2AB6D2AC" w14:textId="77777777" w:rsidTr="00B17211">
        <w:trPr>
          <w:trHeight w:val="592"/>
          <w:jc w:val="center"/>
        </w:trPr>
        <w:tc>
          <w:tcPr>
            <w:tcW w:w="9093" w:type="dxa"/>
            <w:gridSpan w:val="7"/>
            <w:tcBorders>
              <w:top w:val="nil"/>
              <w:left w:val="nil"/>
              <w:bottom w:val="nil"/>
              <w:right w:val="nil"/>
            </w:tcBorders>
            <w:noWrap/>
          </w:tcPr>
          <w:p w14:paraId="25CFA9EE" w14:textId="060A1F4C" w:rsidR="001C45B9" w:rsidRPr="00C978C2" w:rsidRDefault="006C047C" w:rsidP="00B17211">
            <w:pPr>
              <w:pStyle w:val="ListParagraph"/>
              <w:shd w:val="clear" w:color="auto" w:fill="FFFFFF" w:themeFill="background1"/>
              <w:spacing w:line="360" w:lineRule="auto"/>
              <w:ind w:left="0"/>
              <w:jc w:val="center"/>
              <w:rPr>
                <w:rFonts w:ascii="Times New Roman" w:hAnsi="Times New Roman" w:cs="Times New Roman"/>
                <w:szCs w:val="20"/>
              </w:rPr>
            </w:pPr>
            <w:r w:rsidRPr="00C978C2">
              <w:rPr>
                <w:rFonts w:ascii="Times New Roman" w:hAnsi="Times New Roman" w:cs="Times New Roman"/>
                <w:szCs w:val="20"/>
              </w:rPr>
              <w:t xml:space="preserve">TABLE </w:t>
            </w:r>
            <w:proofErr w:type="spellStart"/>
            <w:r w:rsidRPr="00C978C2">
              <w:rPr>
                <w:rFonts w:ascii="Times New Roman" w:hAnsi="Times New Roman" w:cs="Times New Roman"/>
                <w:szCs w:val="20"/>
              </w:rPr>
              <w:t>sI</w:t>
            </w:r>
            <w:proofErr w:type="spellEnd"/>
            <w:r w:rsidR="001C45B9" w:rsidRPr="00C978C2">
              <w:rPr>
                <w:rFonts w:ascii="Times New Roman" w:hAnsi="Times New Roman" w:cs="Times New Roman"/>
                <w:szCs w:val="20"/>
              </w:rPr>
              <w:t>.</w:t>
            </w:r>
            <w:r w:rsidR="001C45B9" w:rsidRPr="00C978C2">
              <w:rPr>
                <w:rFonts w:ascii="Times New Roman" w:hAnsi="Times New Roman" w:cs="Times New Roman"/>
                <w:b/>
                <w:color w:val="C00000"/>
                <w:szCs w:val="20"/>
              </w:rPr>
              <w:t xml:space="preserve"> </w:t>
            </w:r>
            <w:r w:rsidR="001C45B9" w:rsidRPr="00C978C2">
              <w:rPr>
                <w:rFonts w:ascii="Times New Roman" w:hAnsi="Times New Roman" w:cs="Times New Roman"/>
                <w:szCs w:val="20"/>
              </w:rPr>
              <w:t>Effect of mesh on the pressure drop across the channel and the deformation of the top wall</w:t>
            </w:r>
            <w:r w:rsidR="00B17211" w:rsidRPr="00C978C2">
              <w:rPr>
                <w:rFonts w:ascii="Times New Roman" w:hAnsi="Times New Roman" w:cs="Times New Roman"/>
                <w:szCs w:val="20"/>
              </w:rPr>
              <w:t>.</w:t>
            </w:r>
          </w:p>
        </w:tc>
      </w:tr>
      <w:tr w:rsidR="001C45B9" w:rsidRPr="00BE347E" w14:paraId="53C4B21E" w14:textId="77777777" w:rsidTr="00B17211">
        <w:trPr>
          <w:gridBefore w:val="1"/>
          <w:gridAfter w:val="1"/>
          <w:wBefore w:w="650" w:type="dxa"/>
          <w:wAfter w:w="70" w:type="dxa"/>
          <w:jc w:val="center"/>
        </w:trPr>
        <w:tc>
          <w:tcPr>
            <w:tcW w:w="1335" w:type="dxa"/>
            <w:noWrap/>
          </w:tcPr>
          <w:p w14:paraId="42BCE7B3" w14:textId="77777777" w:rsidR="001C45B9" w:rsidRPr="00C978C2" w:rsidRDefault="001C45B9" w:rsidP="00F90D53">
            <w:pPr>
              <w:shd w:val="clear" w:color="auto" w:fill="FFFFFF" w:themeFill="background1"/>
              <w:rPr>
                <w:rFonts w:ascii="Times New Roman" w:hAnsi="Times New Roman" w:cs="Times New Roman"/>
                <w:b/>
              </w:rPr>
            </w:pPr>
            <w:r w:rsidRPr="00C978C2">
              <w:rPr>
                <w:rFonts w:ascii="Times New Roman" w:hAnsi="Times New Roman" w:cs="Times New Roman"/>
                <w:b/>
              </w:rPr>
              <w:t>Number of elements</w:t>
            </w:r>
          </w:p>
        </w:tc>
        <w:tc>
          <w:tcPr>
            <w:tcW w:w="992" w:type="dxa"/>
            <w:noWrap/>
          </w:tcPr>
          <w:p w14:paraId="6411A859" w14:textId="77777777" w:rsidR="001C45B9" w:rsidRPr="00C978C2" w:rsidRDefault="001C45B9" w:rsidP="00F90D53">
            <w:pPr>
              <w:shd w:val="clear" w:color="auto" w:fill="FFFFFF" w:themeFill="background1"/>
              <w:jc w:val="center"/>
              <w:rPr>
                <w:rFonts w:ascii="Times New Roman" w:hAnsi="Times New Roman" w:cs="Times New Roman"/>
                <w:b/>
              </w:rPr>
            </w:pPr>
            <m:oMath>
              <m:r>
                <m:rPr>
                  <m:sty m:val="bi"/>
                </m:rPr>
                <w:rPr>
                  <w:rFonts w:ascii="Cambria Math" w:hAnsi="Cambria Math" w:cs="Times New Roman"/>
                </w:rPr>
                <m:t>∆</m:t>
              </m:r>
            </m:oMath>
            <w:r w:rsidRPr="00C978C2">
              <w:rPr>
                <w:rFonts w:ascii="Times New Roman" w:hAnsi="Times New Roman" w:cs="Times New Roman"/>
                <w:b/>
                <w:i/>
              </w:rPr>
              <w:t>p</w:t>
            </w:r>
            <w:r w:rsidRPr="00C978C2">
              <w:rPr>
                <w:rFonts w:ascii="Times New Roman" w:hAnsi="Times New Roman" w:cs="Times New Roman"/>
                <w:b/>
              </w:rPr>
              <w:t xml:space="preserve"> (Pa)</w:t>
            </w:r>
          </w:p>
        </w:tc>
        <w:tc>
          <w:tcPr>
            <w:tcW w:w="1980" w:type="dxa"/>
            <w:noWrap/>
          </w:tcPr>
          <w:p w14:paraId="147454DF" w14:textId="77777777" w:rsidR="001C45B9" w:rsidRPr="00C978C2" w:rsidRDefault="001C45B9" w:rsidP="00F90D53">
            <w:pPr>
              <w:shd w:val="clear" w:color="auto" w:fill="FFFFFF" w:themeFill="background1"/>
              <w:jc w:val="center"/>
              <w:rPr>
                <w:rFonts w:ascii="Times New Roman" w:hAnsi="Times New Roman" w:cs="Times New Roman"/>
                <w:b/>
              </w:rPr>
            </w:pPr>
            <w:r w:rsidRPr="00C978C2">
              <w:rPr>
                <w:rFonts w:ascii="Times New Roman" w:hAnsi="Times New Roman" w:cs="Times New Roman"/>
                <w:b/>
              </w:rPr>
              <w:t>Top wall Deformation (µm)</w:t>
            </w:r>
          </w:p>
        </w:tc>
        <w:tc>
          <w:tcPr>
            <w:tcW w:w="1984" w:type="dxa"/>
            <w:noWrap/>
          </w:tcPr>
          <w:p w14:paraId="4DE8B020" w14:textId="75BC1313" w:rsidR="001C45B9" w:rsidRPr="00C978C2" w:rsidRDefault="001C45B9" w:rsidP="00C978C2">
            <w:pPr>
              <w:shd w:val="clear" w:color="auto" w:fill="FFFFFF" w:themeFill="background1"/>
              <w:rPr>
                <w:rFonts w:ascii="Times New Roman" w:hAnsi="Times New Roman" w:cs="Times New Roman"/>
                <w:b/>
              </w:rPr>
            </w:pPr>
            <w:r w:rsidRPr="00C978C2">
              <w:rPr>
                <w:rFonts w:ascii="Times New Roman" w:hAnsi="Times New Roman" w:cs="Times New Roman"/>
                <w:b/>
              </w:rPr>
              <w:t xml:space="preserve">% deviation in </w:t>
            </w:r>
            <m:oMath>
              <m:r>
                <m:rPr>
                  <m:sty m:val="b"/>
                </m:rPr>
                <w:rPr>
                  <w:rFonts w:ascii="Cambria Math" w:hAnsi="Cambria Math" w:cs="Times New Roman"/>
                </w:rPr>
                <m:t>Δ</m:t>
              </m:r>
              <m:r>
                <m:rPr>
                  <m:sty m:val="bi"/>
                </m:rPr>
                <w:rPr>
                  <w:rFonts w:ascii="Cambria Math" w:hAnsi="Cambria Math" w:cs="Times New Roman"/>
                </w:rPr>
                <m:t>p</m:t>
              </m:r>
            </m:oMath>
          </w:p>
        </w:tc>
        <w:tc>
          <w:tcPr>
            <w:tcW w:w="2082" w:type="dxa"/>
            <w:noWrap/>
          </w:tcPr>
          <w:p w14:paraId="72B98F8B" w14:textId="77777777" w:rsidR="001C45B9" w:rsidRPr="00C978C2" w:rsidRDefault="001C45B9" w:rsidP="00F90D53">
            <w:pPr>
              <w:shd w:val="clear" w:color="auto" w:fill="FFFFFF" w:themeFill="background1"/>
              <w:jc w:val="center"/>
              <w:rPr>
                <w:rFonts w:ascii="Times New Roman" w:hAnsi="Times New Roman" w:cs="Times New Roman"/>
                <w:b/>
              </w:rPr>
            </w:pPr>
            <w:r w:rsidRPr="00C978C2">
              <w:rPr>
                <w:rFonts w:ascii="Times New Roman" w:hAnsi="Times New Roman" w:cs="Times New Roman"/>
                <w:b/>
              </w:rPr>
              <w:t>% deviation in deformation</w:t>
            </w:r>
          </w:p>
        </w:tc>
      </w:tr>
      <w:tr w:rsidR="001C45B9" w:rsidRPr="00BE347E" w14:paraId="71590F25" w14:textId="77777777" w:rsidTr="00B17211">
        <w:trPr>
          <w:gridBefore w:val="1"/>
          <w:gridAfter w:val="1"/>
          <w:wBefore w:w="650" w:type="dxa"/>
          <w:wAfter w:w="70" w:type="dxa"/>
          <w:jc w:val="center"/>
        </w:trPr>
        <w:tc>
          <w:tcPr>
            <w:tcW w:w="1335" w:type="dxa"/>
            <w:noWrap/>
          </w:tcPr>
          <w:p w14:paraId="3BF21505"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2303</w:t>
            </w:r>
          </w:p>
        </w:tc>
        <w:tc>
          <w:tcPr>
            <w:tcW w:w="992" w:type="dxa"/>
            <w:noWrap/>
          </w:tcPr>
          <w:p w14:paraId="511D3EC7"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44.09</w:t>
            </w:r>
          </w:p>
        </w:tc>
        <w:tc>
          <w:tcPr>
            <w:tcW w:w="1980" w:type="dxa"/>
            <w:noWrap/>
          </w:tcPr>
          <w:p w14:paraId="69FE2997"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6.7645</w:t>
            </w:r>
          </w:p>
        </w:tc>
        <w:tc>
          <w:tcPr>
            <w:tcW w:w="1984" w:type="dxa"/>
            <w:noWrap/>
          </w:tcPr>
          <w:p w14:paraId="568E62C4"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1.453</w:t>
            </w:r>
          </w:p>
        </w:tc>
        <w:tc>
          <w:tcPr>
            <w:tcW w:w="2082" w:type="dxa"/>
            <w:noWrap/>
          </w:tcPr>
          <w:p w14:paraId="2F6FDC09"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0.653</w:t>
            </w:r>
          </w:p>
        </w:tc>
      </w:tr>
      <w:tr w:rsidR="001C45B9" w:rsidRPr="00BE347E" w14:paraId="5DF0B69A" w14:textId="77777777" w:rsidTr="00B17211">
        <w:trPr>
          <w:gridBefore w:val="1"/>
          <w:gridAfter w:val="1"/>
          <w:wBefore w:w="650" w:type="dxa"/>
          <w:wAfter w:w="70" w:type="dxa"/>
          <w:jc w:val="center"/>
        </w:trPr>
        <w:tc>
          <w:tcPr>
            <w:tcW w:w="1335" w:type="dxa"/>
            <w:noWrap/>
          </w:tcPr>
          <w:p w14:paraId="00A70265"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5046</w:t>
            </w:r>
          </w:p>
        </w:tc>
        <w:tc>
          <w:tcPr>
            <w:tcW w:w="992" w:type="dxa"/>
            <w:noWrap/>
          </w:tcPr>
          <w:p w14:paraId="22138B39"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44.49</w:t>
            </w:r>
          </w:p>
        </w:tc>
        <w:tc>
          <w:tcPr>
            <w:tcW w:w="1980" w:type="dxa"/>
            <w:noWrap/>
          </w:tcPr>
          <w:p w14:paraId="62D0DBD4"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6.7521</w:t>
            </w:r>
          </w:p>
        </w:tc>
        <w:tc>
          <w:tcPr>
            <w:tcW w:w="1984" w:type="dxa"/>
            <w:noWrap/>
          </w:tcPr>
          <w:p w14:paraId="018E3C5B"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0.559</w:t>
            </w:r>
          </w:p>
        </w:tc>
        <w:tc>
          <w:tcPr>
            <w:tcW w:w="2082" w:type="dxa"/>
            <w:noWrap/>
          </w:tcPr>
          <w:p w14:paraId="48AE333E"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0.469</w:t>
            </w:r>
          </w:p>
        </w:tc>
      </w:tr>
      <w:tr w:rsidR="001C45B9" w:rsidRPr="00BE347E" w14:paraId="6A26E82E" w14:textId="77777777" w:rsidTr="00B17211">
        <w:trPr>
          <w:gridBefore w:val="1"/>
          <w:gridAfter w:val="1"/>
          <w:wBefore w:w="650" w:type="dxa"/>
          <w:wAfter w:w="70" w:type="dxa"/>
          <w:jc w:val="center"/>
        </w:trPr>
        <w:tc>
          <w:tcPr>
            <w:tcW w:w="1335" w:type="dxa"/>
            <w:noWrap/>
          </w:tcPr>
          <w:p w14:paraId="769A1885"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25704</w:t>
            </w:r>
          </w:p>
        </w:tc>
        <w:tc>
          <w:tcPr>
            <w:tcW w:w="992" w:type="dxa"/>
            <w:noWrap/>
          </w:tcPr>
          <w:p w14:paraId="10AB99B6"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44.74</w:t>
            </w:r>
          </w:p>
        </w:tc>
        <w:tc>
          <w:tcPr>
            <w:tcW w:w="1980" w:type="dxa"/>
            <w:noWrap/>
          </w:tcPr>
          <w:p w14:paraId="2234841B"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6.7206</w:t>
            </w:r>
          </w:p>
        </w:tc>
        <w:tc>
          <w:tcPr>
            <w:tcW w:w="1984" w:type="dxa"/>
            <w:noWrap/>
          </w:tcPr>
          <w:p w14:paraId="53BCC0FF"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w:t>
            </w:r>
          </w:p>
        </w:tc>
        <w:tc>
          <w:tcPr>
            <w:tcW w:w="2082" w:type="dxa"/>
            <w:noWrap/>
          </w:tcPr>
          <w:p w14:paraId="0B44D187" w14:textId="77777777" w:rsidR="001C45B9" w:rsidRPr="00C978C2" w:rsidRDefault="001C45B9" w:rsidP="00F90D53">
            <w:pPr>
              <w:shd w:val="clear" w:color="auto" w:fill="FFFFFF" w:themeFill="background1"/>
              <w:jc w:val="center"/>
              <w:rPr>
                <w:rFonts w:ascii="Times New Roman" w:hAnsi="Times New Roman" w:cs="Times New Roman"/>
              </w:rPr>
            </w:pPr>
            <w:r w:rsidRPr="00C978C2">
              <w:rPr>
                <w:rFonts w:ascii="Times New Roman" w:hAnsi="Times New Roman" w:cs="Times New Roman"/>
              </w:rPr>
              <w:t>-</w:t>
            </w:r>
          </w:p>
        </w:tc>
      </w:tr>
    </w:tbl>
    <w:p w14:paraId="71A61921" w14:textId="77777777" w:rsidR="001C45B9" w:rsidRPr="00BE347E" w:rsidRDefault="001C45B9" w:rsidP="001C45B9">
      <w:pPr>
        <w:shd w:val="clear" w:color="auto" w:fill="FFFFFF" w:themeFill="background1"/>
        <w:spacing w:after="0" w:line="360" w:lineRule="auto"/>
      </w:pPr>
    </w:p>
    <w:p w14:paraId="0C1F00D3" w14:textId="2D692D13" w:rsidR="001C45B9" w:rsidRPr="00795537" w:rsidRDefault="001C45B9" w:rsidP="001C45B9">
      <w:pPr>
        <w:pStyle w:val="CommentText"/>
        <w:spacing w:line="360" w:lineRule="auto"/>
        <w:rPr>
          <w:color w:val="0000FF"/>
        </w:rPr>
      </w:pPr>
      <w:r w:rsidRPr="00795537">
        <w:t xml:space="preserve">The grid independence test done for the case with top wall of 40 </w:t>
      </w:r>
      <w:r w:rsidRPr="00795537">
        <w:rPr>
          <w:rFonts w:ascii="Symbol" w:hAnsi="Symbol"/>
        </w:rPr>
        <w:t></w:t>
      </w:r>
      <w:r w:rsidRPr="00795537">
        <w:t xml:space="preserve">m thickness and the material of 0.5 </w:t>
      </w:r>
      <m:oMath>
        <m:r>
          <w:rPr>
            <w:rFonts w:ascii="Cambria Math" w:hAnsi="Cambria Math"/>
          </w:rPr>
          <m:t>MPa</m:t>
        </m:r>
      </m:oMath>
      <w:r w:rsidRPr="00795537">
        <w:t xml:space="preserve"> Young’s modulus at </w:t>
      </w:r>
      <m:oMath>
        <m:r>
          <w:rPr>
            <w:rFonts w:ascii="Cambria Math" w:hAnsi="Cambria Math"/>
          </w:rPr>
          <m:t>Re</m:t>
        </m:r>
      </m:oMath>
      <w:r w:rsidRPr="00795537">
        <w:t xml:space="preserve"> of 40 is presented in this section. Each simulation has run for a sufficient number of time steps such that the water-air interface has a fixed shape and the pressure drop and the deformation have attained immutable </w:t>
      </w:r>
      <w:r w:rsidRPr="0028333D">
        <w:t xml:space="preserve">values. </w:t>
      </w:r>
      <w:r w:rsidR="00657566" w:rsidRPr="0028333D">
        <w:t xml:space="preserve">The top wall's </w:t>
      </w:r>
      <w:proofErr w:type="spellStart"/>
      <w:r w:rsidR="00657566" w:rsidRPr="0028333D">
        <w:t>undeformed</w:t>
      </w:r>
      <w:proofErr w:type="spellEnd"/>
      <w:r w:rsidR="00657566" w:rsidRPr="0028333D">
        <w:t xml:space="preserve"> position (not the origin of the domain) serves as a baseline for measuring the deformation. </w:t>
      </w:r>
      <w:r w:rsidRPr="0028333D">
        <w:t xml:space="preserve">The grid independence test done for the case with top wall of 40 </w:t>
      </w:r>
      <m:oMath>
        <m:r>
          <w:rPr>
            <w:rFonts w:ascii="Cambria Math" w:hAnsi="Cambria Math"/>
          </w:rPr>
          <m:t>μm</m:t>
        </m:r>
      </m:oMath>
      <w:r w:rsidRPr="0028333D">
        <w:t xml:space="preserve"> thickness and the material of 0.5 </w:t>
      </w:r>
      <m:oMath>
        <m:r>
          <w:rPr>
            <w:rFonts w:ascii="Cambria Math" w:hAnsi="Cambria Math"/>
          </w:rPr>
          <m:t>MPa</m:t>
        </m:r>
      </m:oMath>
      <w:r w:rsidRPr="0028333D">
        <w:t xml:space="preserve"> Young’s modulus at Re of 40 is presented in this section. Each simulation has run for a sufficient number of time steps such that the water-air interface has a fixed shape and the pressure drop and the deformation have attained immutable values. Uniform mesh sizing of 2 </w:t>
      </w:r>
      <m:oMath>
        <m:r>
          <w:rPr>
            <w:rFonts w:ascii="Cambria Math" w:hAnsi="Cambria Math"/>
          </w:rPr>
          <m:t>μm</m:t>
        </m:r>
      </m:oMath>
      <w:r w:rsidRPr="0028333D">
        <w:t xml:space="preserve"> </w:t>
      </w:r>
      <m:oMath>
        <m:r>
          <w:rPr>
            <w:rFonts w:ascii="Cambria Math" w:hAnsi="Cambria Math"/>
          </w:rPr>
          <m:t>×</m:t>
        </m:r>
      </m:oMath>
      <w:r w:rsidRPr="0028333D">
        <w:t xml:space="preserve"> 2 </w:t>
      </w:r>
      <m:oMath>
        <m:r>
          <w:rPr>
            <w:rFonts w:ascii="Cambria Math" w:hAnsi="Cambria Math"/>
          </w:rPr>
          <m:t>μm</m:t>
        </m:r>
      </m:oMath>
      <w:r w:rsidRPr="0028333D">
        <w:t xml:space="preserve"> in each domain with five layers of inflation (with default growth rate of 1.2) near the fluid-solid interface and on the side walls of the solid domain is used. Further refinement on the side walls was necessary to take care of the element distortion issue near the clamped regions</w:t>
      </w:r>
      <w:r w:rsidR="00E16669" w:rsidRPr="0028333D">
        <w:t>.</w:t>
      </w:r>
      <w:r w:rsidRPr="0028333D">
        <w:t xml:space="preserve"> </w:t>
      </w:r>
    </w:p>
    <w:p w14:paraId="1C6F5F9E" w14:textId="61CB17EA" w:rsidR="00EC6E12" w:rsidRDefault="001C45B9" w:rsidP="001C45B9">
      <w:pPr>
        <w:shd w:val="clear" w:color="auto" w:fill="FFFFFF" w:themeFill="background1"/>
        <w:spacing w:line="360" w:lineRule="auto"/>
      </w:pPr>
      <w:r w:rsidRPr="00BE347E">
        <w:lastRenderedPageBreak/>
        <w:t xml:space="preserve">The mesh sensitivity test result obtained is presented in Table </w:t>
      </w:r>
      <w:r w:rsidR="001812C2">
        <w:t>3 in main manuscript</w:t>
      </w:r>
      <w:r w:rsidRPr="00BE347E">
        <w:t>. The pressure drop in the channel and the top wall deformation are compared with those obtained with the finest mesh.</w:t>
      </w:r>
      <w:r w:rsidRPr="00BE347E">
        <w:rPr>
          <w:b/>
        </w:rPr>
        <w:t xml:space="preserve"> </w:t>
      </w:r>
      <w:r w:rsidRPr="00BE347E">
        <w:t xml:space="preserve">The results with total number of elements of 5046 have shown only 0.559% shift in </w:t>
      </w:r>
      <w:r w:rsidRPr="00BE347E">
        <w:rPr>
          <w:rFonts w:ascii="Symbol" w:hAnsi="Symbol"/>
        </w:rPr>
        <w:t></w:t>
      </w:r>
      <w:r w:rsidRPr="00BE347E">
        <w:t xml:space="preserve">p and 0.469% shift in the top wall deformation with respect to the finest mesh (with no. of elements 25704) which legitimise the use of 5046 elements for all the simulations performed. </w:t>
      </w:r>
    </w:p>
    <w:p w14:paraId="77B3F661" w14:textId="77777777" w:rsidR="001C45B9" w:rsidRDefault="001C45B9" w:rsidP="001C45B9">
      <w:pPr>
        <w:shd w:val="clear" w:color="auto" w:fill="FFFFFF" w:themeFill="background1"/>
        <w:spacing w:line="360" w:lineRule="auto"/>
        <w:jc w:val="center"/>
      </w:pPr>
      <w:r>
        <w:rPr>
          <w:noProof/>
          <w:lang w:eastAsia="en-IN" w:bidi="hi-IN"/>
        </w:rPr>
        <w:drawing>
          <wp:inline distT="0" distB="0" distL="0" distR="0" wp14:anchorId="037E4FEE" wp14:editId="7A9012DB">
            <wp:extent cx="2574472" cy="2067862"/>
            <wp:effectExtent l="0" t="0" r="0" b="889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rcRect l="8604" t="9778" r="12880" b="7810"/>
                    <a:stretch>
                      <a:fillRect/>
                    </a:stretch>
                  </pic:blipFill>
                  <pic:spPr>
                    <a:xfrm>
                      <a:off x="0" y="0"/>
                      <a:ext cx="2574472" cy="2067862"/>
                    </a:xfrm>
                    <a:prstGeom prst="rect">
                      <a:avLst/>
                    </a:prstGeom>
                  </pic:spPr>
                </pic:pic>
              </a:graphicData>
            </a:graphic>
          </wp:inline>
        </w:drawing>
      </w:r>
    </w:p>
    <w:p w14:paraId="4DFFDA1A" w14:textId="77777777" w:rsidR="001C45B9" w:rsidRPr="0028333D" w:rsidRDefault="001C45B9" w:rsidP="001C45B9">
      <w:pPr>
        <w:shd w:val="clear" w:color="auto" w:fill="FFFFFF" w:themeFill="background1"/>
        <w:spacing w:line="360" w:lineRule="auto"/>
        <w:jc w:val="center"/>
      </w:pPr>
      <w:proofErr w:type="gramStart"/>
      <w:r w:rsidRPr="0028333D">
        <w:rPr>
          <w:b/>
        </w:rPr>
        <w:t>Fig. s2.</w:t>
      </w:r>
      <w:proofErr w:type="gramEnd"/>
      <w:r w:rsidRPr="0028333D">
        <w:t xml:space="preserve"> The variation of </w:t>
      </w:r>
      <w:r w:rsidRPr="0028333D">
        <w:rPr>
          <w:i/>
        </w:rPr>
        <w:t>x</w:t>
      </w:r>
      <w:r w:rsidRPr="0028333D">
        <w:t>-velocity along the horizontal central line at different grid sizes</w:t>
      </w:r>
      <w:r w:rsidR="00EC6E12" w:rsidRPr="0028333D">
        <w:t>.</w:t>
      </w:r>
    </w:p>
    <w:p w14:paraId="6B5F02D1" w14:textId="77777777" w:rsidR="001C45B9" w:rsidRPr="0028333D" w:rsidRDefault="001C45B9" w:rsidP="001C45B9">
      <w:pPr>
        <w:jc w:val="center"/>
      </w:pPr>
      <w:r w:rsidRPr="0028333D">
        <w:rPr>
          <w:noProof/>
          <w:lang w:eastAsia="en-IN" w:bidi="hi-IN"/>
        </w:rPr>
        <w:drawing>
          <wp:inline distT="0" distB="0" distL="0" distR="0" wp14:anchorId="181B43DB" wp14:editId="6906E09A">
            <wp:extent cx="1196408" cy="805543"/>
            <wp:effectExtent l="0" t="0" r="381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cstate="print">
                      <a:extLst>
                        <a:ext uri="{28A0092B-C50C-407E-A947-70E740481C1C}">
                          <a14:useLocalDpi xmlns:a14="http://schemas.microsoft.com/office/drawing/2010/main" val="0"/>
                        </a:ext>
                      </a:extLst>
                    </a:blip>
                    <a:srcRect l="26952" t="9710" r="27615" b="16285"/>
                    <a:stretch/>
                  </pic:blipFill>
                  <pic:spPr bwMode="auto">
                    <a:xfrm>
                      <a:off x="0" y="0"/>
                      <a:ext cx="1242475" cy="836560"/>
                    </a:xfrm>
                    <a:prstGeom prst="rect">
                      <a:avLst/>
                    </a:prstGeom>
                    <a:ln>
                      <a:noFill/>
                    </a:ln>
                    <a:extLst>
                      <a:ext uri="{53640926-AAD7-44D8-BBD7-CCE9431645EC}">
                        <a14:shadowObscured xmlns:a14="http://schemas.microsoft.com/office/drawing/2010/main"/>
                      </a:ext>
                    </a:extLst>
                  </pic:spPr>
                </pic:pic>
              </a:graphicData>
            </a:graphic>
          </wp:inline>
        </w:drawing>
      </w:r>
      <w:r w:rsidR="00657135" w:rsidRPr="0028333D">
        <w:rPr>
          <w:noProof/>
          <w:lang w:eastAsia="en-IN"/>
        </w:rPr>
        <w:t xml:space="preserve">  </w:t>
      </w:r>
      <w:r w:rsidR="00B7060C" w:rsidRPr="0028333D">
        <w:rPr>
          <w:noProof/>
          <w:lang w:eastAsia="en-IN"/>
        </w:rPr>
        <w:t xml:space="preserve"> </w:t>
      </w:r>
      <w:r w:rsidR="00B7060C" w:rsidRPr="0028333D">
        <w:rPr>
          <w:noProof/>
          <w:lang w:eastAsia="en-IN" w:bidi="hi-IN"/>
        </w:rPr>
        <w:drawing>
          <wp:inline distT="0" distB="0" distL="0" distR="0" wp14:anchorId="47E36F0D" wp14:editId="7B283044">
            <wp:extent cx="1139190" cy="144882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5449" cy="1469502"/>
                    </a:xfrm>
                    <a:prstGeom prst="rect">
                      <a:avLst/>
                    </a:prstGeom>
                    <a:noFill/>
                    <a:ln>
                      <a:noFill/>
                    </a:ln>
                  </pic:spPr>
                </pic:pic>
              </a:graphicData>
            </a:graphic>
          </wp:inline>
        </w:drawing>
      </w:r>
    </w:p>
    <w:p w14:paraId="36FBF0EE" w14:textId="77777777" w:rsidR="001C45B9" w:rsidRPr="0028333D" w:rsidRDefault="001C45B9" w:rsidP="001C45B9">
      <w:pPr>
        <w:jc w:val="center"/>
      </w:pPr>
      <w:proofErr w:type="gramStart"/>
      <w:r w:rsidRPr="0028333D">
        <w:rPr>
          <w:b/>
        </w:rPr>
        <w:t>Fig. s3</w:t>
      </w:r>
      <w:r w:rsidRPr="0028333D">
        <w:t>.</w:t>
      </w:r>
      <w:proofErr w:type="gramEnd"/>
      <w:r w:rsidRPr="0028333D">
        <w:t xml:space="preserve"> Mesh images for the solid domain and the fluid domain. </w:t>
      </w:r>
    </w:p>
    <w:p w14:paraId="17E0E04E" w14:textId="77777777" w:rsidR="00232105" w:rsidRDefault="00BF5A7B" w:rsidP="00BF5A7B">
      <w:pPr>
        <w:shd w:val="clear" w:color="auto" w:fill="FFFFFF" w:themeFill="background1"/>
        <w:rPr>
          <w:b/>
          <w:szCs w:val="20"/>
        </w:rPr>
      </w:pPr>
      <w:r w:rsidRPr="00E12D5C">
        <w:rPr>
          <w:b/>
          <w:szCs w:val="20"/>
        </w:rPr>
        <w:t>S</w:t>
      </w:r>
      <w:r w:rsidR="00C53BFF" w:rsidRPr="00E12D5C">
        <w:rPr>
          <w:b/>
          <w:szCs w:val="20"/>
        </w:rPr>
        <w:t>3</w:t>
      </w:r>
      <w:r w:rsidRPr="00E12D5C">
        <w:rPr>
          <w:b/>
          <w:szCs w:val="20"/>
        </w:rPr>
        <w:t xml:space="preserve">. VALUE OF </w:t>
      </w:r>
      <m:oMath>
        <m:r>
          <m:rPr>
            <m:sty m:val="bi"/>
          </m:rPr>
          <w:rPr>
            <w:rFonts w:ascii="Cambria Math" w:hAnsi="Cambria Math"/>
            <w:szCs w:val="20"/>
          </w:rPr>
          <m:t>fRe</m:t>
        </m:r>
      </m:oMath>
      <w:r w:rsidRPr="00E12D5C">
        <w:rPr>
          <w:b/>
          <w:szCs w:val="20"/>
        </w:rPr>
        <w:t xml:space="preserve"> FOR SMOOTH CHANNEL AT DIFFERENT REYNOLDS NUMBER</w:t>
      </w:r>
    </w:p>
    <w:p w14:paraId="6A754979" w14:textId="5DAB8381" w:rsidR="00BF5A7B" w:rsidRPr="00E12D5C" w:rsidRDefault="00BF5A7B" w:rsidP="00BF5A7B">
      <w:pPr>
        <w:shd w:val="clear" w:color="auto" w:fill="FFFFFF" w:themeFill="background1"/>
        <w:rPr>
          <w:b/>
          <w:szCs w:val="20"/>
        </w:rPr>
      </w:pPr>
      <w:r w:rsidRPr="00E12D5C">
        <w:rPr>
          <w:b/>
          <w:szCs w:val="20"/>
        </w:rPr>
        <w:t xml:space="preserve"> </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BF5A7B" w:rsidRPr="00E909DA" w14:paraId="79EE2FCA" w14:textId="77777777" w:rsidTr="00F90D53">
        <w:trPr>
          <w:trHeight w:val="191"/>
        </w:trPr>
        <w:tc>
          <w:tcPr>
            <w:tcW w:w="9067" w:type="dxa"/>
          </w:tcPr>
          <w:p w14:paraId="309086CB" w14:textId="77777777" w:rsidR="00BF5A7B" w:rsidRPr="00C978C2" w:rsidRDefault="00BF5A7B" w:rsidP="00F90D53">
            <w:pPr>
              <w:shd w:val="clear" w:color="auto" w:fill="FFFFFF" w:themeFill="background1"/>
              <w:spacing w:line="360" w:lineRule="auto"/>
              <w:rPr>
                <w:rFonts w:ascii="Times New Roman" w:hAnsi="Times New Roman" w:cs="Times New Roman"/>
                <w:szCs w:val="20"/>
              </w:rPr>
            </w:pPr>
            <w:r w:rsidRPr="00C978C2">
              <w:rPr>
                <w:rFonts w:ascii="Times New Roman" w:hAnsi="Times New Roman" w:cs="Times New Roman"/>
                <w:szCs w:val="20"/>
              </w:rPr>
              <w:t xml:space="preserve">TABLE </w:t>
            </w:r>
            <w:proofErr w:type="spellStart"/>
            <w:r w:rsidRPr="00C978C2">
              <w:rPr>
                <w:rFonts w:ascii="Times New Roman" w:hAnsi="Times New Roman" w:cs="Times New Roman"/>
                <w:szCs w:val="20"/>
              </w:rPr>
              <w:t>sII</w:t>
            </w:r>
            <w:proofErr w:type="spellEnd"/>
            <w:r w:rsidRPr="00C978C2">
              <w:rPr>
                <w:rFonts w:ascii="Times New Roman" w:hAnsi="Times New Roman" w:cs="Times New Roman"/>
                <w:color w:val="0070C0"/>
                <w:szCs w:val="20"/>
              </w:rPr>
              <w:t>.</w:t>
            </w:r>
            <w:r w:rsidRPr="00C978C2">
              <w:rPr>
                <w:rFonts w:ascii="Times New Roman" w:hAnsi="Times New Roman" w:cs="Times New Roman"/>
                <w:szCs w:val="20"/>
              </w:rPr>
              <w:t xml:space="preserve"> Comparison of the analytical value of </w:t>
            </w:r>
            <w:proofErr w:type="spellStart"/>
            <w:r w:rsidRPr="00C978C2">
              <w:rPr>
                <w:rFonts w:ascii="Times New Roman" w:hAnsi="Times New Roman" w:cs="Times New Roman"/>
                <w:szCs w:val="20"/>
              </w:rPr>
              <w:t>Poiseuille</w:t>
            </w:r>
            <w:proofErr w:type="spellEnd"/>
            <w:r w:rsidRPr="00C978C2">
              <w:rPr>
                <w:rFonts w:ascii="Times New Roman" w:hAnsi="Times New Roman" w:cs="Times New Roman"/>
                <w:szCs w:val="20"/>
              </w:rPr>
              <w:t xml:space="preserve"> number for a smooth channel with the present smooth (S) model. </w:t>
            </w:r>
          </w:p>
          <w:tbl>
            <w:tblPr>
              <w:tblStyle w:val="TableGrid"/>
              <w:tblW w:w="0" w:type="auto"/>
              <w:jc w:val="center"/>
              <w:tblLook w:val="04A0" w:firstRow="1" w:lastRow="0" w:firstColumn="1" w:lastColumn="0" w:noHBand="0" w:noVBand="1"/>
            </w:tblPr>
            <w:tblGrid>
              <w:gridCol w:w="591"/>
              <w:gridCol w:w="1270"/>
              <w:gridCol w:w="1423"/>
              <w:gridCol w:w="2127"/>
            </w:tblGrid>
            <w:tr w:rsidR="00BF5A7B" w:rsidRPr="00E909DA" w14:paraId="1BE2D6C4" w14:textId="77777777" w:rsidTr="00D94130">
              <w:trPr>
                <w:trHeight w:val="289"/>
                <w:jc w:val="center"/>
              </w:trPr>
              <w:tc>
                <w:tcPr>
                  <w:tcW w:w="591" w:type="dxa"/>
                  <w:vMerge w:val="restart"/>
                  <w:vAlign w:val="center"/>
                </w:tcPr>
                <w:p w14:paraId="338FD970" w14:textId="77777777" w:rsidR="00BF5A7B" w:rsidRPr="00C978C2" w:rsidRDefault="00BF5A7B" w:rsidP="00D94130">
                  <w:pPr>
                    <w:shd w:val="clear" w:color="auto" w:fill="FFFFFF" w:themeFill="background1"/>
                    <w:jc w:val="center"/>
                    <w:rPr>
                      <w:rFonts w:ascii="Times New Roman" w:hAnsi="Times New Roman" w:cs="Times New Roman"/>
                      <w:szCs w:val="20"/>
                    </w:rPr>
                  </w:pPr>
                  <w:r w:rsidRPr="00C978C2">
                    <w:rPr>
                      <w:rFonts w:ascii="Times New Roman" w:hAnsi="Times New Roman" w:cs="Times New Roman"/>
                      <w:b/>
                      <w:szCs w:val="20"/>
                    </w:rPr>
                    <w:t>Re</w:t>
                  </w:r>
                </w:p>
              </w:tc>
              <w:tc>
                <w:tcPr>
                  <w:tcW w:w="2693" w:type="dxa"/>
                  <w:gridSpan w:val="2"/>
                  <w:vAlign w:val="center"/>
                </w:tcPr>
                <w:p w14:paraId="3095604D" w14:textId="77777777" w:rsidR="00BF5A7B" w:rsidRPr="00C978C2" w:rsidRDefault="00BF5A7B" w:rsidP="00D94130">
                  <w:pPr>
                    <w:shd w:val="clear" w:color="auto" w:fill="FFFFFF" w:themeFill="background1"/>
                    <w:jc w:val="center"/>
                    <w:rPr>
                      <w:rFonts w:ascii="Times New Roman" w:hAnsi="Times New Roman" w:cs="Times New Roman"/>
                      <w:szCs w:val="20"/>
                    </w:rPr>
                  </w:pPr>
                  <w:r w:rsidRPr="00C978C2">
                    <w:rPr>
                      <w:rFonts w:ascii="Times New Roman" w:hAnsi="Times New Roman" w:cs="Times New Roman"/>
                      <w:b/>
                      <w:szCs w:val="20"/>
                    </w:rPr>
                    <w:t xml:space="preserve">Value of </w:t>
                  </w:r>
                  <m:oMath>
                    <m:r>
                      <m:rPr>
                        <m:sty m:val="bi"/>
                      </m:rPr>
                      <w:rPr>
                        <w:rFonts w:ascii="Cambria Math" w:hAnsi="Cambria Math" w:cs="Times New Roman"/>
                        <w:szCs w:val="20"/>
                      </w:rPr>
                      <m:t>fRe</m:t>
                    </m:r>
                  </m:oMath>
                </w:p>
              </w:tc>
              <w:tc>
                <w:tcPr>
                  <w:tcW w:w="2127" w:type="dxa"/>
                  <w:vMerge w:val="restart"/>
                </w:tcPr>
                <w:p w14:paraId="6D9C2FCE"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b/>
                      <w:szCs w:val="20"/>
                    </w:rPr>
                    <w:t>Deviation (%) of numerical results with respect to analytical results</w:t>
                  </w:r>
                </w:p>
              </w:tc>
            </w:tr>
            <w:tr w:rsidR="00BF5A7B" w:rsidRPr="00E909DA" w14:paraId="7A3B15AF" w14:textId="77777777" w:rsidTr="00D94130">
              <w:trPr>
                <w:trHeight w:val="209"/>
                <w:jc w:val="center"/>
              </w:trPr>
              <w:tc>
                <w:tcPr>
                  <w:tcW w:w="591" w:type="dxa"/>
                  <w:vMerge/>
                </w:tcPr>
                <w:p w14:paraId="6855EA74" w14:textId="77777777" w:rsidR="00BF5A7B" w:rsidRPr="00C978C2" w:rsidRDefault="00BF5A7B" w:rsidP="00F90D53">
                  <w:pPr>
                    <w:shd w:val="clear" w:color="auto" w:fill="FFFFFF" w:themeFill="background1"/>
                    <w:jc w:val="center"/>
                    <w:rPr>
                      <w:rFonts w:ascii="Times New Roman" w:hAnsi="Times New Roman" w:cs="Times New Roman"/>
                      <w:b/>
                      <w:szCs w:val="20"/>
                    </w:rPr>
                  </w:pPr>
                </w:p>
              </w:tc>
              <w:tc>
                <w:tcPr>
                  <w:tcW w:w="1270" w:type="dxa"/>
                  <w:vAlign w:val="center"/>
                </w:tcPr>
                <w:p w14:paraId="43104865" w14:textId="77777777" w:rsidR="00BF5A7B" w:rsidRPr="00C978C2" w:rsidRDefault="00BF5A7B" w:rsidP="00D94130">
                  <w:pPr>
                    <w:shd w:val="clear" w:color="auto" w:fill="FFFFFF" w:themeFill="background1"/>
                    <w:jc w:val="center"/>
                    <w:rPr>
                      <w:rFonts w:ascii="Times New Roman" w:hAnsi="Times New Roman" w:cs="Times New Roman"/>
                      <w:b/>
                      <w:szCs w:val="20"/>
                    </w:rPr>
                  </w:pPr>
                  <w:r w:rsidRPr="00C978C2">
                    <w:rPr>
                      <w:rFonts w:ascii="Times New Roman" w:hAnsi="Times New Roman" w:cs="Times New Roman"/>
                      <w:b/>
                      <w:szCs w:val="20"/>
                    </w:rPr>
                    <w:t>Analytical</w:t>
                  </w:r>
                </w:p>
              </w:tc>
              <w:tc>
                <w:tcPr>
                  <w:tcW w:w="1423" w:type="dxa"/>
                  <w:vAlign w:val="center"/>
                </w:tcPr>
                <w:p w14:paraId="62B625E1" w14:textId="77777777" w:rsidR="00BF5A7B" w:rsidRPr="00C978C2" w:rsidRDefault="00BF5A7B" w:rsidP="00D94130">
                  <w:pPr>
                    <w:shd w:val="clear" w:color="auto" w:fill="FFFFFF" w:themeFill="background1"/>
                    <w:jc w:val="center"/>
                    <w:rPr>
                      <w:rFonts w:ascii="Times New Roman" w:hAnsi="Times New Roman" w:cs="Times New Roman"/>
                      <w:b/>
                      <w:szCs w:val="20"/>
                    </w:rPr>
                  </w:pPr>
                  <w:r w:rsidRPr="00C978C2">
                    <w:rPr>
                      <w:rFonts w:ascii="Times New Roman" w:hAnsi="Times New Roman" w:cs="Times New Roman"/>
                      <w:b/>
                      <w:szCs w:val="20"/>
                    </w:rPr>
                    <w:t>Numerical</w:t>
                  </w:r>
                </w:p>
              </w:tc>
              <w:tc>
                <w:tcPr>
                  <w:tcW w:w="2127" w:type="dxa"/>
                  <w:vMerge/>
                </w:tcPr>
                <w:p w14:paraId="00D804C1" w14:textId="77777777" w:rsidR="00BF5A7B" w:rsidRPr="00C978C2" w:rsidRDefault="00BF5A7B" w:rsidP="00F90D53">
                  <w:pPr>
                    <w:shd w:val="clear" w:color="auto" w:fill="FFFFFF" w:themeFill="background1"/>
                    <w:jc w:val="center"/>
                    <w:rPr>
                      <w:rFonts w:ascii="Times New Roman" w:hAnsi="Times New Roman" w:cs="Times New Roman"/>
                      <w:szCs w:val="20"/>
                    </w:rPr>
                  </w:pPr>
                </w:p>
              </w:tc>
            </w:tr>
            <w:tr w:rsidR="00BF5A7B" w:rsidRPr="00E909DA" w14:paraId="77298C7A" w14:textId="77777777" w:rsidTr="00F90D53">
              <w:trPr>
                <w:trHeight w:val="310"/>
                <w:jc w:val="center"/>
              </w:trPr>
              <w:tc>
                <w:tcPr>
                  <w:tcW w:w="591" w:type="dxa"/>
                </w:tcPr>
                <w:p w14:paraId="47BBD5E8"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5</w:t>
                  </w:r>
                </w:p>
              </w:tc>
              <w:tc>
                <w:tcPr>
                  <w:tcW w:w="1270" w:type="dxa"/>
                </w:tcPr>
                <w:p w14:paraId="0C0A09EA"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96</w:t>
                  </w:r>
                </w:p>
              </w:tc>
              <w:tc>
                <w:tcPr>
                  <w:tcW w:w="1423" w:type="dxa"/>
                </w:tcPr>
                <w:p w14:paraId="782B074F"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94.645</w:t>
                  </w:r>
                </w:p>
              </w:tc>
              <w:tc>
                <w:tcPr>
                  <w:tcW w:w="2127" w:type="dxa"/>
                </w:tcPr>
                <w:p w14:paraId="25C44F79"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1.411</w:t>
                  </w:r>
                </w:p>
              </w:tc>
            </w:tr>
            <w:tr w:rsidR="00BF5A7B" w:rsidRPr="00E909DA" w14:paraId="5F04E4CA" w14:textId="77777777" w:rsidTr="00F90D53">
              <w:trPr>
                <w:trHeight w:val="300"/>
                <w:jc w:val="center"/>
              </w:trPr>
              <w:tc>
                <w:tcPr>
                  <w:tcW w:w="591" w:type="dxa"/>
                </w:tcPr>
                <w:p w14:paraId="0FFF1504"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10</w:t>
                  </w:r>
                </w:p>
              </w:tc>
              <w:tc>
                <w:tcPr>
                  <w:tcW w:w="1270" w:type="dxa"/>
                </w:tcPr>
                <w:p w14:paraId="47D5F51F"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96</w:t>
                  </w:r>
                </w:p>
              </w:tc>
              <w:tc>
                <w:tcPr>
                  <w:tcW w:w="1423" w:type="dxa"/>
                </w:tcPr>
                <w:p w14:paraId="762988B7"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94.702</w:t>
                  </w:r>
                </w:p>
              </w:tc>
              <w:tc>
                <w:tcPr>
                  <w:tcW w:w="2127" w:type="dxa"/>
                </w:tcPr>
                <w:p w14:paraId="326EC83F"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1.351</w:t>
                  </w:r>
                </w:p>
              </w:tc>
            </w:tr>
            <w:tr w:rsidR="00BF5A7B" w:rsidRPr="00E909DA" w14:paraId="1150A6AE" w14:textId="77777777" w:rsidTr="00F90D53">
              <w:trPr>
                <w:trHeight w:val="310"/>
                <w:jc w:val="center"/>
              </w:trPr>
              <w:tc>
                <w:tcPr>
                  <w:tcW w:w="591" w:type="dxa"/>
                </w:tcPr>
                <w:p w14:paraId="59C9F34C"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20</w:t>
                  </w:r>
                </w:p>
              </w:tc>
              <w:tc>
                <w:tcPr>
                  <w:tcW w:w="1270" w:type="dxa"/>
                </w:tcPr>
                <w:p w14:paraId="33878340"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96</w:t>
                  </w:r>
                </w:p>
              </w:tc>
              <w:tc>
                <w:tcPr>
                  <w:tcW w:w="1423" w:type="dxa"/>
                </w:tcPr>
                <w:p w14:paraId="70C30384"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94.674</w:t>
                  </w:r>
                </w:p>
              </w:tc>
              <w:tc>
                <w:tcPr>
                  <w:tcW w:w="2127" w:type="dxa"/>
                </w:tcPr>
                <w:p w14:paraId="046AD3EC"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1.381</w:t>
                  </w:r>
                </w:p>
              </w:tc>
            </w:tr>
            <w:tr w:rsidR="00BF5A7B" w:rsidRPr="00E909DA" w14:paraId="6998FEE3" w14:textId="77777777" w:rsidTr="00F90D53">
              <w:trPr>
                <w:trHeight w:val="300"/>
                <w:jc w:val="center"/>
              </w:trPr>
              <w:tc>
                <w:tcPr>
                  <w:tcW w:w="591" w:type="dxa"/>
                </w:tcPr>
                <w:p w14:paraId="5E171F8D"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40</w:t>
                  </w:r>
                </w:p>
              </w:tc>
              <w:tc>
                <w:tcPr>
                  <w:tcW w:w="1270" w:type="dxa"/>
                </w:tcPr>
                <w:p w14:paraId="382242DC"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96</w:t>
                  </w:r>
                </w:p>
              </w:tc>
              <w:tc>
                <w:tcPr>
                  <w:tcW w:w="1423" w:type="dxa"/>
                </w:tcPr>
                <w:p w14:paraId="156BB536"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94.674</w:t>
                  </w:r>
                </w:p>
              </w:tc>
              <w:tc>
                <w:tcPr>
                  <w:tcW w:w="2127" w:type="dxa"/>
                </w:tcPr>
                <w:p w14:paraId="60139070"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1.381</w:t>
                  </w:r>
                </w:p>
              </w:tc>
            </w:tr>
            <w:tr w:rsidR="00BF5A7B" w:rsidRPr="00E909DA" w14:paraId="3ABABF8C" w14:textId="77777777" w:rsidTr="00F90D53">
              <w:trPr>
                <w:trHeight w:val="310"/>
                <w:jc w:val="center"/>
              </w:trPr>
              <w:tc>
                <w:tcPr>
                  <w:tcW w:w="591" w:type="dxa"/>
                </w:tcPr>
                <w:p w14:paraId="2D774161"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60</w:t>
                  </w:r>
                </w:p>
              </w:tc>
              <w:tc>
                <w:tcPr>
                  <w:tcW w:w="1270" w:type="dxa"/>
                </w:tcPr>
                <w:p w14:paraId="5313E3D4"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96</w:t>
                  </w:r>
                </w:p>
              </w:tc>
              <w:tc>
                <w:tcPr>
                  <w:tcW w:w="1423" w:type="dxa"/>
                </w:tcPr>
                <w:p w14:paraId="3D1821B2"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94.664</w:t>
                  </w:r>
                </w:p>
              </w:tc>
              <w:tc>
                <w:tcPr>
                  <w:tcW w:w="2127" w:type="dxa"/>
                </w:tcPr>
                <w:p w14:paraId="61D16FCC" w14:textId="77777777" w:rsidR="00BF5A7B" w:rsidRPr="00C978C2" w:rsidRDefault="00BF5A7B" w:rsidP="00F90D53">
                  <w:pPr>
                    <w:shd w:val="clear" w:color="auto" w:fill="FFFFFF" w:themeFill="background1"/>
                    <w:jc w:val="center"/>
                    <w:rPr>
                      <w:rFonts w:ascii="Times New Roman" w:hAnsi="Times New Roman" w:cs="Times New Roman"/>
                      <w:szCs w:val="20"/>
                    </w:rPr>
                  </w:pPr>
                  <w:r w:rsidRPr="00C978C2">
                    <w:rPr>
                      <w:rFonts w:ascii="Times New Roman" w:hAnsi="Times New Roman" w:cs="Times New Roman"/>
                      <w:szCs w:val="20"/>
                    </w:rPr>
                    <w:t>1.391</w:t>
                  </w:r>
                </w:p>
              </w:tc>
            </w:tr>
          </w:tbl>
          <w:p w14:paraId="295340EB" w14:textId="77777777" w:rsidR="00BF5A7B" w:rsidRPr="00E909DA" w:rsidRDefault="00BF5A7B" w:rsidP="00F90D53">
            <w:pPr>
              <w:shd w:val="clear" w:color="auto" w:fill="FFFFFF" w:themeFill="background1"/>
              <w:rPr>
                <w:szCs w:val="20"/>
              </w:rPr>
            </w:pPr>
          </w:p>
        </w:tc>
      </w:tr>
    </w:tbl>
    <w:p w14:paraId="2E799ADB" w14:textId="3EAE43B5" w:rsidR="00801DB7" w:rsidRPr="00400909" w:rsidRDefault="00801DB7" w:rsidP="00801DB7">
      <w:pPr>
        <w:shd w:val="clear" w:color="auto" w:fill="FFFFFF" w:themeFill="background1"/>
        <w:rPr>
          <w:b/>
          <w:szCs w:val="20"/>
        </w:rPr>
      </w:pPr>
      <w:r w:rsidRPr="00400909">
        <w:rPr>
          <w:b/>
          <w:szCs w:val="20"/>
        </w:rPr>
        <w:lastRenderedPageBreak/>
        <w:t>S4. PRESSURE</w:t>
      </w:r>
      <w:r w:rsidR="000C6D9E" w:rsidRPr="00400909">
        <w:rPr>
          <w:b/>
          <w:szCs w:val="20"/>
        </w:rPr>
        <w:t xml:space="preserve"> AND VELOCITY</w:t>
      </w:r>
      <w:r w:rsidRPr="00400909">
        <w:rPr>
          <w:b/>
          <w:szCs w:val="20"/>
        </w:rPr>
        <w:t xml:space="preserve"> CONTOURS FOR DIFFERENT VALUES OF COMPLIANCE PARAMETER (</w:t>
      </w:r>
      <m:oMath>
        <m:sSub>
          <m:sSubPr>
            <m:ctrlPr>
              <w:rPr>
                <w:rFonts w:ascii="Cambria Math" w:hAnsi="Cambria Math"/>
                <w:b/>
                <w:i/>
                <w:szCs w:val="20"/>
              </w:rPr>
            </m:ctrlPr>
          </m:sSubPr>
          <m:e>
            <m:r>
              <m:rPr>
                <m:sty m:val="bi"/>
              </m:rPr>
              <w:rPr>
                <w:rFonts w:ascii="Cambria Math" w:hAnsi="Cambria Math"/>
                <w:szCs w:val="20"/>
              </w:rPr>
              <m:t>f</m:t>
            </m:r>
          </m:e>
          <m:sub>
            <m:r>
              <m:rPr>
                <m:sty m:val="bi"/>
              </m:rPr>
              <w:rPr>
                <w:rFonts w:ascii="Cambria Math" w:hAnsi="Cambria Math"/>
                <w:szCs w:val="20"/>
              </w:rPr>
              <m:t>p</m:t>
            </m:r>
          </m:sub>
        </m:sSub>
      </m:oMath>
      <w:r w:rsidRPr="00400909">
        <w:rPr>
          <w:b/>
          <w:szCs w:val="20"/>
        </w:rPr>
        <w:t>)</w:t>
      </w:r>
    </w:p>
    <w:p w14:paraId="75692F99" w14:textId="3643BB6A" w:rsidR="00801DB7" w:rsidRPr="00801DB7" w:rsidRDefault="00EE52EB" w:rsidP="00801DB7">
      <w:pPr>
        <w:pStyle w:val="ListParagraph"/>
        <w:numPr>
          <w:ilvl w:val="0"/>
          <w:numId w:val="1"/>
        </w:numPr>
        <w:shd w:val="clear" w:color="auto" w:fill="FFFFFF" w:themeFill="background1"/>
        <w:rPr>
          <w:b/>
        </w:rPr>
      </w:pPr>
      <w:r>
        <w:rPr>
          <w:b/>
        </w:rPr>
        <w:t>Pressure and v</w:t>
      </w:r>
      <w:r w:rsidR="00C80D9C">
        <w:rPr>
          <w:b/>
        </w:rPr>
        <w:t>elocity</w:t>
      </w:r>
      <w:r w:rsidR="00801DB7">
        <w:rPr>
          <w:b/>
        </w:rPr>
        <w:t xml:space="preserve"> </w:t>
      </w:r>
      <w:r w:rsidR="00C80D9C">
        <w:rPr>
          <w:b/>
        </w:rPr>
        <w:t>contours</w:t>
      </w:r>
      <w:r w:rsidR="00801DB7">
        <w:rPr>
          <w:b/>
        </w:rPr>
        <w:t xml:space="preserve"> </w:t>
      </w:r>
      <w:r w:rsidR="00C80D9C">
        <w:rPr>
          <w:b/>
        </w:rPr>
        <w:t>for different</w:t>
      </w:r>
      <w:r w:rsidR="00801DB7">
        <w:rPr>
          <w:b/>
        </w:rPr>
        <w:t xml:space="preserve">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p</m:t>
            </m:r>
          </m:sub>
        </m:sSub>
      </m:oMath>
      <w:r w:rsidR="002A2C12">
        <w:rPr>
          <w:rFonts w:eastAsiaTheme="minorEastAsia"/>
          <w:b/>
        </w:rPr>
        <w:t>,</w:t>
      </w:r>
      <w:r w:rsidR="00C80D9C">
        <w:rPr>
          <w:b/>
        </w:rPr>
        <w:t xml:space="preserve"> corresponding to changes in</w:t>
      </w:r>
      <w:r w:rsidR="00801DB7">
        <w:rPr>
          <w:b/>
        </w:rPr>
        <w:t xml:space="preserve"> </w:t>
      </w:r>
      <m:oMath>
        <m:r>
          <m:rPr>
            <m:sty m:val="bi"/>
          </m:rPr>
          <w:rPr>
            <w:rFonts w:ascii="Cambria Math" w:hAnsi="Cambria Math"/>
          </w:rPr>
          <m:t>Y</m:t>
        </m:r>
      </m:oMath>
    </w:p>
    <w:p w14:paraId="60B15536" w14:textId="59712A34" w:rsidR="003C6618" w:rsidRPr="00D14CFA" w:rsidRDefault="00801DB7" w:rsidP="00801DB7">
      <w:pPr>
        <w:shd w:val="clear" w:color="auto" w:fill="FFFFFF" w:themeFill="background1"/>
        <w:spacing w:line="360" w:lineRule="auto"/>
      </w:pPr>
      <w:r w:rsidRPr="00BE347E">
        <w:rPr>
          <w:b/>
        </w:rPr>
        <w:t xml:space="preserve"> </w:t>
      </w:r>
      <w:r w:rsidR="00D14CFA" w:rsidRPr="00D14CFA">
        <w:rPr>
          <w:szCs w:val="20"/>
        </w:rPr>
        <w:t>The pressure distribution in the four cha</w:t>
      </w:r>
      <w:r w:rsidR="00EE52EB">
        <w:rPr>
          <w:szCs w:val="20"/>
        </w:rPr>
        <w:t>nnels is shown in Fig. s4</w:t>
      </w:r>
      <w:r w:rsidR="00D14CFA" w:rsidRPr="00D14CFA">
        <w:rPr>
          <w:szCs w:val="20"/>
        </w:rPr>
        <w:t xml:space="preserve">. The pressure is comparatively less at the entrance point of cavity than  in its vicinity and the maximum pressure is observed at the exit end of the cavity due to sudden restriction experienced by the flow at the water-air interface. This high-pressure spot increases with increase in </w:t>
      </w:r>
      <m:oMath>
        <m:r>
          <w:rPr>
            <w:rFonts w:ascii="Cambria Math" w:hAnsi="Cambria Math"/>
            <w:szCs w:val="20"/>
          </w:rPr>
          <m:t>Y</m:t>
        </m:r>
      </m:oMath>
      <w:r w:rsidR="00D14CFA" w:rsidRPr="00D14CFA">
        <w:rPr>
          <w:szCs w:val="20"/>
        </w:rPr>
        <w:t xml:space="preserve"> due to increase in pressure drop, </w:t>
      </w:r>
      <m:oMath>
        <m:r>
          <m:rPr>
            <m:sty m:val="p"/>
          </m:rPr>
          <w:rPr>
            <w:rFonts w:ascii="Cambria Math" w:hAnsi="Cambria Math"/>
            <w:szCs w:val="20"/>
          </w:rPr>
          <m:t>Δ</m:t>
        </m:r>
        <m:r>
          <w:rPr>
            <w:rFonts w:ascii="Cambria Math" w:hAnsi="Cambria Math"/>
            <w:szCs w:val="20"/>
          </w:rPr>
          <m:t>p</m:t>
        </m:r>
      </m:oMath>
      <w:r w:rsidR="00D14CFA" w:rsidRPr="00D14CFA">
        <w:rPr>
          <w:szCs w:val="20"/>
        </w:rPr>
        <w:t xml:space="preserve"> in the main channel. As the flow moves past the left side of the ridge, it experiences less resistance and so it gets accelerated near the water-air interface, as evident in Fig. </w:t>
      </w:r>
      <w:r w:rsidR="00EE52EB">
        <w:rPr>
          <w:szCs w:val="20"/>
        </w:rPr>
        <w:t>s5</w:t>
      </w:r>
      <w:r w:rsidR="00D14CFA" w:rsidRPr="00D14CFA">
        <w:rPr>
          <w:szCs w:val="20"/>
        </w:rPr>
        <w:t>. The fluid velocity gradually decreases due to the resistance offered by the ridge.</w:t>
      </w:r>
    </w:p>
    <w:p w14:paraId="0A88F74B" w14:textId="0CABA896" w:rsidR="00801DB7" w:rsidRDefault="00801DB7" w:rsidP="00801DB7">
      <w:pPr>
        <w:shd w:val="clear" w:color="auto" w:fill="FFFFFF" w:themeFill="background1"/>
        <w:rPr>
          <w:b/>
        </w:rPr>
      </w:pPr>
      <w:r w:rsidRPr="006E5196">
        <w:rPr>
          <w:noProof/>
          <w:szCs w:val="20"/>
          <w:lang w:eastAsia="en-IN" w:bidi="hi-IN"/>
        </w:rPr>
        <w:drawing>
          <wp:inline distT="0" distB="0" distL="0" distR="0" wp14:anchorId="306F3179" wp14:editId="4964A91B">
            <wp:extent cx="5424885" cy="1798320"/>
            <wp:effectExtent l="0" t="0" r="4445"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13"/>
                    <a:srcRect b="5411"/>
                    <a:stretch/>
                  </pic:blipFill>
                  <pic:spPr bwMode="auto">
                    <a:xfrm>
                      <a:off x="0" y="0"/>
                      <a:ext cx="5434395" cy="1801473"/>
                    </a:xfrm>
                    <a:prstGeom prst="rect">
                      <a:avLst/>
                    </a:prstGeom>
                    <a:ln>
                      <a:noFill/>
                    </a:ln>
                    <a:extLst>
                      <a:ext uri="{53640926-AAD7-44D8-BBD7-CCE9431645EC}">
                        <a14:shadowObscured xmlns:a14="http://schemas.microsoft.com/office/drawing/2010/main"/>
                      </a:ext>
                    </a:extLst>
                  </pic:spPr>
                </pic:pic>
              </a:graphicData>
            </a:graphic>
          </wp:inline>
        </w:drawing>
      </w:r>
    </w:p>
    <w:p w14:paraId="54898620" w14:textId="6C9D9CB0" w:rsidR="00801DB7" w:rsidRDefault="00D809D8" w:rsidP="00BF5A7B">
      <w:pPr>
        <w:rPr>
          <w:szCs w:val="20"/>
        </w:rPr>
      </w:pPr>
      <w:proofErr w:type="gramStart"/>
      <w:r w:rsidRPr="00E12D5C">
        <w:rPr>
          <w:b/>
          <w:szCs w:val="20"/>
          <w:lang w:eastAsia="en-IN"/>
        </w:rPr>
        <w:t>Fig. s</w:t>
      </w:r>
      <w:r w:rsidR="00EE52EB" w:rsidRPr="00E12D5C">
        <w:rPr>
          <w:b/>
          <w:szCs w:val="20"/>
          <w:lang w:eastAsia="en-IN"/>
        </w:rPr>
        <w:t>4</w:t>
      </w:r>
      <w:r w:rsidR="00801DB7" w:rsidRPr="00E12D5C">
        <w:rPr>
          <w:b/>
          <w:szCs w:val="20"/>
          <w:lang w:eastAsia="en-IN"/>
        </w:rPr>
        <w:t>.</w:t>
      </w:r>
      <w:proofErr w:type="gramEnd"/>
      <w:r w:rsidR="00801DB7" w:rsidRPr="00F541D7">
        <w:rPr>
          <w:szCs w:val="20"/>
          <w:lang w:eastAsia="en-IN"/>
        </w:rPr>
        <w:t xml:space="preserve"> Pressure contours of SSBDT at </w:t>
      </w:r>
      <m:oMath>
        <m:r>
          <w:rPr>
            <w:rFonts w:ascii="Cambria Math" w:hAnsi="Cambria Math"/>
            <w:szCs w:val="20"/>
            <w:lang w:eastAsia="en-IN"/>
          </w:rPr>
          <m:t>Re</m:t>
        </m:r>
      </m:oMath>
      <w:r w:rsidR="00801DB7" w:rsidRPr="00F541D7">
        <w:rPr>
          <w:szCs w:val="20"/>
          <w:lang w:eastAsia="en-IN"/>
        </w:rPr>
        <w:t xml:space="preserve"> = 40 having </w:t>
      </w:r>
      <m:oMath>
        <m:r>
          <w:rPr>
            <w:rFonts w:ascii="Cambria Math" w:hAnsi="Cambria Math"/>
            <w:szCs w:val="20"/>
          </w:rPr>
          <m:t>t</m:t>
        </m:r>
      </m:oMath>
      <w:r w:rsidR="00801DB7" w:rsidRPr="00F541D7">
        <w:rPr>
          <w:szCs w:val="20"/>
          <w:lang w:eastAsia="en-IN"/>
        </w:rPr>
        <w:t xml:space="preserve"> </w:t>
      </w:r>
      <w:proofErr w:type="gramStart"/>
      <w:r w:rsidR="00801DB7" w:rsidRPr="00F541D7">
        <w:rPr>
          <w:szCs w:val="20"/>
          <w:lang w:eastAsia="en-IN"/>
        </w:rPr>
        <w:t xml:space="preserve">= </w:t>
      </w:r>
      <w:proofErr w:type="gramEnd"/>
      <m:oMath>
        <m:r>
          <w:rPr>
            <w:rFonts w:ascii="Cambria Math" w:hAnsi="Cambria Math"/>
            <w:szCs w:val="20"/>
            <w:lang w:eastAsia="en-IN"/>
          </w:rPr>
          <m:t>100</m:t>
        </m:r>
        <m:r>
          <m:rPr>
            <m:sty m:val="p"/>
          </m:rPr>
          <w:rPr>
            <w:rFonts w:ascii="Cambria Math" w:hAnsi="Cambria Math"/>
            <w:szCs w:val="20"/>
            <w:lang w:eastAsia="en-IN"/>
          </w:rPr>
          <m:t xml:space="preserve"> </m:t>
        </m:r>
        <m:r>
          <w:rPr>
            <w:rFonts w:ascii="Cambria Math" w:hAnsi="Cambria Math"/>
            <w:szCs w:val="20"/>
            <w:lang w:eastAsia="en-IN"/>
          </w:rPr>
          <m:t>μm</m:t>
        </m:r>
      </m:oMath>
      <w:r w:rsidR="00801DB7" w:rsidRPr="00F541D7">
        <w:rPr>
          <w:rFonts w:eastAsiaTheme="minorEastAsia"/>
          <w:szCs w:val="20"/>
          <w:lang w:eastAsia="en-IN"/>
        </w:rPr>
        <w:t xml:space="preserve">, </w:t>
      </w:r>
      <m:oMath>
        <m:sSub>
          <m:sSubPr>
            <m:ctrlPr>
              <w:rPr>
                <w:rFonts w:ascii="Cambria Math" w:eastAsiaTheme="minorEastAsia" w:hAnsi="Cambria Math"/>
                <w:i/>
                <w:szCs w:val="20"/>
                <w:lang w:eastAsia="en-IN"/>
              </w:rPr>
            </m:ctrlPr>
          </m:sSubPr>
          <m:e>
            <m:r>
              <w:rPr>
                <w:rFonts w:ascii="Cambria Math" w:eastAsiaTheme="minorEastAsia" w:hAnsi="Cambria Math"/>
                <w:szCs w:val="20"/>
                <w:lang w:eastAsia="en-IN"/>
              </w:rPr>
              <m:t>δ</m:t>
            </m:r>
          </m:e>
          <m:sub>
            <m:r>
              <w:rPr>
                <w:rFonts w:ascii="Cambria Math" w:eastAsiaTheme="minorEastAsia" w:hAnsi="Cambria Math"/>
                <w:szCs w:val="20"/>
                <w:lang w:eastAsia="en-IN"/>
              </w:rPr>
              <m:t>c</m:t>
            </m:r>
          </m:sub>
        </m:sSub>
        <m:r>
          <w:rPr>
            <w:rFonts w:ascii="Cambria Math" w:eastAsiaTheme="minorEastAsia" w:hAnsi="Cambria Math"/>
            <w:szCs w:val="20"/>
            <w:lang w:eastAsia="en-IN"/>
          </w:rPr>
          <m:t>=0.5</m:t>
        </m:r>
      </m:oMath>
      <w:r w:rsidR="00801DB7" w:rsidRPr="00F541D7">
        <w:rPr>
          <w:rFonts w:eastAsiaTheme="minorEastAsia"/>
          <w:szCs w:val="20"/>
          <w:lang w:eastAsia="en-IN"/>
        </w:rPr>
        <w:t xml:space="preserve"> and </w:t>
      </w:r>
      <w:r w:rsidR="00272993">
        <w:rPr>
          <w:rFonts w:eastAsiaTheme="minorEastAsia"/>
          <w:szCs w:val="20"/>
          <w:lang w:eastAsia="en-IN"/>
        </w:rPr>
        <w:t xml:space="preserve">varying </w:t>
      </w:r>
      <w:r w:rsidR="0097490C">
        <w:rPr>
          <w:rFonts w:eastAsiaTheme="minorEastAsia"/>
          <w:szCs w:val="20"/>
          <w:lang w:eastAsia="en-IN"/>
        </w:rPr>
        <w:t xml:space="preserve">stiffness leading to varying </w:t>
      </w:r>
      <w:proofErr w:type="spellStart"/>
      <w:r w:rsidR="0097490C" w:rsidRPr="006E5196">
        <w:rPr>
          <w:i/>
          <w:szCs w:val="20"/>
        </w:rPr>
        <w:t>f</w:t>
      </w:r>
      <w:r w:rsidR="0097490C" w:rsidRPr="006E5196">
        <w:rPr>
          <w:i/>
          <w:szCs w:val="20"/>
          <w:vertAlign w:val="subscript"/>
        </w:rPr>
        <w:t>p</w:t>
      </w:r>
      <w:proofErr w:type="spellEnd"/>
      <w:r w:rsidR="0097490C">
        <w:rPr>
          <w:rFonts w:eastAsiaTheme="minorEastAsia"/>
          <w:szCs w:val="20"/>
          <w:lang w:eastAsia="en-IN"/>
        </w:rPr>
        <w:t xml:space="preserve"> (see Eq. 3)</w:t>
      </w:r>
      <w:r w:rsidR="006F2EAD">
        <w:rPr>
          <w:rFonts w:eastAsiaTheme="minorEastAsia"/>
          <w:szCs w:val="20"/>
          <w:lang w:eastAsia="en-IN"/>
        </w:rPr>
        <w:t xml:space="preserve">: </w:t>
      </w:r>
      <w:r w:rsidR="00801DB7" w:rsidRPr="006E5196">
        <w:rPr>
          <w:rFonts w:eastAsiaTheme="minorEastAsia"/>
          <w:szCs w:val="20"/>
          <w:lang w:eastAsia="en-IN"/>
        </w:rPr>
        <w:t xml:space="preserve">(a) </w:t>
      </w:r>
      <w:r w:rsidR="00801DB7" w:rsidRPr="006E5196">
        <w:rPr>
          <w:i/>
          <w:szCs w:val="20"/>
        </w:rPr>
        <w:t>f</w:t>
      </w:r>
      <w:r w:rsidR="00801DB7" w:rsidRPr="006E5196">
        <w:rPr>
          <w:i/>
          <w:szCs w:val="20"/>
          <w:vertAlign w:val="subscript"/>
        </w:rPr>
        <w:t>p</w:t>
      </w:r>
      <w:r w:rsidR="00801DB7" w:rsidRPr="006E5196">
        <w:rPr>
          <w:szCs w:val="20"/>
        </w:rPr>
        <w:t>x10</w:t>
      </w:r>
      <w:r w:rsidR="00801DB7" w:rsidRPr="006E5196">
        <w:rPr>
          <w:szCs w:val="20"/>
          <w:vertAlign w:val="superscript"/>
        </w:rPr>
        <w:t>5</w:t>
      </w:r>
      <w:r w:rsidR="00801DB7" w:rsidRPr="006E5196">
        <w:rPr>
          <w:i/>
          <w:szCs w:val="20"/>
        </w:rPr>
        <w:t xml:space="preserve"> =</w:t>
      </w:r>
      <w:r w:rsidR="00801DB7" w:rsidRPr="006E5196">
        <w:rPr>
          <w:szCs w:val="20"/>
        </w:rPr>
        <w:t xml:space="preserve"> 8.35 Pa</w:t>
      </w:r>
      <w:r w:rsidR="00801DB7" w:rsidRPr="006E5196">
        <w:rPr>
          <w:szCs w:val="20"/>
          <w:vertAlign w:val="superscript"/>
        </w:rPr>
        <w:t>-1</w:t>
      </w:r>
      <w:r w:rsidR="00801DB7" w:rsidRPr="006E5196">
        <w:rPr>
          <w:rFonts w:eastAsiaTheme="minorEastAsia"/>
          <w:szCs w:val="20"/>
          <w:lang w:eastAsia="en-IN"/>
        </w:rPr>
        <w:t xml:space="preserve">, (b) </w:t>
      </w:r>
      <w:r w:rsidR="00801DB7" w:rsidRPr="006E5196">
        <w:rPr>
          <w:i/>
          <w:szCs w:val="20"/>
        </w:rPr>
        <w:t>f</w:t>
      </w:r>
      <w:r w:rsidR="00801DB7" w:rsidRPr="006E5196">
        <w:rPr>
          <w:i/>
          <w:szCs w:val="20"/>
          <w:vertAlign w:val="subscript"/>
        </w:rPr>
        <w:t>p</w:t>
      </w:r>
      <w:r w:rsidR="00801DB7" w:rsidRPr="006E5196">
        <w:rPr>
          <w:szCs w:val="20"/>
        </w:rPr>
        <w:t>x10</w:t>
      </w:r>
      <w:r w:rsidR="00801DB7" w:rsidRPr="006E5196">
        <w:rPr>
          <w:szCs w:val="20"/>
          <w:vertAlign w:val="superscript"/>
        </w:rPr>
        <w:t>5</w:t>
      </w:r>
      <w:r w:rsidR="00801DB7" w:rsidRPr="006E5196">
        <w:rPr>
          <w:i/>
          <w:szCs w:val="20"/>
        </w:rPr>
        <w:t xml:space="preserve"> =</w:t>
      </w:r>
      <w:r w:rsidR="00801DB7" w:rsidRPr="006E5196">
        <w:rPr>
          <w:szCs w:val="20"/>
        </w:rPr>
        <w:t xml:space="preserve"> 3.57 Pa</w:t>
      </w:r>
      <w:r w:rsidR="00801DB7" w:rsidRPr="006E5196">
        <w:rPr>
          <w:szCs w:val="20"/>
          <w:vertAlign w:val="superscript"/>
        </w:rPr>
        <w:t>-1</w:t>
      </w:r>
      <w:r w:rsidR="00801DB7" w:rsidRPr="006E5196">
        <w:rPr>
          <w:szCs w:val="20"/>
          <w:lang w:eastAsia="en-IN"/>
        </w:rPr>
        <w:t>, (c)</w:t>
      </w:r>
      <w:r w:rsidR="00801DB7" w:rsidRPr="006E5196">
        <w:rPr>
          <w:rFonts w:eastAsiaTheme="minorEastAsia"/>
          <w:bCs/>
          <w:i/>
          <w:iCs/>
          <w:color w:val="002060"/>
          <w:kern w:val="24"/>
          <w:sz w:val="72"/>
          <w:szCs w:val="72"/>
          <w:lang w:eastAsia="en-IN"/>
        </w:rPr>
        <w:t xml:space="preserve"> </w:t>
      </w:r>
      <w:r w:rsidR="00801DB7" w:rsidRPr="006E5196">
        <w:rPr>
          <w:i/>
          <w:szCs w:val="20"/>
        </w:rPr>
        <w:t>f</w:t>
      </w:r>
      <w:r w:rsidR="00801DB7" w:rsidRPr="006E5196">
        <w:rPr>
          <w:i/>
          <w:szCs w:val="20"/>
          <w:vertAlign w:val="subscript"/>
        </w:rPr>
        <w:t>p</w:t>
      </w:r>
      <w:r w:rsidR="00801DB7" w:rsidRPr="006E5196">
        <w:rPr>
          <w:szCs w:val="20"/>
        </w:rPr>
        <w:t>x10</w:t>
      </w:r>
      <w:r w:rsidR="00801DB7" w:rsidRPr="006E5196">
        <w:rPr>
          <w:szCs w:val="20"/>
          <w:vertAlign w:val="superscript"/>
        </w:rPr>
        <w:t>5</w:t>
      </w:r>
      <w:r w:rsidR="00801DB7" w:rsidRPr="006E5196">
        <w:rPr>
          <w:i/>
          <w:szCs w:val="20"/>
        </w:rPr>
        <w:t xml:space="preserve"> =</w:t>
      </w:r>
      <w:r w:rsidR="00801DB7" w:rsidRPr="006E5196">
        <w:rPr>
          <w:szCs w:val="20"/>
        </w:rPr>
        <w:t xml:space="preserve"> 1.39 Pa</w:t>
      </w:r>
      <w:r w:rsidR="00801DB7" w:rsidRPr="006E5196">
        <w:rPr>
          <w:szCs w:val="20"/>
          <w:vertAlign w:val="superscript"/>
        </w:rPr>
        <w:t>-1</w:t>
      </w:r>
      <w:r w:rsidR="00801DB7" w:rsidRPr="006E5196">
        <w:rPr>
          <w:szCs w:val="20"/>
          <w:lang w:eastAsia="en-IN"/>
        </w:rPr>
        <w:t xml:space="preserve"> and (d) </w:t>
      </w:r>
      <w:r w:rsidR="00801DB7" w:rsidRPr="006E5196">
        <w:rPr>
          <w:i/>
          <w:szCs w:val="20"/>
        </w:rPr>
        <w:t>f</w:t>
      </w:r>
      <w:r w:rsidR="00801DB7" w:rsidRPr="006E5196">
        <w:rPr>
          <w:i/>
          <w:szCs w:val="20"/>
          <w:vertAlign w:val="subscript"/>
        </w:rPr>
        <w:t>p</w:t>
      </w:r>
      <w:r w:rsidR="00801DB7" w:rsidRPr="006E5196">
        <w:rPr>
          <w:szCs w:val="20"/>
        </w:rPr>
        <w:t>x10</w:t>
      </w:r>
      <w:r w:rsidR="00801DB7" w:rsidRPr="006E5196">
        <w:rPr>
          <w:szCs w:val="20"/>
          <w:vertAlign w:val="superscript"/>
        </w:rPr>
        <w:t>5</w:t>
      </w:r>
      <w:r w:rsidR="00801DB7" w:rsidRPr="006E5196">
        <w:rPr>
          <w:i/>
          <w:szCs w:val="20"/>
        </w:rPr>
        <w:t xml:space="preserve"> =</w:t>
      </w:r>
      <w:r w:rsidR="00801DB7" w:rsidRPr="006E5196">
        <w:rPr>
          <w:szCs w:val="20"/>
        </w:rPr>
        <w:t xml:space="preserve"> 0.835 Pa</w:t>
      </w:r>
      <w:r w:rsidR="00801DB7" w:rsidRPr="006E5196">
        <w:rPr>
          <w:szCs w:val="20"/>
          <w:vertAlign w:val="superscript"/>
        </w:rPr>
        <w:t>-</w:t>
      </w:r>
      <w:r w:rsidR="00801DB7">
        <w:rPr>
          <w:szCs w:val="20"/>
          <w:vertAlign w:val="superscript"/>
        </w:rPr>
        <w:t>1</w:t>
      </w:r>
      <w:r w:rsidR="00801DB7" w:rsidRPr="00496184">
        <w:rPr>
          <w:szCs w:val="20"/>
        </w:rPr>
        <w:t>.</w:t>
      </w:r>
    </w:p>
    <w:p w14:paraId="59C0594E" w14:textId="77777777" w:rsidR="00EE52EB" w:rsidRDefault="00EE52EB" w:rsidP="00EE52EB">
      <w:pPr>
        <w:shd w:val="clear" w:color="auto" w:fill="FFFFFF" w:themeFill="background1"/>
        <w:spacing w:line="360" w:lineRule="auto"/>
        <w:rPr>
          <w:szCs w:val="20"/>
        </w:rPr>
      </w:pPr>
      <w:r w:rsidRPr="002D6DF7">
        <w:rPr>
          <w:noProof/>
          <w:lang w:eastAsia="en-IN" w:bidi="hi-IN"/>
        </w:rPr>
        <w:drawing>
          <wp:inline distT="0" distB="0" distL="0" distR="0" wp14:anchorId="775A1CD8" wp14:editId="57119084">
            <wp:extent cx="5587503" cy="196180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9629"/>
                    <a:stretch/>
                  </pic:blipFill>
                  <pic:spPr bwMode="auto">
                    <a:xfrm>
                      <a:off x="0" y="0"/>
                      <a:ext cx="5588000" cy="1961978"/>
                    </a:xfrm>
                    <a:prstGeom prst="rect">
                      <a:avLst/>
                    </a:prstGeom>
                    <a:noFill/>
                    <a:ln>
                      <a:noFill/>
                    </a:ln>
                    <a:extLst>
                      <a:ext uri="{53640926-AAD7-44D8-BBD7-CCE9431645EC}">
                        <a14:shadowObscured xmlns:a14="http://schemas.microsoft.com/office/drawing/2010/main"/>
                      </a:ext>
                    </a:extLst>
                  </pic:spPr>
                </pic:pic>
              </a:graphicData>
            </a:graphic>
          </wp:inline>
        </w:drawing>
      </w:r>
    </w:p>
    <w:p w14:paraId="73F8A6C0" w14:textId="792A6DD7" w:rsidR="003C6618" w:rsidRDefault="00EE52EB" w:rsidP="00232105">
      <w:pPr>
        <w:shd w:val="clear" w:color="auto" w:fill="FFFFFF" w:themeFill="background1"/>
        <w:spacing w:line="360" w:lineRule="auto"/>
        <w:rPr>
          <w:szCs w:val="20"/>
          <w:lang w:eastAsia="en-IN"/>
        </w:rPr>
      </w:pPr>
      <w:proofErr w:type="gramStart"/>
      <w:r w:rsidRPr="00E12D5C">
        <w:rPr>
          <w:b/>
          <w:szCs w:val="20"/>
          <w:lang w:eastAsia="en-IN"/>
        </w:rPr>
        <w:t>Fig. s5.</w:t>
      </w:r>
      <w:proofErr w:type="gramEnd"/>
      <w:r w:rsidRPr="00F541D7">
        <w:rPr>
          <w:szCs w:val="20"/>
          <w:lang w:eastAsia="en-IN"/>
        </w:rPr>
        <w:t xml:space="preserve"> Velocity contours of SSBDT at </w:t>
      </w:r>
      <m:oMath>
        <m:r>
          <w:rPr>
            <w:rFonts w:ascii="Cambria Math" w:hAnsi="Cambria Math"/>
            <w:szCs w:val="20"/>
            <w:lang w:eastAsia="en-IN"/>
          </w:rPr>
          <m:t>Re</m:t>
        </m:r>
      </m:oMath>
      <w:r w:rsidRPr="00F541D7">
        <w:rPr>
          <w:szCs w:val="20"/>
          <w:lang w:eastAsia="en-IN"/>
        </w:rPr>
        <w:t xml:space="preserve"> = 40 having </w:t>
      </w:r>
      <m:oMath>
        <m:r>
          <w:rPr>
            <w:rFonts w:ascii="Cambria Math" w:hAnsi="Cambria Math"/>
            <w:szCs w:val="20"/>
          </w:rPr>
          <m:t>t</m:t>
        </m:r>
      </m:oMath>
      <w:r w:rsidRPr="00F541D7">
        <w:rPr>
          <w:szCs w:val="20"/>
          <w:lang w:eastAsia="en-IN"/>
        </w:rPr>
        <w:t xml:space="preserve"> </w:t>
      </w:r>
      <w:proofErr w:type="gramStart"/>
      <w:r w:rsidRPr="00F541D7">
        <w:rPr>
          <w:szCs w:val="20"/>
          <w:lang w:eastAsia="en-IN"/>
        </w:rPr>
        <w:t xml:space="preserve">= </w:t>
      </w:r>
      <w:proofErr w:type="gramEnd"/>
      <m:oMath>
        <m:r>
          <w:rPr>
            <w:rFonts w:ascii="Cambria Math" w:hAnsi="Cambria Math"/>
            <w:szCs w:val="20"/>
            <w:lang w:eastAsia="en-IN"/>
          </w:rPr>
          <m:t>100 μm</m:t>
        </m:r>
      </m:oMath>
      <w:r w:rsidRPr="00F541D7">
        <w:rPr>
          <w:rFonts w:eastAsiaTheme="minorEastAsia"/>
          <w:szCs w:val="20"/>
          <w:lang w:eastAsia="en-IN"/>
        </w:rPr>
        <w:t xml:space="preserve">, </w:t>
      </w:r>
      <m:oMath>
        <m:sSub>
          <m:sSubPr>
            <m:ctrlPr>
              <w:rPr>
                <w:rFonts w:ascii="Cambria Math" w:eastAsiaTheme="minorEastAsia" w:hAnsi="Cambria Math"/>
                <w:i/>
                <w:szCs w:val="20"/>
                <w:lang w:eastAsia="en-IN"/>
              </w:rPr>
            </m:ctrlPr>
          </m:sSubPr>
          <m:e>
            <m:r>
              <w:rPr>
                <w:rFonts w:ascii="Cambria Math" w:eastAsiaTheme="minorEastAsia" w:hAnsi="Cambria Math"/>
                <w:szCs w:val="20"/>
                <w:lang w:eastAsia="en-IN"/>
              </w:rPr>
              <m:t>δ</m:t>
            </m:r>
          </m:e>
          <m:sub>
            <m:r>
              <w:rPr>
                <w:rFonts w:ascii="Cambria Math" w:eastAsiaTheme="minorEastAsia" w:hAnsi="Cambria Math"/>
                <w:szCs w:val="20"/>
                <w:lang w:eastAsia="en-IN"/>
              </w:rPr>
              <m:t>c</m:t>
            </m:r>
          </m:sub>
        </m:sSub>
        <m:r>
          <w:rPr>
            <w:rFonts w:ascii="Cambria Math" w:eastAsiaTheme="minorEastAsia" w:hAnsi="Cambria Math"/>
            <w:szCs w:val="20"/>
            <w:lang w:eastAsia="en-IN"/>
          </w:rPr>
          <m:t>=0.5</m:t>
        </m:r>
      </m:oMath>
      <w:r w:rsidRPr="00F541D7">
        <w:rPr>
          <w:rFonts w:eastAsiaTheme="minorEastAsia"/>
          <w:szCs w:val="20"/>
          <w:lang w:eastAsia="en-IN"/>
        </w:rPr>
        <w:t xml:space="preserve"> and</w:t>
      </w:r>
      <w:r w:rsidR="00B161D5">
        <w:rPr>
          <w:rFonts w:eastAsiaTheme="minorEastAsia"/>
          <w:szCs w:val="20"/>
          <w:lang w:eastAsia="en-IN"/>
        </w:rPr>
        <w:t xml:space="preserve"> varying stiffness leading to varying </w:t>
      </w:r>
      <w:proofErr w:type="spellStart"/>
      <w:r w:rsidR="00B161D5" w:rsidRPr="006E5196">
        <w:rPr>
          <w:i/>
          <w:szCs w:val="20"/>
        </w:rPr>
        <w:t>f</w:t>
      </w:r>
      <w:r w:rsidR="00B161D5" w:rsidRPr="006E5196">
        <w:rPr>
          <w:i/>
          <w:szCs w:val="20"/>
          <w:vertAlign w:val="subscript"/>
        </w:rPr>
        <w:t>p</w:t>
      </w:r>
      <w:proofErr w:type="spellEnd"/>
      <w:r w:rsidR="00B161D5">
        <w:rPr>
          <w:rFonts w:eastAsiaTheme="minorEastAsia"/>
          <w:szCs w:val="20"/>
          <w:lang w:eastAsia="en-IN"/>
        </w:rPr>
        <w:t xml:space="preserve"> (see Eq. 3):</w:t>
      </w:r>
      <w:r w:rsidRPr="00F541D7">
        <w:rPr>
          <w:rFonts w:eastAsiaTheme="minorEastAsia"/>
          <w:szCs w:val="20"/>
          <w:lang w:eastAsia="en-IN"/>
        </w:rPr>
        <w:t xml:space="preserve"> </w:t>
      </w:r>
      <w:r w:rsidRPr="006E5196">
        <w:rPr>
          <w:rFonts w:eastAsiaTheme="minorEastAsia"/>
          <w:szCs w:val="20"/>
          <w:lang w:eastAsia="en-IN"/>
        </w:rPr>
        <w:t xml:space="preserve">(a) </w:t>
      </w:r>
      <w:proofErr w:type="spellStart"/>
      <w:r w:rsidRPr="006E5196">
        <w:rPr>
          <w:i/>
          <w:szCs w:val="20"/>
        </w:rPr>
        <w:t>f</w:t>
      </w:r>
      <w:r w:rsidRPr="006E5196">
        <w:rPr>
          <w:i/>
          <w:szCs w:val="20"/>
          <w:vertAlign w:val="subscript"/>
        </w:rPr>
        <w:t>p</w:t>
      </w:r>
      <w:proofErr w:type="spellEnd"/>
      <w:r>
        <w:rPr>
          <w:i/>
          <w:szCs w:val="20"/>
          <w:vertAlign w:val="subscript"/>
        </w:rPr>
        <w:t xml:space="preserve"> </w:t>
      </w:r>
      <w:r w:rsidRPr="006E5196">
        <w:rPr>
          <w:szCs w:val="20"/>
        </w:rPr>
        <w:t>x10</w:t>
      </w:r>
      <w:r w:rsidRPr="006E5196">
        <w:rPr>
          <w:szCs w:val="20"/>
          <w:vertAlign w:val="superscript"/>
        </w:rPr>
        <w:t>5</w:t>
      </w:r>
      <w:r w:rsidRPr="006E5196">
        <w:rPr>
          <w:i/>
          <w:szCs w:val="20"/>
        </w:rPr>
        <w:t xml:space="preserve"> =</w:t>
      </w:r>
      <w:r w:rsidRPr="006E5196">
        <w:rPr>
          <w:szCs w:val="20"/>
        </w:rPr>
        <w:t xml:space="preserve"> 8.35 Pa</w:t>
      </w:r>
      <w:r w:rsidRPr="006E5196">
        <w:rPr>
          <w:szCs w:val="20"/>
          <w:vertAlign w:val="superscript"/>
        </w:rPr>
        <w:t>-1</w:t>
      </w:r>
      <w:r w:rsidRPr="006E5196">
        <w:rPr>
          <w:rFonts w:eastAsiaTheme="minorEastAsia"/>
          <w:szCs w:val="20"/>
          <w:lang w:eastAsia="en-IN"/>
        </w:rPr>
        <w:t xml:space="preserve">, (b) </w:t>
      </w:r>
      <w:proofErr w:type="spellStart"/>
      <w:r w:rsidRPr="006E5196">
        <w:rPr>
          <w:i/>
          <w:szCs w:val="20"/>
        </w:rPr>
        <w:t>f</w:t>
      </w:r>
      <w:r w:rsidRPr="006E5196">
        <w:rPr>
          <w:i/>
          <w:szCs w:val="20"/>
          <w:vertAlign w:val="subscript"/>
        </w:rPr>
        <w:t>p</w:t>
      </w:r>
      <w:proofErr w:type="spellEnd"/>
      <w:r>
        <w:rPr>
          <w:i/>
          <w:szCs w:val="20"/>
          <w:vertAlign w:val="subscript"/>
        </w:rPr>
        <w:t xml:space="preserve"> </w:t>
      </w:r>
      <w:r w:rsidRPr="006E5196">
        <w:rPr>
          <w:szCs w:val="20"/>
        </w:rPr>
        <w:t>x10</w:t>
      </w:r>
      <w:r w:rsidRPr="006E5196">
        <w:rPr>
          <w:szCs w:val="20"/>
          <w:vertAlign w:val="superscript"/>
        </w:rPr>
        <w:t>5</w:t>
      </w:r>
      <w:r w:rsidRPr="006E5196">
        <w:rPr>
          <w:i/>
          <w:szCs w:val="20"/>
        </w:rPr>
        <w:t xml:space="preserve"> =</w:t>
      </w:r>
      <w:r w:rsidRPr="006E5196">
        <w:rPr>
          <w:szCs w:val="20"/>
        </w:rPr>
        <w:t xml:space="preserve"> 3.57 Pa</w:t>
      </w:r>
      <w:r w:rsidRPr="006E5196">
        <w:rPr>
          <w:szCs w:val="20"/>
          <w:vertAlign w:val="superscript"/>
        </w:rPr>
        <w:t>-1</w:t>
      </w:r>
      <w:r w:rsidRPr="006E5196">
        <w:rPr>
          <w:szCs w:val="20"/>
          <w:lang w:eastAsia="en-IN"/>
        </w:rPr>
        <w:t>, (c)</w:t>
      </w:r>
      <w:r w:rsidRPr="006E5196">
        <w:rPr>
          <w:rFonts w:eastAsiaTheme="minorEastAsia"/>
          <w:bCs/>
          <w:i/>
          <w:iCs/>
          <w:color w:val="002060"/>
          <w:kern w:val="24"/>
          <w:sz w:val="72"/>
          <w:szCs w:val="72"/>
          <w:lang w:eastAsia="en-IN"/>
        </w:rPr>
        <w:t xml:space="preserve"> </w:t>
      </w:r>
      <w:proofErr w:type="spellStart"/>
      <w:r w:rsidRPr="006E5196">
        <w:rPr>
          <w:i/>
          <w:szCs w:val="20"/>
        </w:rPr>
        <w:t>f</w:t>
      </w:r>
      <w:r w:rsidRPr="006E5196">
        <w:rPr>
          <w:i/>
          <w:szCs w:val="20"/>
          <w:vertAlign w:val="subscript"/>
        </w:rPr>
        <w:t>p</w:t>
      </w:r>
      <w:proofErr w:type="spellEnd"/>
      <w:r>
        <w:rPr>
          <w:i/>
          <w:szCs w:val="20"/>
          <w:vertAlign w:val="subscript"/>
        </w:rPr>
        <w:t xml:space="preserve"> </w:t>
      </w:r>
      <w:r w:rsidRPr="006E5196">
        <w:rPr>
          <w:szCs w:val="20"/>
        </w:rPr>
        <w:t>x10</w:t>
      </w:r>
      <w:r w:rsidRPr="006E5196">
        <w:rPr>
          <w:szCs w:val="20"/>
          <w:vertAlign w:val="superscript"/>
        </w:rPr>
        <w:t>5</w:t>
      </w:r>
      <w:r w:rsidRPr="006E5196">
        <w:rPr>
          <w:i/>
          <w:szCs w:val="20"/>
        </w:rPr>
        <w:t xml:space="preserve"> =</w:t>
      </w:r>
      <w:r w:rsidRPr="006E5196">
        <w:rPr>
          <w:szCs w:val="20"/>
        </w:rPr>
        <w:t xml:space="preserve"> 1.39 Pa</w:t>
      </w:r>
      <w:r w:rsidRPr="006E5196">
        <w:rPr>
          <w:szCs w:val="20"/>
          <w:vertAlign w:val="superscript"/>
        </w:rPr>
        <w:t>-1</w:t>
      </w:r>
      <w:r w:rsidRPr="006E5196">
        <w:rPr>
          <w:szCs w:val="20"/>
          <w:lang w:eastAsia="en-IN"/>
        </w:rPr>
        <w:t xml:space="preserve"> and (d) </w:t>
      </w:r>
      <w:proofErr w:type="spellStart"/>
      <w:r w:rsidRPr="006E5196">
        <w:rPr>
          <w:i/>
          <w:szCs w:val="20"/>
        </w:rPr>
        <w:t>f</w:t>
      </w:r>
      <w:r w:rsidRPr="006E5196">
        <w:rPr>
          <w:i/>
          <w:szCs w:val="20"/>
          <w:vertAlign w:val="subscript"/>
        </w:rPr>
        <w:t>p</w:t>
      </w:r>
      <w:proofErr w:type="spellEnd"/>
      <w:r>
        <w:rPr>
          <w:i/>
          <w:szCs w:val="20"/>
          <w:vertAlign w:val="subscript"/>
        </w:rPr>
        <w:t xml:space="preserve"> </w:t>
      </w:r>
      <w:r w:rsidRPr="006E5196">
        <w:rPr>
          <w:szCs w:val="20"/>
        </w:rPr>
        <w:t>x10</w:t>
      </w:r>
      <w:r w:rsidRPr="006E5196">
        <w:rPr>
          <w:szCs w:val="20"/>
          <w:vertAlign w:val="superscript"/>
        </w:rPr>
        <w:t>5</w:t>
      </w:r>
      <w:r w:rsidRPr="006E5196">
        <w:rPr>
          <w:i/>
          <w:szCs w:val="20"/>
        </w:rPr>
        <w:t xml:space="preserve"> =</w:t>
      </w:r>
      <w:r w:rsidRPr="006E5196">
        <w:rPr>
          <w:szCs w:val="20"/>
        </w:rPr>
        <w:t xml:space="preserve"> 0.835 Pa</w:t>
      </w:r>
      <w:r w:rsidRPr="006E5196">
        <w:rPr>
          <w:szCs w:val="20"/>
          <w:vertAlign w:val="superscript"/>
        </w:rPr>
        <w:t>-1</w:t>
      </w:r>
      <w:r w:rsidRPr="006E5196">
        <w:rPr>
          <w:szCs w:val="20"/>
          <w:lang w:eastAsia="en-IN"/>
        </w:rPr>
        <w:t>.</w:t>
      </w:r>
    </w:p>
    <w:p w14:paraId="6BC4CD09" w14:textId="7F8ECD20" w:rsidR="00326544" w:rsidRDefault="00326544" w:rsidP="00232105">
      <w:pPr>
        <w:shd w:val="clear" w:color="auto" w:fill="FFFFFF" w:themeFill="background1"/>
        <w:spacing w:line="360" w:lineRule="auto"/>
        <w:rPr>
          <w:szCs w:val="20"/>
          <w:lang w:eastAsia="en-IN"/>
        </w:rPr>
      </w:pPr>
    </w:p>
    <w:p w14:paraId="2460376B" w14:textId="77777777" w:rsidR="00326544" w:rsidRDefault="00326544" w:rsidP="00232105">
      <w:pPr>
        <w:shd w:val="clear" w:color="auto" w:fill="FFFFFF" w:themeFill="background1"/>
        <w:spacing w:line="360" w:lineRule="auto"/>
        <w:rPr>
          <w:szCs w:val="20"/>
          <w:lang w:eastAsia="en-IN"/>
        </w:rPr>
      </w:pPr>
    </w:p>
    <w:p w14:paraId="10623B9F" w14:textId="0741975C" w:rsidR="001E16F3" w:rsidRPr="001E16F3" w:rsidRDefault="001E16F3" w:rsidP="002F754A">
      <w:pPr>
        <w:jc w:val="left"/>
        <w:rPr>
          <w:szCs w:val="20"/>
        </w:rPr>
      </w:pPr>
      <w:proofErr w:type="gramStart"/>
      <w:r w:rsidRPr="00232105">
        <w:rPr>
          <w:szCs w:val="20"/>
        </w:rPr>
        <w:lastRenderedPageBreak/>
        <w:t xml:space="preserve">TABLE </w:t>
      </w:r>
      <w:proofErr w:type="spellStart"/>
      <w:r w:rsidRPr="00232105">
        <w:rPr>
          <w:szCs w:val="20"/>
        </w:rPr>
        <w:t>sI</w:t>
      </w:r>
      <w:r w:rsidR="00D809D8" w:rsidRPr="00232105">
        <w:rPr>
          <w:szCs w:val="20"/>
        </w:rPr>
        <w:t>I</w:t>
      </w:r>
      <w:r w:rsidRPr="00232105">
        <w:rPr>
          <w:szCs w:val="20"/>
        </w:rPr>
        <w:t>I</w:t>
      </w:r>
      <w:proofErr w:type="spellEnd"/>
      <w:r w:rsidRPr="00232105">
        <w:rPr>
          <w:szCs w:val="20"/>
        </w:rPr>
        <w:t>.</w:t>
      </w:r>
      <w:proofErr w:type="gramEnd"/>
      <w:r w:rsidRPr="00232105">
        <w:rPr>
          <w:szCs w:val="20"/>
        </w:rPr>
        <w:t xml:space="preserve"> </w:t>
      </w:r>
      <w:proofErr w:type="gramStart"/>
      <w:r w:rsidRPr="00232105">
        <w:rPr>
          <w:szCs w:val="20"/>
        </w:rPr>
        <w:t>V</w:t>
      </w:r>
      <w:r>
        <w:rPr>
          <w:szCs w:val="20"/>
        </w:rPr>
        <w:t xml:space="preserve">alues of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p</m:t>
            </m:r>
          </m:sub>
        </m:sSub>
      </m:oMath>
      <w:r w:rsidRPr="00E909DA">
        <w:rPr>
          <w:szCs w:val="20"/>
        </w:rPr>
        <w:t xml:space="preserve"> </w:t>
      </w:r>
      <w:r>
        <w:rPr>
          <w:szCs w:val="20"/>
        </w:rPr>
        <w:t>corresponding to different stiffness values.</w:t>
      </w:r>
      <w:proofErr w:type="gramEnd"/>
    </w:p>
    <w:tbl>
      <w:tblPr>
        <w:tblStyle w:val="TableGrid"/>
        <w:tblW w:w="0" w:type="auto"/>
        <w:jc w:val="center"/>
        <w:tblLook w:val="04A0" w:firstRow="1" w:lastRow="0" w:firstColumn="1" w:lastColumn="0" w:noHBand="0" w:noVBand="1"/>
      </w:tblPr>
      <w:tblGrid>
        <w:gridCol w:w="2082"/>
        <w:gridCol w:w="2083"/>
      </w:tblGrid>
      <w:tr w:rsidR="001E16F3" w:rsidRPr="00B96EC6" w14:paraId="6755CB21" w14:textId="77777777" w:rsidTr="00FD667F">
        <w:trPr>
          <w:jc w:val="center"/>
        </w:trPr>
        <w:tc>
          <w:tcPr>
            <w:tcW w:w="2082" w:type="dxa"/>
          </w:tcPr>
          <w:p w14:paraId="7B2ECA03" w14:textId="77777777" w:rsidR="001E16F3" w:rsidRPr="00B96EC6" w:rsidRDefault="001E16F3" w:rsidP="00FD667F">
            <w:pPr>
              <w:spacing w:line="360" w:lineRule="auto"/>
              <w:jc w:val="center"/>
              <w:rPr>
                <w:rFonts w:eastAsia="MS Gothic"/>
                <w:b/>
                <w:szCs w:val="20"/>
              </w:rPr>
            </w:pPr>
            <m:oMathPara>
              <m:oMath>
                <m:r>
                  <m:rPr>
                    <m:sty m:val="bi"/>
                  </m:rPr>
                  <w:rPr>
                    <w:rFonts w:ascii="Cambria Math" w:eastAsia="MS Gothic" w:hAnsi="Cambria Math"/>
                    <w:szCs w:val="20"/>
                  </w:rPr>
                  <m:t>Y (MPa)</m:t>
                </m:r>
              </m:oMath>
            </m:oMathPara>
          </w:p>
        </w:tc>
        <w:tc>
          <w:tcPr>
            <w:tcW w:w="2083" w:type="dxa"/>
          </w:tcPr>
          <w:p w14:paraId="4D08D810" w14:textId="6B6D757E" w:rsidR="001E16F3" w:rsidRPr="00B96EC6" w:rsidRDefault="004F3D11" w:rsidP="00FD667F">
            <w:pPr>
              <w:spacing w:line="360" w:lineRule="auto"/>
              <w:jc w:val="center"/>
              <w:rPr>
                <w:rFonts w:eastAsia="MS Gothic"/>
                <w:b/>
                <w:szCs w:val="20"/>
              </w:rPr>
            </w:pPr>
            <m:oMath>
              <m:sSub>
                <m:sSubPr>
                  <m:ctrlPr>
                    <w:rPr>
                      <w:rFonts w:ascii="Cambria Math" w:hAnsi="Cambria Math"/>
                      <w:b/>
                      <w:bCs/>
                      <w:i/>
                      <w:iCs/>
                      <w:szCs w:val="20"/>
                    </w:rPr>
                  </m:ctrlPr>
                </m:sSubPr>
                <m:e>
                  <m:r>
                    <m:rPr>
                      <m:sty m:val="bi"/>
                    </m:rPr>
                    <w:rPr>
                      <w:rFonts w:ascii="Cambria Math" w:hAnsi="Cambria Math"/>
                      <w:szCs w:val="20"/>
                    </w:rPr>
                    <m:t>f</m:t>
                  </m:r>
                </m:e>
                <m:sub>
                  <m:r>
                    <m:rPr>
                      <m:sty m:val="bi"/>
                    </m:rPr>
                    <w:rPr>
                      <w:rFonts w:ascii="Cambria Math" w:hAnsi="Cambria Math"/>
                      <w:szCs w:val="20"/>
                    </w:rPr>
                    <m:t>p</m:t>
                  </m:r>
                </m:sub>
              </m:sSub>
              <m:r>
                <m:rPr>
                  <m:sty m:val="b"/>
                </m:rPr>
                <w:rPr>
                  <w:rFonts w:ascii="Cambria Math" w:hAnsi="Cambria Math"/>
                  <w:szCs w:val="20"/>
                </w:rPr>
                <m:t>x</m:t>
              </m:r>
              <m:r>
                <m:rPr>
                  <m:sty m:val="bi"/>
                </m:rPr>
                <w:rPr>
                  <w:rFonts w:ascii="Cambria Math" w:hAnsi="Cambria Math"/>
                  <w:szCs w:val="20"/>
                </w:rPr>
                <m:t>10^5</m:t>
              </m:r>
            </m:oMath>
            <w:r w:rsidR="00232105">
              <w:rPr>
                <w:rFonts w:eastAsia="MS Gothic"/>
                <w:b/>
                <w:szCs w:val="20"/>
              </w:rPr>
              <w:t xml:space="preserve"> (Pa</w:t>
            </w:r>
            <w:r w:rsidR="00232105" w:rsidRPr="00232105">
              <w:rPr>
                <w:rFonts w:eastAsia="MS Gothic"/>
                <w:b/>
                <w:szCs w:val="20"/>
                <w:vertAlign w:val="superscript"/>
              </w:rPr>
              <w:t>-1</w:t>
            </w:r>
            <w:r w:rsidR="00232105">
              <w:rPr>
                <w:rFonts w:eastAsia="MS Gothic"/>
                <w:b/>
                <w:szCs w:val="20"/>
              </w:rPr>
              <w:t>)</w:t>
            </w:r>
          </w:p>
        </w:tc>
      </w:tr>
      <w:tr w:rsidR="001E16F3" w:rsidRPr="00B96EC6" w14:paraId="5E7ABE94" w14:textId="77777777" w:rsidTr="00FD667F">
        <w:trPr>
          <w:jc w:val="center"/>
        </w:trPr>
        <w:tc>
          <w:tcPr>
            <w:tcW w:w="2082" w:type="dxa"/>
            <w:vAlign w:val="bottom"/>
          </w:tcPr>
          <w:p w14:paraId="615EB1B7" w14:textId="77777777" w:rsidR="001E16F3" w:rsidRPr="00B96EC6" w:rsidRDefault="001E16F3" w:rsidP="00FD667F">
            <w:pPr>
              <w:spacing w:line="360" w:lineRule="auto"/>
              <w:jc w:val="center"/>
              <w:rPr>
                <w:szCs w:val="20"/>
              </w:rPr>
            </w:pPr>
            <w:r w:rsidRPr="00EA7A1D">
              <w:rPr>
                <w:szCs w:val="20"/>
              </w:rPr>
              <w:t>0.5</w:t>
            </w:r>
          </w:p>
        </w:tc>
        <w:tc>
          <w:tcPr>
            <w:tcW w:w="2083" w:type="dxa"/>
            <w:shd w:val="clear" w:color="auto" w:fill="auto"/>
            <w:vAlign w:val="bottom"/>
          </w:tcPr>
          <w:p w14:paraId="08D49592" w14:textId="77777777" w:rsidR="001E16F3" w:rsidRPr="00B96EC6" w:rsidRDefault="001E16F3" w:rsidP="00FD667F">
            <w:pPr>
              <w:spacing w:line="360" w:lineRule="auto"/>
              <w:jc w:val="center"/>
              <w:rPr>
                <w:szCs w:val="20"/>
              </w:rPr>
            </w:pPr>
            <w:r w:rsidRPr="00EA7A1D">
              <w:rPr>
                <w:szCs w:val="20"/>
              </w:rPr>
              <w:t>8.35</w:t>
            </w:r>
          </w:p>
        </w:tc>
      </w:tr>
      <w:tr w:rsidR="001E16F3" w:rsidRPr="00B96EC6" w14:paraId="673FCFB6" w14:textId="77777777" w:rsidTr="00FD667F">
        <w:trPr>
          <w:jc w:val="center"/>
        </w:trPr>
        <w:tc>
          <w:tcPr>
            <w:tcW w:w="2082" w:type="dxa"/>
            <w:vAlign w:val="bottom"/>
          </w:tcPr>
          <w:p w14:paraId="25EE2AFA" w14:textId="77777777" w:rsidR="001E16F3" w:rsidRPr="00B96EC6" w:rsidRDefault="001E16F3" w:rsidP="00FD667F">
            <w:pPr>
              <w:spacing w:line="360" w:lineRule="auto"/>
              <w:jc w:val="center"/>
              <w:rPr>
                <w:szCs w:val="20"/>
              </w:rPr>
            </w:pPr>
            <w:r w:rsidRPr="00EA7A1D">
              <w:rPr>
                <w:szCs w:val="20"/>
              </w:rPr>
              <w:t>1.17</w:t>
            </w:r>
          </w:p>
        </w:tc>
        <w:tc>
          <w:tcPr>
            <w:tcW w:w="2083" w:type="dxa"/>
            <w:shd w:val="clear" w:color="auto" w:fill="auto"/>
            <w:vAlign w:val="bottom"/>
          </w:tcPr>
          <w:p w14:paraId="3CF39249" w14:textId="77777777" w:rsidR="001E16F3" w:rsidRPr="00D5717D" w:rsidRDefault="001E16F3" w:rsidP="00FD667F">
            <w:pPr>
              <w:spacing w:line="360" w:lineRule="auto"/>
              <w:jc w:val="center"/>
              <w:rPr>
                <w:szCs w:val="20"/>
              </w:rPr>
            </w:pPr>
            <w:r w:rsidRPr="00D5717D">
              <w:rPr>
                <w:szCs w:val="20"/>
              </w:rPr>
              <w:t>3.57</w:t>
            </w:r>
          </w:p>
        </w:tc>
      </w:tr>
      <w:tr w:rsidR="00F95D2C" w:rsidRPr="004C4226" w14:paraId="5287F50E" w14:textId="77777777" w:rsidTr="00FD667F">
        <w:trPr>
          <w:jc w:val="center"/>
        </w:trPr>
        <w:tc>
          <w:tcPr>
            <w:tcW w:w="2082" w:type="dxa"/>
            <w:vAlign w:val="bottom"/>
          </w:tcPr>
          <w:p w14:paraId="68E60A24" w14:textId="789DB4E7" w:rsidR="00F95D2C" w:rsidRPr="00EA7A1D" w:rsidRDefault="00F95D2C" w:rsidP="00FD667F">
            <w:pPr>
              <w:spacing w:line="360" w:lineRule="auto"/>
              <w:jc w:val="center"/>
              <w:rPr>
                <w:szCs w:val="20"/>
              </w:rPr>
            </w:pPr>
            <w:r>
              <w:rPr>
                <w:szCs w:val="20"/>
              </w:rPr>
              <w:t>2.5</w:t>
            </w:r>
          </w:p>
        </w:tc>
        <w:tc>
          <w:tcPr>
            <w:tcW w:w="2083" w:type="dxa"/>
            <w:shd w:val="clear" w:color="auto" w:fill="auto"/>
            <w:vAlign w:val="bottom"/>
          </w:tcPr>
          <w:p w14:paraId="5C1FFF09" w14:textId="2661E4DD" w:rsidR="00F95D2C" w:rsidRPr="00D5717D" w:rsidRDefault="00653B15" w:rsidP="00FD667F">
            <w:pPr>
              <w:spacing w:line="360" w:lineRule="auto"/>
              <w:jc w:val="center"/>
              <w:rPr>
                <w:szCs w:val="20"/>
              </w:rPr>
            </w:pPr>
            <w:r w:rsidRPr="00D5717D">
              <w:rPr>
                <w:szCs w:val="20"/>
              </w:rPr>
              <w:t>1.67</w:t>
            </w:r>
          </w:p>
        </w:tc>
      </w:tr>
      <w:tr w:rsidR="001E16F3" w:rsidRPr="00B96EC6" w14:paraId="43ACD4D3" w14:textId="77777777" w:rsidTr="00FD667F">
        <w:trPr>
          <w:jc w:val="center"/>
        </w:trPr>
        <w:tc>
          <w:tcPr>
            <w:tcW w:w="2082" w:type="dxa"/>
            <w:vAlign w:val="bottom"/>
          </w:tcPr>
          <w:p w14:paraId="1610671D" w14:textId="77777777" w:rsidR="001E16F3" w:rsidRPr="00B96EC6" w:rsidRDefault="001E16F3" w:rsidP="00FD667F">
            <w:pPr>
              <w:spacing w:line="360" w:lineRule="auto"/>
              <w:jc w:val="center"/>
              <w:rPr>
                <w:szCs w:val="20"/>
              </w:rPr>
            </w:pPr>
            <w:r w:rsidRPr="00EA7A1D">
              <w:rPr>
                <w:szCs w:val="20"/>
              </w:rPr>
              <w:t>3</w:t>
            </w:r>
          </w:p>
        </w:tc>
        <w:tc>
          <w:tcPr>
            <w:tcW w:w="2083" w:type="dxa"/>
            <w:shd w:val="clear" w:color="auto" w:fill="auto"/>
            <w:vAlign w:val="bottom"/>
          </w:tcPr>
          <w:p w14:paraId="0E508FE4" w14:textId="77777777" w:rsidR="001E16F3" w:rsidRPr="00D5717D" w:rsidRDefault="001E16F3" w:rsidP="00FD667F">
            <w:pPr>
              <w:spacing w:line="360" w:lineRule="auto"/>
              <w:jc w:val="center"/>
              <w:rPr>
                <w:szCs w:val="20"/>
              </w:rPr>
            </w:pPr>
            <w:r w:rsidRPr="00D5717D">
              <w:rPr>
                <w:szCs w:val="20"/>
              </w:rPr>
              <w:t>1.39</w:t>
            </w:r>
          </w:p>
        </w:tc>
      </w:tr>
      <w:tr w:rsidR="00F95D2C" w:rsidRPr="00B96EC6" w14:paraId="749191E7" w14:textId="77777777" w:rsidTr="00FD667F">
        <w:trPr>
          <w:jc w:val="center"/>
        </w:trPr>
        <w:tc>
          <w:tcPr>
            <w:tcW w:w="2082" w:type="dxa"/>
            <w:vAlign w:val="bottom"/>
          </w:tcPr>
          <w:p w14:paraId="394AE2FF" w14:textId="2D43CD51" w:rsidR="00F95D2C" w:rsidRPr="00EA7A1D" w:rsidRDefault="00F95D2C" w:rsidP="00FD667F">
            <w:pPr>
              <w:spacing w:line="360" w:lineRule="auto"/>
              <w:jc w:val="center"/>
              <w:rPr>
                <w:szCs w:val="20"/>
              </w:rPr>
            </w:pPr>
            <w:r>
              <w:rPr>
                <w:szCs w:val="20"/>
              </w:rPr>
              <w:t>4</w:t>
            </w:r>
          </w:p>
        </w:tc>
        <w:tc>
          <w:tcPr>
            <w:tcW w:w="2083" w:type="dxa"/>
            <w:shd w:val="clear" w:color="auto" w:fill="auto"/>
            <w:vAlign w:val="bottom"/>
          </w:tcPr>
          <w:p w14:paraId="08F33053" w14:textId="4BB270BF" w:rsidR="00F95D2C" w:rsidRPr="00D5717D" w:rsidRDefault="00653B15" w:rsidP="00FD667F">
            <w:pPr>
              <w:spacing w:line="360" w:lineRule="auto"/>
              <w:jc w:val="center"/>
              <w:rPr>
                <w:szCs w:val="20"/>
              </w:rPr>
            </w:pPr>
            <w:r w:rsidRPr="00D5717D">
              <w:rPr>
                <w:szCs w:val="20"/>
              </w:rPr>
              <w:t>1.04</w:t>
            </w:r>
          </w:p>
        </w:tc>
      </w:tr>
      <w:tr w:rsidR="001E16F3" w:rsidRPr="00B96EC6" w14:paraId="725EFBA7" w14:textId="77777777" w:rsidTr="00FD667F">
        <w:trPr>
          <w:jc w:val="center"/>
        </w:trPr>
        <w:tc>
          <w:tcPr>
            <w:tcW w:w="2082" w:type="dxa"/>
            <w:vAlign w:val="bottom"/>
          </w:tcPr>
          <w:p w14:paraId="586D88EE" w14:textId="77777777" w:rsidR="001E16F3" w:rsidRPr="00B96EC6" w:rsidRDefault="001E16F3" w:rsidP="00FD667F">
            <w:pPr>
              <w:spacing w:line="360" w:lineRule="auto"/>
              <w:jc w:val="center"/>
              <w:rPr>
                <w:szCs w:val="20"/>
              </w:rPr>
            </w:pPr>
            <w:r w:rsidRPr="00EA7A1D">
              <w:rPr>
                <w:szCs w:val="20"/>
              </w:rPr>
              <w:t>5</w:t>
            </w:r>
          </w:p>
        </w:tc>
        <w:tc>
          <w:tcPr>
            <w:tcW w:w="2083" w:type="dxa"/>
            <w:vAlign w:val="bottom"/>
          </w:tcPr>
          <w:p w14:paraId="7D2AE9F9" w14:textId="77777777" w:rsidR="001E16F3" w:rsidRPr="00B96EC6" w:rsidRDefault="001E16F3" w:rsidP="00FD667F">
            <w:pPr>
              <w:spacing w:line="360" w:lineRule="auto"/>
              <w:jc w:val="center"/>
              <w:rPr>
                <w:szCs w:val="20"/>
              </w:rPr>
            </w:pPr>
            <w:r w:rsidRPr="00EA7A1D">
              <w:rPr>
                <w:szCs w:val="20"/>
              </w:rPr>
              <w:t>0.835</w:t>
            </w:r>
          </w:p>
        </w:tc>
      </w:tr>
    </w:tbl>
    <w:p w14:paraId="4E14D22E" w14:textId="69D1EB88" w:rsidR="001E16F3" w:rsidRDefault="001E16F3" w:rsidP="00BF5A7B">
      <w:pPr>
        <w:rPr>
          <w:color w:val="0070C0"/>
        </w:rPr>
      </w:pPr>
    </w:p>
    <w:p w14:paraId="61691288" w14:textId="7122D43B" w:rsidR="008209D6" w:rsidRPr="00232105" w:rsidRDefault="00F616DF" w:rsidP="00232105">
      <w:pPr>
        <w:pStyle w:val="ListParagraph"/>
        <w:numPr>
          <w:ilvl w:val="0"/>
          <w:numId w:val="1"/>
        </w:numPr>
        <w:rPr>
          <w:b/>
        </w:rPr>
      </w:pPr>
      <w:r w:rsidRPr="00232105">
        <w:rPr>
          <w:b/>
        </w:rPr>
        <w:t>Pressure</w:t>
      </w:r>
      <w:r w:rsidR="00C80D9C" w:rsidRPr="00232105">
        <w:rPr>
          <w:b/>
        </w:rPr>
        <w:t xml:space="preserve"> and </w:t>
      </w:r>
      <w:r w:rsidRPr="00232105">
        <w:rPr>
          <w:b/>
        </w:rPr>
        <w:t>velocity</w:t>
      </w:r>
      <w:r w:rsidR="00C80D9C" w:rsidRPr="00232105">
        <w:rPr>
          <w:b/>
        </w:rPr>
        <w:t xml:space="preserve"> contours for different </w:t>
      </w:r>
      <m:oMath>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p</m:t>
            </m:r>
          </m:sub>
        </m:sSub>
      </m:oMath>
      <w:r w:rsidR="002A2C12" w:rsidRPr="00232105">
        <w:rPr>
          <w:rFonts w:eastAsiaTheme="minorEastAsia"/>
          <w:b/>
        </w:rPr>
        <w:t>,</w:t>
      </w:r>
      <w:r w:rsidR="00C80D9C" w:rsidRPr="00232105">
        <w:rPr>
          <w:b/>
        </w:rPr>
        <w:t xml:space="preserve"> corresponding to changes in</w:t>
      </w:r>
      <w:r w:rsidR="008209D6" w:rsidRPr="00232105">
        <w:rPr>
          <w:b/>
        </w:rPr>
        <w:t xml:space="preserve"> </w:t>
      </w:r>
      <m:oMath>
        <m:r>
          <m:rPr>
            <m:sty m:val="bi"/>
          </m:rPr>
          <w:rPr>
            <w:rFonts w:ascii="Cambria Math" w:hAnsi="Cambria Math"/>
          </w:rPr>
          <m:t>t</m:t>
        </m:r>
      </m:oMath>
    </w:p>
    <w:p w14:paraId="3545A4AA" w14:textId="647A968B" w:rsidR="008209D6" w:rsidRDefault="008209D6" w:rsidP="00BF5A7B">
      <w:pPr>
        <w:rPr>
          <w:color w:val="0070C0"/>
        </w:rPr>
      </w:pPr>
    </w:p>
    <w:p w14:paraId="4F8A792A" w14:textId="77777777" w:rsidR="00EE52EB" w:rsidRPr="00DC1D57" w:rsidRDefault="00EE52EB" w:rsidP="00EE52EB">
      <w:pPr>
        <w:shd w:val="clear" w:color="auto" w:fill="FFFFFF" w:themeFill="background1"/>
        <w:rPr>
          <w:szCs w:val="20"/>
        </w:rPr>
      </w:pPr>
      <w:r w:rsidRPr="009938B3">
        <w:rPr>
          <w:noProof/>
          <w:lang w:eastAsia="en-IN" w:bidi="hi-IN"/>
        </w:rPr>
        <w:drawing>
          <wp:inline distT="0" distB="0" distL="0" distR="0" wp14:anchorId="3D6EAFD1" wp14:editId="5A5BB88B">
            <wp:extent cx="5588000" cy="157136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8000" cy="1571369"/>
                    </a:xfrm>
                    <a:prstGeom prst="rect">
                      <a:avLst/>
                    </a:prstGeom>
                    <a:noFill/>
                    <a:ln>
                      <a:noFill/>
                    </a:ln>
                  </pic:spPr>
                </pic:pic>
              </a:graphicData>
            </a:graphic>
          </wp:inline>
        </w:drawing>
      </w:r>
    </w:p>
    <w:p w14:paraId="4DEE39BF" w14:textId="6B551FF6" w:rsidR="00EE52EB" w:rsidRPr="00EE52EB" w:rsidRDefault="00EE52EB" w:rsidP="00EE52EB">
      <w:pPr>
        <w:shd w:val="clear" w:color="auto" w:fill="FFFFFF" w:themeFill="background1"/>
        <w:rPr>
          <w:rFonts w:eastAsiaTheme="minorEastAsia"/>
          <w:szCs w:val="20"/>
        </w:rPr>
      </w:pPr>
      <w:proofErr w:type="gramStart"/>
      <w:r w:rsidRPr="00A50BFE">
        <w:rPr>
          <w:b/>
          <w:szCs w:val="20"/>
          <w:lang w:eastAsia="en-IN"/>
        </w:rPr>
        <w:t>Fig. s6.</w:t>
      </w:r>
      <w:proofErr w:type="gramEnd"/>
      <w:r w:rsidRPr="00DC1D57">
        <w:rPr>
          <w:szCs w:val="20"/>
          <w:lang w:eastAsia="en-IN"/>
        </w:rPr>
        <w:t xml:space="preserve"> Pressure contours of SSBDT at </w:t>
      </w:r>
      <m:oMath>
        <m:r>
          <w:rPr>
            <w:rFonts w:ascii="Cambria Math" w:hAnsi="Cambria Math"/>
            <w:szCs w:val="20"/>
            <w:lang w:eastAsia="en-IN"/>
          </w:rPr>
          <m:t>Re</m:t>
        </m:r>
      </m:oMath>
      <w:r w:rsidRPr="00DC1D57">
        <w:rPr>
          <w:szCs w:val="20"/>
          <w:lang w:eastAsia="en-IN"/>
        </w:rPr>
        <w:t xml:space="preserve"> = 40 with having </w:t>
      </w:r>
      <m:oMath>
        <m:r>
          <w:rPr>
            <w:rFonts w:ascii="Cambria Math" w:hAnsi="Cambria Math"/>
            <w:szCs w:val="20"/>
            <w:lang w:eastAsia="en-IN"/>
          </w:rPr>
          <m:t>Y</m:t>
        </m:r>
      </m:oMath>
      <w:r w:rsidRPr="00DC1D57">
        <w:rPr>
          <w:szCs w:val="20"/>
          <w:lang w:eastAsia="en-IN"/>
        </w:rPr>
        <w:t xml:space="preserve"> = </w:t>
      </w:r>
      <w:proofErr w:type="gramStart"/>
      <w:r w:rsidRPr="00DC1D57">
        <w:rPr>
          <w:szCs w:val="20"/>
          <w:lang w:eastAsia="en-IN"/>
        </w:rPr>
        <w:t xml:space="preserve">0.5 </w:t>
      </w:r>
      <w:proofErr w:type="gramEnd"/>
      <m:oMath>
        <m:r>
          <w:rPr>
            <w:rFonts w:ascii="Cambria Math" w:hAnsi="Cambria Math"/>
            <w:szCs w:val="20"/>
            <w:lang w:eastAsia="en-IN"/>
          </w:rPr>
          <m:t>MPa</m:t>
        </m:r>
      </m:oMath>
      <w:r w:rsidRPr="00DC1D57">
        <w:rPr>
          <w:szCs w:val="20"/>
          <w:lang w:eastAsia="en-IN"/>
        </w:rPr>
        <w:t xml:space="preserve">, </w:t>
      </w:r>
      <m:oMath>
        <m:r>
          <w:rPr>
            <w:rFonts w:ascii="Cambria Math" w:hAnsi="Cambria Math"/>
            <w:szCs w:val="20"/>
            <w:lang w:eastAsia="en-IN"/>
          </w:rPr>
          <m:t>δ</m:t>
        </m:r>
      </m:oMath>
      <w:r w:rsidRPr="00DC1D57">
        <w:rPr>
          <w:szCs w:val="20"/>
          <w:vertAlign w:val="subscript"/>
        </w:rPr>
        <w:t>c</w:t>
      </w:r>
      <w:r w:rsidRPr="00DC1D57">
        <w:rPr>
          <w:szCs w:val="20"/>
        </w:rPr>
        <w:t xml:space="preserve"> = 0.5 and </w:t>
      </w:r>
      <w:r w:rsidR="009523D9">
        <w:rPr>
          <w:rFonts w:eastAsiaTheme="minorEastAsia"/>
          <w:szCs w:val="20"/>
          <w:lang w:eastAsia="en-IN"/>
        </w:rPr>
        <w:t xml:space="preserve">varying thickness leading to varying </w:t>
      </w:r>
      <w:proofErr w:type="spellStart"/>
      <w:r w:rsidR="009523D9" w:rsidRPr="006E5196">
        <w:rPr>
          <w:i/>
          <w:szCs w:val="20"/>
        </w:rPr>
        <w:t>f</w:t>
      </w:r>
      <w:r w:rsidR="009523D9" w:rsidRPr="006E5196">
        <w:rPr>
          <w:i/>
          <w:szCs w:val="20"/>
          <w:vertAlign w:val="subscript"/>
        </w:rPr>
        <w:t>p</w:t>
      </w:r>
      <w:proofErr w:type="spellEnd"/>
      <w:r w:rsidR="009523D9">
        <w:rPr>
          <w:rFonts w:eastAsiaTheme="minorEastAsia"/>
          <w:szCs w:val="20"/>
          <w:lang w:eastAsia="en-IN"/>
        </w:rPr>
        <w:t xml:space="preserve"> (see Eq. 3):</w:t>
      </w:r>
      <w:r w:rsidR="009523D9">
        <w:rPr>
          <w:szCs w:val="20"/>
        </w:rPr>
        <w:t xml:space="preserve"> </w:t>
      </w:r>
      <w:r>
        <w:rPr>
          <w:szCs w:val="20"/>
        </w:rPr>
        <w:t xml:space="preserve">(a)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27.83</w:t>
      </w:r>
      <w:r w:rsidRPr="006E5196">
        <w:rPr>
          <w:szCs w:val="20"/>
        </w:rPr>
        <w:t xml:space="preserve"> Pa</w:t>
      </w:r>
      <w:r w:rsidRPr="006E5196">
        <w:rPr>
          <w:szCs w:val="20"/>
          <w:vertAlign w:val="superscript"/>
        </w:rPr>
        <w:t>-1</w:t>
      </w:r>
      <w:r w:rsidRPr="006E5196">
        <w:rPr>
          <w:rFonts w:eastAsiaTheme="minorEastAsia"/>
          <w:szCs w:val="20"/>
          <w:lang w:eastAsia="en-IN"/>
        </w:rPr>
        <w:t xml:space="preserve">, </w:t>
      </w:r>
      <w:r>
        <w:rPr>
          <w:rFonts w:eastAsiaTheme="minorEastAsia"/>
          <w:szCs w:val="20"/>
          <w:lang w:eastAsia="en-IN"/>
        </w:rPr>
        <w:t>(b</w:t>
      </w:r>
      <w:r w:rsidRPr="006E5196">
        <w:rPr>
          <w:rFonts w:eastAsiaTheme="minorEastAsia"/>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20.88</w:t>
      </w:r>
      <w:r w:rsidRPr="006E5196">
        <w:rPr>
          <w:szCs w:val="20"/>
        </w:rPr>
        <w:t xml:space="preserve"> Pa</w:t>
      </w:r>
      <w:r w:rsidRPr="006E5196">
        <w:rPr>
          <w:szCs w:val="20"/>
          <w:vertAlign w:val="superscript"/>
        </w:rPr>
        <w:t>-1</w:t>
      </w:r>
      <w:r w:rsidRPr="006E5196">
        <w:rPr>
          <w:rFonts w:eastAsiaTheme="minorEastAsia"/>
          <w:szCs w:val="20"/>
          <w:lang w:eastAsia="en-IN"/>
        </w:rPr>
        <w:t>, (</w:t>
      </w:r>
      <w:r>
        <w:rPr>
          <w:rFonts w:eastAsiaTheme="minorEastAsia"/>
          <w:szCs w:val="20"/>
          <w:lang w:eastAsia="en-IN"/>
        </w:rPr>
        <w:t>c</w:t>
      </w:r>
      <w:r w:rsidRPr="006E5196">
        <w:rPr>
          <w:rFonts w:eastAsiaTheme="minorEastAsia"/>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13.92</w:t>
      </w:r>
      <w:r w:rsidRPr="006E5196">
        <w:rPr>
          <w:szCs w:val="20"/>
        </w:rPr>
        <w:t xml:space="preserve"> Pa</w:t>
      </w:r>
      <w:r w:rsidRPr="006E5196">
        <w:rPr>
          <w:szCs w:val="20"/>
          <w:vertAlign w:val="superscript"/>
        </w:rPr>
        <w:t>-1</w:t>
      </w:r>
      <w:r w:rsidRPr="006E5196">
        <w:rPr>
          <w:szCs w:val="20"/>
          <w:lang w:eastAsia="en-IN"/>
        </w:rPr>
        <w:t>, (</w:t>
      </w:r>
      <w:r>
        <w:rPr>
          <w:szCs w:val="20"/>
          <w:lang w:eastAsia="en-IN"/>
        </w:rPr>
        <w:t>d</w:t>
      </w:r>
      <w:r w:rsidRPr="006E5196">
        <w:rPr>
          <w:szCs w:val="20"/>
          <w:lang w:eastAsia="en-IN"/>
        </w:rPr>
        <w:t>)</w:t>
      </w:r>
      <w:r w:rsidRPr="006E5196">
        <w:rPr>
          <w:rFonts w:eastAsiaTheme="minorEastAsia"/>
          <w:bCs/>
          <w:i/>
          <w:iCs/>
          <w:color w:val="002060"/>
          <w:kern w:val="24"/>
          <w:sz w:val="72"/>
          <w:szCs w:val="72"/>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sidRPr="006E5196">
        <w:rPr>
          <w:szCs w:val="20"/>
        </w:rPr>
        <w:t xml:space="preserve"> 1</w:t>
      </w:r>
      <w:r>
        <w:rPr>
          <w:szCs w:val="20"/>
        </w:rPr>
        <w:t>0.44</w:t>
      </w:r>
      <w:r w:rsidRPr="006E5196">
        <w:rPr>
          <w:szCs w:val="20"/>
        </w:rPr>
        <w:t xml:space="preserve"> Pa</w:t>
      </w:r>
      <w:r w:rsidRPr="006E5196">
        <w:rPr>
          <w:szCs w:val="20"/>
          <w:vertAlign w:val="superscript"/>
        </w:rPr>
        <w:t>-1</w:t>
      </w:r>
      <w:r w:rsidRPr="006E5196">
        <w:rPr>
          <w:szCs w:val="20"/>
          <w:lang w:eastAsia="en-IN"/>
        </w:rPr>
        <w:t xml:space="preserve"> and (</w:t>
      </w:r>
      <w:r>
        <w:rPr>
          <w:szCs w:val="20"/>
          <w:lang w:eastAsia="en-IN"/>
        </w:rPr>
        <w:t>e</w:t>
      </w:r>
      <w:r w:rsidRPr="006E5196">
        <w:rPr>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sidRPr="006E5196">
        <w:rPr>
          <w:szCs w:val="20"/>
        </w:rPr>
        <w:t xml:space="preserve"> 8</w:t>
      </w:r>
      <w:r>
        <w:rPr>
          <w:szCs w:val="20"/>
        </w:rPr>
        <w:t>.</w:t>
      </w:r>
      <w:r w:rsidRPr="006E5196">
        <w:rPr>
          <w:szCs w:val="20"/>
        </w:rPr>
        <w:t>35 Pa</w:t>
      </w:r>
      <w:r w:rsidRPr="006E5196">
        <w:rPr>
          <w:szCs w:val="20"/>
          <w:vertAlign w:val="superscript"/>
        </w:rPr>
        <w:t>-1</w:t>
      </w:r>
      <w:r w:rsidRPr="006E5196">
        <w:rPr>
          <w:szCs w:val="20"/>
          <w:lang w:eastAsia="en-IN"/>
        </w:rPr>
        <w:t>.</w:t>
      </w:r>
    </w:p>
    <w:p w14:paraId="774E7A23" w14:textId="77777777" w:rsidR="00D809D8" w:rsidRPr="00995148" w:rsidRDefault="00D809D8" w:rsidP="00D809D8">
      <w:pPr>
        <w:shd w:val="clear" w:color="auto" w:fill="FFFFFF" w:themeFill="background1"/>
        <w:rPr>
          <w:rFonts w:eastAsiaTheme="minorEastAsia"/>
          <w:szCs w:val="20"/>
        </w:rPr>
      </w:pPr>
      <w:r w:rsidRPr="00995148">
        <w:rPr>
          <w:noProof/>
          <w:lang w:eastAsia="en-IN" w:bidi="hi-IN"/>
        </w:rPr>
        <w:drawing>
          <wp:inline distT="0" distB="0" distL="0" distR="0" wp14:anchorId="4619771F" wp14:editId="59FBBD9F">
            <wp:extent cx="5639839" cy="14879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91" t="2212" r="1164" b="2082"/>
                    <a:stretch/>
                  </pic:blipFill>
                  <pic:spPr bwMode="auto">
                    <a:xfrm>
                      <a:off x="0" y="0"/>
                      <a:ext cx="5653216" cy="1491507"/>
                    </a:xfrm>
                    <a:prstGeom prst="rect">
                      <a:avLst/>
                    </a:prstGeom>
                    <a:noFill/>
                    <a:ln>
                      <a:noFill/>
                    </a:ln>
                    <a:extLst>
                      <a:ext uri="{53640926-AAD7-44D8-BBD7-CCE9431645EC}">
                        <a14:shadowObscured xmlns:a14="http://schemas.microsoft.com/office/drawing/2010/main"/>
                      </a:ext>
                    </a:extLst>
                  </pic:spPr>
                </pic:pic>
              </a:graphicData>
            </a:graphic>
          </wp:inline>
        </w:drawing>
      </w:r>
    </w:p>
    <w:p w14:paraId="18B07F89" w14:textId="41BC3125" w:rsidR="00D809D8" w:rsidRDefault="00D809D8" w:rsidP="00D809D8">
      <w:pPr>
        <w:shd w:val="clear" w:color="auto" w:fill="FFFFFF" w:themeFill="background1"/>
        <w:rPr>
          <w:szCs w:val="20"/>
          <w:lang w:eastAsia="en-IN"/>
        </w:rPr>
      </w:pPr>
      <w:proofErr w:type="gramStart"/>
      <w:r w:rsidRPr="00A50BFE">
        <w:rPr>
          <w:b/>
          <w:szCs w:val="20"/>
          <w:lang w:eastAsia="en-IN"/>
        </w:rPr>
        <w:t>Fig. s</w:t>
      </w:r>
      <w:r w:rsidR="00EE52EB" w:rsidRPr="00A50BFE">
        <w:rPr>
          <w:b/>
          <w:szCs w:val="20"/>
          <w:lang w:eastAsia="en-IN"/>
        </w:rPr>
        <w:t>7</w:t>
      </w:r>
      <w:r w:rsidRPr="00A50BFE">
        <w:rPr>
          <w:b/>
          <w:szCs w:val="20"/>
          <w:lang w:eastAsia="en-IN"/>
        </w:rPr>
        <w:t>.</w:t>
      </w:r>
      <w:proofErr w:type="gramEnd"/>
      <w:r w:rsidRPr="00F541D7">
        <w:rPr>
          <w:szCs w:val="20"/>
          <w:lang w:eastAsia="en-IN"/>
        </w:rPr>
        <w:t xml:space="preserve"> Velocity contours of SSBDT at </w:t>
      </w:r>
      <m:oMath>
        <m:r>
          <w:rPr>
            <w:rFonts w:ascii="Cambria Math" w:hAnsi="Cambria Math"/>
            <w:szCs w:val="20"/>
            <w:lang w:eastAsia="en-IN"/>
          </w:rPr>
          <m:t>Re</m:t>
        </m:r>
      </m:oMath>
      <w:r w:rsidRPr="00F541D7">
        <w:rPr>
          <w:szCs w:val="20"/>
          <w:lang w:eastAsia="en-IN"/>
        </w:rPr>
        <w:t xml:space="preserve"> = 40 with having </w:t>
      </w:r>
      <m:oMath>
        <m:r>
          <w:rPr>
            <w:rFonts w:ascii="Cambria Math" w:hAnsi="Cambria Math"/>
            <w:szCs w:val="20"/>
            <w:lang w:eastAsia="en-IN"/>
          </w:rPr>
          <m:t>Y</m:t>
        </m:r>
      </m:oMath>
      <w:r w:rsidRPr="00F541D7">
        <w:rPr>
          <w:szCs w:val="20"/>
          <w:lang w:eastAsia="en-IN"/>
        </w:rPr>
        <w:t xml:space="preserve"> = </w:t>
      </w:r>
      <w:proofErr w:type="gramStart"/>
      <w:r w:rsidRPr="00F541D7">
        <w:rPr>
          <w:szCs w:val="20"/>
          <w:lang w:eastAsia="en-IN"/>
        </w:rPr>
        <w:t xml:space="preserve">0.5 </w:t>
      </w:r>
      <w:proofErr w:type="gramEnd"/>
      <m:oMath>
        <m:r>
          <w:rPr>
            <w:rFonts w:ascii="Cambria Math" w:hAnsi="Cambria Math"/>
            <w:szCs w:val="20"/>
            <w:lang w:eastAsia="en-IN"/>
          </w:rPr>
          <m:t>MPa</m:t>
        </m:r>
      </m:oMath>
      <w:r w:rsidRPr="00F541D7">
        <w:rPr>
          <w:szCs w:val="20"/>
          <w:lang w:eastAsia="en-IN"/>
        </w:rPr>
        <w:t xml:space="preserve">, </w:t>
      </w:r>
      <m:oMath>
        <m:r>
          <w:rPr>
            <w:rFonts w:ascii="Cambria Math" w:hAnsi="Cambria Math"/>
            <w:szCs w:val="20"/>
            <w:lang w:eastAsia="en-IN"/>
          </w:rPr>
          <m:t>δ</m:t>
        </m:r>
      </m:oMath>
      <w:r w:rsidRPr="00F541D7">
        <w:rPr>
          <w:szCs w:val="20"/>
          <w:vertAlign w:val="subscript"/>
        </w:rPr>
        <w:t>c</w:t>
      </w:r>
      <w:r w:rsidRPr="00F541D7">
        <w:rPr>
          <w:szCs w:val="20"/>
        </w:rPr>
        <w:t xml:space="preserve"> = 0.5 and</w:t>
      </w:r>
      <w:r w:rsidR="00D63D33">
        <w:rPr>
          <w:szCs w:val="20"/>
        </w:rPr>
        <w:t xml:space="preserve"> </w:t>
      </w:r>
      <w:r w:rsidR="00D63D33">
        <w:rPr>
          <w:rFonts w:eastAsiaTheme="minorEastAsia"/>
          <w:szCs w:val="20"/>
          <w:lang w:eastAsia="en-IN"/>
        </w:rPr>
        <w:t xml:space="preserve">varying thickness leading to varying </w:t>
      </w:r>
      <w:proofErr w:type="spellStart"/>
      <w:r w:rsidR="00D63D33" w:rsidRPr="006E5196">
        <w:rPr>
          <w:i/>
          <w:szCs w:val="20"/>
        </w:rPr>
        <w:t>f</w:t>
      </w:r>
      <w:r w:rsidR="00D63D33" w:rsidRPr="006E5196">
        <w:rPr>
          <w:i/>
          <w:szCs w:val="20"/>
          <w:vertAlign w:val="subscript"/>
        </w:rPr>
        <w:t>p</w:t>
      </w:r>
      <w:proofErr w:type="spellEnd"/>
      <w:r w:rsidR="00D63D33">
        <w:rPr>
          <w:rFonts w:eastAsiaTheme="minorEastAsia"/>
          <w:szCs w:val="20"/>
          <w:lang w:eastAsia="en-IN"/>
        </w:rPr>
        <w:t xml:space="preserve"> (see Eq. 3):</w:t>
      </w:r>
      <w:r w:rsidR="00D63D33">
        <w:rPr>
          <w:szCs w:val="20"/>
        </w:rPr>
        <w:t xml:space="preserve"> </w:t>
      </w:r>
      <w:r w:rsidRPr="00F541D7">
        <w:rPr>
          <w:szCs w:val="20"/>
        </w:rPr>
        <w:t xml:space="preserve"> </w:t>
      </w:r>
      <w:r>
        <w:rPr>
          <w:szCs w:val="20"/>
        </w:rPr>
        <w:t xml:space="preserve">(a)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27.83</w:t>
      </w:r>
      <w:r w:rsidRPr="006E5196">
        <w:rPr>
          <w:szCs w:val="20"/>
        </w:rPr>
        <w:t xml:space="preserve"> Pa</w:t>
      </w:r>
      <w:r w:rsidRPr="006E5196">
        <w:rPr>
          <w:szCs w:val="20"/>
          <w:vertAlign w:val="superscript"/>
        </w:rPr>
        <w:t>-1</w:t>
      </w:r>
      <w:r w:rsidRPr="006E5196">
        <w:rPr>
          <w:rFonts w:eastAsiaTheme="minorEastAsia"/>
          <w:szCs w:val="20"/>
          <w:lang w:eastAsia="en-IN"/>
        </w:rPr>
        <w:t xml:space="preserve">, </w:t>
      </w:r>
      <w:r>
        <w:rPr>
          <w:rFonts w:eastAsiaTheme="minorEastAsia"/>
          <w:szCs w:val="20"/>
          <w:lang w:eastAsia="en-IN"/>
        </w:rPr>
        <w:t>(b</w:t>
      </w:r>
      <w:r w:rsidRPr="006E5196">
        <w:rPr>
          <w:rFonts w:eastAsiaTheme="minorEastAsia"/>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20.88</w:t>
      </w:r>
      <w:r w:rsidRPr="006E5196">
        <w:rPr>
          <w:szCs w:val="20"/>
        </w:rPr>
        <w:t xml:space="preserve"> Pa</w:t>
      </w:r>
      <w:r w:rsidRPr="006E5196">
        <w:rPr>
          <w:szCs w:val="20"/>
          <w:vertAlign w:val="superscript"/>
        </w:rPr>
        <w:t>-1</w:t>
      </w:r>
      <w:r w:rsidRPr="006E5196">
        <w:rPr>
          <w:rFonts w:eastAsiaTheme="minorEastAsia"/>
          <w:szCs w:val="20"/>
          <w:lang w:eastAsia="en-IN"/>
        </w:rPr>
        <w:t>, (</w:t>
      </w:r>
      <w:r>
        <w:rPr>
          <w:rFonts w:eastAsiaTheme="minorEastAsia"/>
          <w:szCs w:val="20"/>
          <w:lang w:eastAsia="en-IN"/>
        </w:rPr>
        <w:t>c</w:t>
      </w:r>
      <w:r w:rsidRPr="006E5196">
        <w:rPr>
          <w:rFonts w:eastAsiaTheme="minorEastAsia"/>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Pr>
          <w:szCs w:val="20"/>
        </w:rPr>
        <w:t xml:space="preserve"> 13.92</w:t>
      </w:r>
      <w:r w:rsidRPr="006E5196">
        <w:rPr>
          <w:szCs w:val="20"/>
        </w:rPr>
        <w:t xml:space="preserve"> Pa</w:t>
      </w:r>
      <w:r w:rsidRPr="006E5196">
        <w:rPr>
          <w:szCs w:val="20"/>
          <w:vertAlign w:val="superscript"/>
        </w:rPr>
        <w:t>-1</w:t>
      </w:r>
      <w:r w:rsidRPr="006E5196">
        <w:rPr>
          <w:szCs w:val="20"/>
          <w:lang w:eastAsia="en-IN"/>
        </w:rPr>
        <w:t>, (</w:t>
      </w:r>
      <w:r>
        <w:rPr>
          <w:szCs w:val="20"/>
          <w:lang w:eastAsia="en-IN"/>
        </w:rPr>
        <w:t>d</w:t>
      </w:r>
      <w:r w:rsidRPr="006E5196">
        <w:rPr>
          <w:szCs w:val="20"/>
          <w:lang w:eastAsia="en-IN"/>
        </w:rPr>
        <w:t>)</w:t>
      </w:r>
      <w:r w:rsidRPr="006E5196">
        <w:rPr>
          <w:rFonts w:eastAsiaTheme="minorEastAsia"/>
          <w:bCs/>
          <w:i/>
          <w:iCs/>
          <w:color w:val="002060"/>
          <w:kern w:val="24"/>
          <w:sz w:val="72"/>
          <w:szCs w:val="72"/>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sidRPr="006E5196">
        <w:rPr>
          <w:szCs w:val="20"/>
        </w:rPr>
        <w:t xml:space="preserve"> 1</w:t>
      </w:r>
      <w:r>
        <w:rPr>
          <w:szCs w:val="20"/>
        </w:rPr>
        <w:t>0.44</w:t>
      </w:r>
      <w:r w:rsidRPr="006E5196">
        <w:rPr>
          <w:szCs w:val="20"/>
        </w:rPr>
        <w:t xml:space="preserve"> Pa</w:t>
      </w:r>
      <w:r w:rsidRPr="006E5196">
        <w:rPr>
          <w:szCs w:val="20"/>
          <w:vertAlign w:val="superscript"/>
        </w:rPr>
        <w:t>-1</w:t>
      </w:r>
      <w:r w:rsidRPr="006E5196">
        <w:rPr>
          <w:szCs w:val="20"/>
          <w:lang w:eastAsia="en-IN"/>
        </w:rPr>
        <w:t xml:space="preserve"> and (</w:t>
      </w:r>
      <w:r>
        <w:rPr>
          <w:szCs w:val="20"/>
          <w:lang w:eastAsia="en-IN"/>
        </w:rPr>
        <w:t>e</w:t>
      </w:r>
      <w:r w:rsidRPr="006E5196">
        <w:rPr>
          <w:szCs w:val="20"/>
          <w:lang w:eastAsia="en-IN"/>
        </w:rPr>
        <w:t xml:space="preserve">) </w:t>
      </w:r>
      <w:r w:rsidRPr="006E5196">
        <w:rPr>
          <w:i/>
          <w:szCs w:val="20"/>
        </w:rPr>
        <w:t>f</w:t>
      </w:r>
      <w:r w:rsidRPr="006E5196">
        <w:rPr>
          <w:i/>
          <w:szCs w:val="20"/>
          <w:vertAlign w:val="subscript"/>
        </w:rPr>
        <w:t>p</w:t>
      </w:r>
      <w:r w:rsidRPr="006E5196">
        <w:rPr>
          <w:szCs w:val="20"/>
        </w:rPr>
        <w:t>x10</w:t>
      </w:r>
      <w:r w:rsidRPr="006E5196">
        <w:rPr>
          <w:szCs w:val="20"/>
          <w:vertAlign w:val="superscript"/>
        </w:rPr>
        <w:t>5</w:t>
      </w:r>
      <w:r w:rsidRPr="006E5196">
        <w:rPr>
          <w:i/>
          <w:szCs w:val="20"/>
        </w:rPr>
        <w:t xml:space="preserve"> =</w:t>
      </w:r>
      <w:r w:rsidRPr="006E5196">
        <w:rPr>
          <w:szCs w:val="20"/>
        </w:rPr>
        <w:t xml:space="preserve"> 8</w:t>
      </w:r>
      <w:r>
        <w:rPr>
          <w:szCs w:val="20"/>
        </w:rPr>
        <w:t>.</w:t>
      </w:r>
      <w:r w:rsidRPr="006E5196">
        <w:rPr>
          <w:szCs w:val="20"/>
        </w:rPr>
        <w:t>35 Pa</w:t>
      </w:r>
      <w:r w:rsidRPr="006E5196">
        <w:rPr>
          <w:szCs w:val="20"/>
          <w:vertAlign w:val="superscript"/>
        </w:rPr>
        <w:t>-1</w:t>
      </w:r>
      <w:r w:rsidRPr="006E5196">
        <w:rPr>
          <w:szCs w:val="20"/>
          <w:lang w:eastAsia="en-IN"/>
        </w:rPr>
        <w:t>.</w:t>
      </w:r>
    </w:p>
    <w:p w14:paraId="1D2A1110" w14:textId="375798C9" w:rsidR="00D809D8" w:rsidRPr="00FD667F" w:rsidRDefault="00FD667F" w:rsidP="00FD667F">
      <w:pPr>
        <w:jc w:val="center"/>
        <w:rPr>
          <w:color w:val="0070C0"/>
        </w:rPr>
      </w:pPr>
      <w:r>
        <w:rPr>
          <w:color w:val="0070C0"/>
        </w:rPr>
        <w:br w:type="page"/>
      </w:r>
      <w:proofErr w:type="gramStart"/>
      <w:r w:rsidR="00D809D8" w:rsidRPr="00232105">
        <w:rPr>
          <w:szCs w:val="20"/>
        </w:rPr>
        <w:lastRenderedPageBreak/>
        <w:t xml:space="preserve">TABLE </w:t>
      </w:r>
      <w:proofErr w:type="spellStart"/>
      <w:r w:rsidR="00D809D8" w:rsidRPr="00232105">
        <w:rPr>
          <w:szCs w:val="20"/>
        </w:rPr>
        <w:t>sIV</w:t>
      </w:r>
      <w:proofErr w:type="spellEnd"/>
      <w:r w:rsidR="00D809D8" w:rsidRPr="00232105">
        <w:rPr>
          <w:szCs w:val="20"/>
        </w:rPr>
        <w:t>.</w:t>
      </w:r>
      <w:proofErr w:type="gramEnd"/>
      <w:r w:rsidR="00D809D8" w:rsidRPr="00232105">
        <w:rPr>
          <w:szCs w:val="20"/>
        </w:rPr>
        <w:t xml:space="preserve"> </w:t>
      </w:r>
      <w:proofErr w:type="gramStart"/>
      <w:r w:rsidR="00D809D8">
        <w:rPr>
          <w:szCs w:val="20"/>
        </w:rPr>
        <w:t xml:space="preserve">Value of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p</m:t>
            </m:r>
          </m:sub>
        </m:sSub>
      </m:oMath>
      <w:r w:rsidR="00D809D8" w:rsidRPr="00E909DA">
        <w:rPr>
          <w:szCs w:val="20"/>
        </w:rPr>
        <w:t xml:space="preserve"> </w:t>
      </w:r>
      <w:r w:rsidR="00D809D8">
        <w:rPr>
          <w:szCs w:val="20"/>
        </w:rPr>
        <w:t>corresponding to top wall thickness.</w:t>
      </w:r>
      <w:proofErr w:type="gramEnd"/>
    </w:p>
    <w:tbl>
      <w:tblPr>
        <w:tblStyle w:val="TableGrid"/>
        <w:tblW w:w="0" w:type="auto"/>
        <w:jc w:val="center"/>
        <w:tblLook w:val="04A0" w:firstRow="1" w:lastRow="0" w:firstColumn="1" w:lastColumn="0" w:noHBand="0" w:noVBand="1"/>
      </w:tblPr>
      <w:tblGrid>
        <w:gridCol w:w="2082"/>
        <w:gridCol w:w="2083"/>
      </w:tblGrid>
      <w:tr w:rsidR="00D809D8" w:rsidRPr="00B96EC6" w14:paraId="139D2CED" w14:textId="77777777" w:rsidTr="00FD667F">
        <w:trPr>
          <w:jc w:val="center"/>
        </w:trPr>
        <w:tc>
          <w:tcPr>
            <w:tcW w:w="2082" w:type="dxa"/>
          </w:tcPr>
          <w:p w14:paraId="71DD61C9" w14:textId="01BCFE75" w:rsidR="00D809D8" w:rsidRPr="00B96EC6" w:rsidRDefault="00D809D8" w:rsidP="00F90D53">
            <w:pPr>
              <w:spacing w:line="360" w:lineRule="auto"/>
              <w:jc w:val="center"/>
              <w:rPr>
                <w:rFonts w:eastAsia="MS Gothic"/>
                <w:b/>
                <w:szCs w:val="20"/>
              </w:rPr>
            </w:pPr>
            <m:oMathPara>
              <m:oMath>
                <m:r>
                  <m:rPr>
                    <m:sty m:val="bi"/>
                  </m:rPr>
                  <w:rPr>
                    <w:rFonts w:ascii="Cambria Math" w:eastAsia="MS Gothic" w:hAnsi="Cambria Math"/>
                    <w:szCs w:val="20"/>
                  </w:rPr>
                  <m:t>t (μm)</m:t>
                </m:r>
              </m:oMath>
            </m:oMathPara>
          </w:p>
        </w:tc>
        <w:tc>
          <w:tcPr>
            <w:tcW w:w="2083" w:type="dxa"/>
          </w:tcPr>
          <w:p w14:paraId="54FD4717" w14:textId="7EFDF1AB" w:rsidR="00D809D8" w:rsidRPr="00B96EC6" w:rsidRDefault="004F3D11" w:rsidP="00F90D53">
            <w:pPr>
              <w:spacing w:line="360" w:lineRule="auto"/>
              <w:jc w:val="center"/>
              <w:rPr>
                <w:rFonts w:eastAsia="MS Gothic"/>
                <w:b/>
                <w:szCs w:val="20"/>
              </w:rPr>
            </w:pPr>
            <m:oMath>
              <m:sSub>
                <m:sSubPr>
                  <m:ctrlPr>
                    <w:rPr>
                      <w:rFonts w:ascii="Cambria Math" w:hAnsi="Cambria Math"/>
                      <w:b/>
                      <w:bCs/>
                      <w:i/>
                      <w:iCs/>
                      <w:szCs w:val="20"/>
                    </w:rPr>
                  </m:ctrlPr>
                </m:sSubPr>
                <m:e>
                  <m:r>
                    <m:rPr>
                      <m:sty m:val="bi"/>
                    </m:rPr>
                    <w:rPr>
                      <w:rFonts w:ascii="Cambria Math" w:hAnsi="Cambria Math"/>
                      <w:szCs w:val="20"/>
                    </w:rPr>
                    <m:t>f</m:t>
                  </m:r>
                </m:e>
                <m:sub>
                  <m:r>
                    <m:rPr>
                      <m:sty m:val="bi"/>
                    </m:rPr>
                    <w:rPr>
                      <w:rFonts w:ascii="Cambria Math" w:hAnsi="Cambria Math"/>
                      <w:szCs w:val="20"/>
                    </w:rPr>
                    <m:t>p</m:t>
                  </m:r>
                </m:sub>
              </m:sSub>
              <m:r>
                <m:rPr>
                  <m:sty m:val="b"/>
                </m:rPr>
                <w:rPr>
                  <w:rFonts w:ascii="Cambria Math" w:hAnsi="Cambria Math"/>
                  <w:szCs w:val="20"/>
                </w:rPr>
                <m:t>x</m:t>
              </m:r>
              <m:r>
                <m:rPr>
                  <m:sty m:val="bi"/>
                </m:rPr>
                <w:rPr>
                  <w:rFonts w:ascii="Cambria Math" w:hAnsi="Cambria Math"/>
                  <w:szCs w:val="20"/>
                </w:rPr>
                <m:t>10^5</m:t>
              </m:r>
            </m:oMath>
            <w:r w:rsidR="00232105">
              <w:rPr>
                <w:rFonts w:eastAsia="MS Gothic"/>
                <w:b/>
                <w:szCs w:val="20"/>
              </w:rPr>
              <w:t xml:space="preserve"> (Pa</w:t>
            </w:r>
            <w:r w:rsidR="00232105" w:rsidRPr="00232105">
              <w:rPr>
                <w:rFonts w:eastAsia="MS Gothic"/>
                <w:b/>
                <w:szCs w:val="20"/>
                <w:vertAlign w:val="superscript"/>
              </w:rPr>
              <w:t>-1</w:t>
            </w:r>
            <w:r w:rsidR="00232105">
              <w:rPr>
                <w:rFonts w:eastAsia="MS Gothic"/>
                <w:b/>
                <w:szCs w:val="20"/>
              </w:rPr>
              <w:t>)</w:t>
            </w:r>
          </w:p>
        </w:tc>
      </w:tr>
      <w:tr w:rsidR="00D809D8" w:rsidRPr="00B96EC6" w14:paraId="25069A62" w14:textId="77777777" w:rsidTr="00FD667F">
        <w:trPr>
          <w:jc w:val="center"/>
        </w:trPr>
        <w:tc>
          <w:tcPr>
            <w:tcW w:w="2082" w:type="dxa"/>
            <w:vAlign w:val="bottom"/>
          </w:tcPr>
          <w:p w14:paraId="0FD14556" w14:textId="60A1F74D" w:rsidR="00D809D8" w:rsidRPr="00B96EC6" w:rsidRDefault="00D809D8" w:rsidP="00D809D8">
            <w:pPr>
              <w:spacing w:line="360" w:lineRule="auto"/>
              <w:jc w:val="center"/>
              <w:rPr>
                <w:szCs w:val="20"/>
              </w:rPr>
            </w:pPr>
            <w:r w:rsidRPr="00B96EC6">
              <w:rPr>
                <w:szCs w:val="20"/>
              </w:rPr>
              <w:t>100</w:t>
            </w:r>
          </w:p>
        </w:tc>
        <w:tc>
          <w:tcPr>
            <w:tcW w:w="2083" w:type="dxa"/>
            <w:vAlign w:val="bottom"/>
          </w:tcPr>
          <w:p w14:paraId="6A5DA16C" w14:textId="4099233C" w:rsidR="00D809D8" w:rsidRPr="00B96EC6" w:rsidRDefault="00D809D8" w:rsidP="00D809D8">
            <w:pPr>
              <w:spacing w:line="360" w:lineRule="auto"/>
              <w:jc w:val="center"/>
              <w:rPr>
                <w:szCs w:val="20"/>
              </w:rPr>
            </w:pPr>
            <w:r w:rsidRPr="00B96EC6">
              <w:rPr>
                <w:szCs w:val="20"/>
              </w:rPr>
              <w:t>8.35</w:t>
            </w:r>
          </w:p>
        </w:tc>
      </w:tr>
      <w:tr w:rsidR="00D809D8" w:rsidRPr="00B96EC6" w14:paraId="0B7E98ED" w14:textId="77777777" w:rsidTr="00FD667F">
        <w:trPr>
          <w:jc w:val="center"/>
        </w:trPr>
        <w:tc>
          <w:tcPr>
            <w:tcW w:w="2082" w:type="dxa"/>
            <w:vAlign w:val="bottom"/>
          </w:tcPr>
          <w:p w14:paraId="095D5588" w14:textId="4DE97B9B" w:rsidR="00D809D8" w:rsidRPr="00B96EC6" w:rsidRDefault="00D809D8" w:rsidP="00D809D8">
            <w:pPr>
              <w:spacing w:line="360" w:lineRule="auto"/>
              <w:jc w:val="center"/>
              <w:rPr>
                <w:szCs w:val="20"/>
              </w:rPr>
            </w:pPr>
            <w:r w:rsidRPr="00B96EC6">
              <w:rPr>
                <w:szCs w:val="20"/>
              </w:rPr>
              <w:t>80</w:t>
            </w:r>
          </w:p>
        </w:tc>
        <w:tc>
          <w:tcPr>
            <w:tcW w:w="2083" w:type="dxa"/>
            <w:vAlign w:val="bottom"/>
          </w:tcPr>
          <w:p w14:paraId="5CA6F129" w14:textId="1137B5BD" w:rsidR="00D809D8" w:rsidRPr="00B96EC6" w:rsidRDefault="00D809D8" w:rsidP="00D809D8">
            <w:pPr>
              <w:spacing w:line="360" w:lineRule="auto"/>
              <w:jc w:val="center"/>
              <w:rPr>
                <w:szCs w:val="20"/>
              </w:rPr>
            </w:pPr>
            <w:r w:rsidRPr="00B96EC6">
              <w:rPr>
                <w:szCs w:val="20"/>
              </w:rPr>
              <w:t>10.4375</w:t>
            </w:r>
          </w:p>
        </w:tc>
      </w:tr>
      <w:tr w:rsidR="00D809D8" w:rsidRPr="00B96EC6" w14:paraId="2D3BF9F6" w14:textId="77777777" w:rsidTr="00FD667F">
        <w:trPr>
          <w:jc w:val="center"/>
        </w:trPr>
        <w:tc>
          <w:tcPr>
            <w:tcW w:w="2082" w:type="dxa"/>
            <w:vAlign w:val="bottom"/>
          </w:tcPr>
          <w:p w14:paraId="12BD6636" w14:textId="2143D1A1" w:rsidR="00D809D8" w:rsidRPr="00B96EC6" w:rsidRDefault="00D809D8" w:rsidP="00D809D8">
            <w:pPr>
              <w:spacing w:line="360" w:lineRule="auto"/>
              <w:jc w:val="center"/>
              <w:rPr>
                <w:szCs w:val="20"/>
              </w:rPr>
            </w:pPr>
            <w:r w:rsidRPr="00B96EC6">
              <w:rPr>
                <w:szCs w:val="20"/>
              </w:rPr>
              <w:t>60</w:t>
            </w:r>
          </w:p>
        </w:tc>
        <w:tc>
          <w:tcPr>
            <w:tcW w:w="2083" w:type="dxa"/>
            <w:vAlign w:val="bottom"/>
          </w:tcPr>
          <w:p w14:paraId="0706DC3E" w14:textId="41CDC948" w:rsidR="00D809D8" w:rsidRPr="00B96EC6" w:rsidRDefault="00D809D8" w:rsidP="00D809D8">
            <w:pPr>
              <w:spacing w:line="360" w:lineRule="auto"/>
              <w:jc w:val="center"/>
              <w:rPr>
                <w:szCs w:val="20"/>
              </w:rPr>
            </w:pPr>
            <w:r w:rsidRPr="00B96EC6">
              <w:rPr>
                <w:szCs w:val="20"/>
              </w:rPr>
              <w:t>13.91667</w:t>
            </w:r>
          </w:p>
        </w:tc>
      </w:tr>
      <w:tr w:rsidR="00D809D8" w:rsidRPr="00B96EC6" w14:paraId="23A788F1" w14:textId="77777777" w:rsidTr="00FD667F">
        <w:trPr>
          <w:jc w:val="center"/>
        </w:trPr>
        <w:tc>
          <w:tcPr>
            <w:tcW w:w="2082" w:type="dxa"/>
            <w:vAlign w:val="bottom"/>
          </w:tcPr>
          <w:p w14:paraId="70F1181F" w14:textId="0EAFA70D" w:rsidR="00D809D8" w:rsidRPr="00B96EC6" w:rsidRDefault="00D809D8" w:rsidP="00D809D8">
            <w:pPr>
              <w:spacing w:line="360" w:lineRule="auto"/>
              <w:jc w:val="center"/>
              <w:rPr>
                <w:szCs w:val="20"/>
              </w:rPr>
            </w:pPr>
            <w:r w:rsidRPr="00B96EC6">
              <w:rPr>
                <w:szCs w:val="20"/>
              </w:rPr>
              <w:t>40</w:t>
            </w:r>
          </w:p>
        </w:tc>
        <w:tc>
          <w:tcPr>
            <w:tcW w:w="2083" w:type="dxa"/>
            <w:vAlign w:val="bottom"/>
          </w:tcPr>
          <w:p w14:paraId="6C376195" w14:textId="03A853AD" w:rsidR="00D809D8" w:rsidRPr="00B96EC6" w:rsidRDefault="00D809D8" w:rsidP="00D809D8">
            <w:pPr>
              <w:spacing w:line="360" w:lineRule="auto"/>
              <w:jc w:val="center"/>
              <w:rPr>
                <w:szCs w:val="20"/>
              </w:rPr>
            </w:pPr>
            <w:r w:rsidRPr="00B96EC6">
              <w:rPr>
                <w:szCs w:val="20"/>
              </w:rPr>
              <w:t>20.875</w:t>
            </w:r>
          </w:p>
        </w:tc>
      </w:tr>
      <w:tr w:rsidR="00D809D8" w:rsidRPr="00B96EC6" w14:paraId="430F91A1" w14:textId="77777777" w:rsidTr="00FD667F">
        <w:trPr>
          <w:jc w:val="center"/>
        </w:trPr>
        <w:tc>
          <w:tcPr>
            <w:tcW w:w="2082" w:type="dxa"/>
            <w:vAlign w:val="bottom"/>
          </w:tcPr>
          <w:p w14:paraId="63D1F82C" w14:textId="6B9EBEEE" w:rsidR="00D809D8" w:rsidRPr="00EA7A1D" w:rsidRDefault="00D809D8" w:rsidP="00D809D8">
            <w:pPr>
              <w:spacing w:line="360" w:lineRule="auto"/>
              <w:jc w:val="center"/>
              <w:rPr>
                <w:szCs w:val="20"/>
              </w:rPr>
            </w:pPr>
            <w:r w:rsidRPr="00B96EC6">
              <w:rPr>
                <w:szCs w:val="20"/>
              </w:rPr>
              <w:t>30</w:t>
            </w:r>
          </w:p>
        </w:tc>
        <w:tc>
          <w:tcPr>
            <w:tcW w:w="2083" w:type="dxa"/>
            <w:vAlign w:val="bottom"/>
          </w:tcPr>
          <w:p w14:paraId="092A9E82" w14:textId="440F9B4F" w:rsidR="00D809D8" w:rsidRPr="00EA7A1D" w:rsidRDefault="00D809D8" w:rsidP="00D809D8">
            <w:pPr>
              <w:spacing w:line="360" w:lineRule="auto"/>
              <w:jc w:val="center"/>
              <w:rPr>
                <w:szCs w:val="20"/>
              </w:rPr>
            </w:pPr>
            <w:r w:rsidRPr="00B96EC6">
              <w:rPr>
                <w:szCs w:val="20"/>
              </w:rPr>
              <w:t>27.83333</w:t>
            </w:r>
          </w:p>
        </w:tc>
      </w:tr>
    </w:tbl>
    <w:p w14:paraId="17CD33F0" w14:textId="3896CD5A" w:rsidR="009A6623" w:rsidRDefault="009A6623" w:rsidP="006F070E">
      <w:pPr>
        <w:tabs>
          <w:tab w:val="left" w:pos="1920"/>
        </w:tabs>
        <w:rPr>
          <w:b/>
        </w:rPr>
      </w:pPr>
    </w:p>
    <w:p w14:paraId="2E677682" w14:textId="59489F1F" w:rsidR="004A254F" w:rsidRPr="00400909" w:rsidRDefault="00BF5184" w:rsidP="006F070E">
      <w:pPr>
        <w:tabs>
          <w:tab w:val="left" w:pos="1920"/>
        </w:tabs>
        <w:rPr>
          <w:b/>
          <w:szCs w:val="20"/>
        </w:rPr>
      </w:pPr>
      <w:r w:rsidRPr="00400909">
        <w:rPr>
          <w:b/>
          <w:szCs w:val="20"/>
        </w:rPr>
        <w:t>S</w:t>
      </w:r>
      <w:r w:rsidR="006606E1">
        <w:rPr>
          <w:b/>
          <w:szCs w:val="20"/>
        </w:rPr>
        <w:t>5</w:t>
      </w:r>
      <w:r w:rsidRPr="00400909">
        <w:rPr>
          <w:b/>
          <w:szCs w:val="20"/>
        </w:rPr>
        <w:t xml:space="preserve">. </w:t>
      </w:r>
      <w:r w:rsidR="00CB6C70" w:rsidRPr="00400909">
        <w:rPr>
          <w:b/>
          <w:szCs w:val="20"/>
        </w:rPr>
        <w:t>VELOCITY PROFILES ALONG VERTICAL CENTRAL LINE</w:t>
      </w:r>
      <w:r w:rsidR="008A30D6" w:rsidRPr="00400909">
        <w:rPr>
          <w:b/>
          <w:szCs w:val="20"/>
        </w:rPr>
        <w:t xml:space="preserve"> </w:t>
      </w:r>
    </w:p>
    <w:p w14:paraId="1494E87C" w14:textId="0A69F41E" w:rsidR="00CB6C70" w:rsidRPr="00400909" w:rsidRDefault="00CB6C70" w:rsidP="00CB6C70">
      <w:pPr>
        <w:pStyle w:val="ListParagraph"/>
        <w:numPr>
          <w:ilvl w:val="0"/>
          <w:numId w:val="3"/>
        </w:numPr>
        <w:shd w:val="clear" w:color="auto" w:fill="FFFFFF" w:themeFill="background1"/>
        <w:rPr>
          <w:b/>
          <w:szCs w:val="20"/>
        </w:rPr>
      </w:pPr>
      <w:r w:rsidRPr="00400909">
        <w:rPr>
          <w:b/>
          <w:szCs w:val="20"/>
        </w:rPr>
        <w:t>Velocity profiles for different</w:t>
      </w:r>
      <w:r w:rsidR="00110C52" w:rsidRPr="00400909">
        <w:rPr>
          <w:b/>
          <w:szCs w:val="20"/>
        </w:rPr>
        <w:t xml:space="preserve"> </w:t>
      </w:r>
      <m:oMath>
        <m:sSub>
          <m:sSubPr>
            <m:ctrlPr>
              <w:rPr>
                <w:rFonts w:ascii="Cambria Math" w:hAnsi="Cambria Math"/>
                <w:b/>
                <w:i/>
                <w:szCs w:val="20"/>
              </w:rPr>
            </m:ctrlPr>
          </m:sSubPr>
          <m:e>
            <m:r>
              <m:rPr>
                <m:sty m:val="bi"/>
              </m:rPr>
              <w:rPr>
                <w:rFonts w:ascii="Cambria Math" w:hAnsi="Cambria Math"/>
                <w:szCs w:val="20"/>
              </w:rPr>
              <m:t>f</m:t>
            </m:r>
          </m:e>
          <m:sub>
            <m:r>
              <m:rPr>
                <m:sty m:val="bi"/>
              </m:rPr>
              <w:rPr>
                <w:rFonts w:ascii="Cambria Math" w:hAnsi="Cambria Math"/>
                <w:szCs w:val="20"/>
              </w:rPr>
              <m:t>p</m:t>
            </m:r>
          </m:sub>
        </m:sSub>
      </m:oMath>
      <w:r w:rsidR="00110C52" w:rsidRPr="00400909">
        <w:rPr>
          <w:rFonts w:eastAsiaTheme="minorEastAsia"/>
          <w:b/>
          <w:szCs w:val="20"/>
        </w:rPr>
        <w:t>,</w:t>
      </w:r>
      <w:r w:rsidRPr="00400909">
        <w:rPr>
          <w:b/>
          <w:szCs w:val="20"/>
        </w:rPr>
        <w:t xml:space="preserve"> corresponding to changes in </w:t>
      </w:r>
      <m:oMath>
        <m:r>
          <m:rPr>
            <m:sty m:val="bi"/>
          </m:rPr>
          <w:rPr>
            <w:rFonts w:ascii="Cambria Math" w:hAnsi="Cambria Math"/>
            <w:szCs w:val="20"/>
          </w:rPr>
          <m:t>Y</m:t>
        </m:r>
      </m:oMath>
    </w:p>
    <w:p w14:paraId="58FDB42F" w14:textId="587794BF" w:rsidR="00CB6C70" w:rsidRDefault="00CB6C70" w:rsidP="006F070E">
      <w:pPr>
        <w:tabs>
          <w:tab w:val="left" w:pos="1920"/>
        </w:tabs>
        <w:rPr>
          <w:b/>
        </w:rPr>
      </w:pPr>
    </w:p>
    <w:p w14:paraId="7E923DAC" w14:textId="59168155" w:rsidR="001432DE" w:rsidRDefault="001432DE" w:rsidP="001432DE">
      <w:pPr>
        <w:tabs>
          <w:tab w:val="left" w:pos="1920"/>
        </w:tabs>
        <w:jc w:val="center"/>
        <w:rPr>
          <w:b/>
        </w:rPr>
      </w:pPr>
      <w:r w:rsidRPr="001432DE">
        <w:rPr>
          <w:b/>
          <w:noProof/>
          <w:lang w:eastAsia="en-IN" w:bidi="hi-IN"/>
        </w:rPr>
        <w:drawing>
          <wp:inline distT="0" distB="0" distL="0" distR="0" wp14:anchorId="28C47842" wp14:editId="091FFEB4">
            <wp:extent cx="4503420" cy="3573780"/>
            <wp:effectExtent l="0" t="0" r="0" b="7620"/>
            <wp:docPr id="2" name="Picture 2" descr="E:\IIT P\Deformable and superhydrophobic\PICTURES Plots\Plots\Parametric Study\Young's Modulus\in terms of fp\fp x-vel profile 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IT P\Deformable and superhydrophobic\PICTURES Plots\Plots\Parametric Study\Young's Modulus\in terms of fp\fp x-vel profile Y.t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37" t="10871" r="11767" b="5540"/>
                    <a:stretch/>
                  </pic:blipFill>
                  <pic:spPr bwMode="auto">
                    <a:xfrm>
                      <a:off x="0" y="0"/>
                      <a:ext cx="4503713" cy="3574013"/>
                    </a:xfrm>
                    <a:prstGeom prst="rect">
                      <a:avLst/>
                    </a:prstGeom>
                    <a:noFill/>
                    <a:ln>
                      <a:noFill/>
                    </a:ln>
                    <a:extLst>
                      <a:ext uri="{53640926-AAD7-44D8-BBD7-CCE9431645EC}">
                        <a14:shadowObscured xmlns:a14="http://schemas.microsoft.com/office/drawing/2010/main"/>
                      </a:ext>
                    </a:extLst>
                  </pic:spPr>
                </pic:pic>
              </a:graphicData>
            </a:graphic>
          </wp:inline>
        </w:drawing>
      </w:r>
    </w:p>
    <w:p w14:paraId="0F82DF92" w14:textId="66783242" w:rsidR="00CB6C70" w:rsidRPr="00082E43" w:rsidRDefault="008A30D6" w:rsidP="006F070E">
      <w:pPr>
        <w:tabs>
          <w:tab w:val="left" w:pos="1920"/>
        </w:tabs>
        <w:rPr>
          <w:b/>
          <w:szCs w:val="20"/>
        </w:rPr>
      </w:pPr>
      <w:proofErr w:type="gramStart"/>
      <w:r w:rsidRPr="00082E43">
        <w:rPr>
          <w:b/>
          <w:szCs w:val="20"/>
          <w:lang w:eastAsia="en-IN"/>
        </w:rPr>
        <w:t>Fig. s</w:t>
      </w:r>
      <w:r w:rsidR="0053462F">
        <w:rPr>
          <w:b/>
          <w:szCs w:val="20"/>
          <w:lang w:eastAsia="en-IN"/>
        </w:rPr>
        <w:t>8</w:t>
      </w:r>
      <w:r w:rsidRPr="00082E43">
        <w:rPr>
          <w:b/>
          <w:szCs w:val="20"/>
          <w:lang w:eastAsia="en-IN"/>
        </w:rPr>
        <w:t>.</w:t>
      </w:r>
      <w:proofErr w:type="gramEnd"/>
      <w:r w:rsidRPr="00082E43">
        <w:rPr>
          <w:szCs w:val="20"/>
          <w:lang w:eastAsia="en-IN"/>
        </w:rPr>
        <w:t xml:space="preserve"> Velocity profiles along vertical central line in SSBDT </w:t>
      </w:r>
      <w:proofErr w:type="gramStart"/>
      <w:r w:rsidRPr="00082E43">
        <w:rPr>
          <w:szCs w:val="20"/>
          <w:lang w:eastAsia="en-IN"/>
        </w:rPr>
        <w:t xml:space="preserve">at </w:t>
      </w:r>
      <w:proofErr w:type="gramEnd"/>
      <m:oMath>
        <m:r>
          <w:rPr>
            <w:rFonts w:ascii="Cambria Math" w:hAnsi="Cambria Math"/>
            <w:szCs w:val="20"/>
            <w:lang w:eastAsia="en-IN"/>
          </w:rPr>
          <m:t>Re=40</m:t>
        </m:r>
      </m:oMath>
      <w:r w:rsidRPr="00082E43">
        <w:rPr>
          <w:rFonts w:eastAsiaTheme="minorEastAsia"/>
          <w:szCs w:val="20"/>
          <w:lang w:eastAsia="en-IN"/>
        </w:rPr>
        <w:t xml:space="preserve">, and </w:t>
      </w:r>
      <w:r w:rsidRPr="00082E43">
        <w:rPr>
          <w:szCs w:val="20"/>
        </w:rPr>
        <w:t xml:space="preserve">at different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p</m:t>
            </m:r>
          </m:sub>
        </m:sSub>
      </m:oMath>
      <w:r w:rsidRPr="00082E43">
        <w:rPr>
          <w:rFonts w:eastAsiaTheme="minorEastAsia"/>
          <w:szCs w:val="20"/>
        </w:rPr>
        <w:t xml:space="preserve">, corresponding to varying stiffness and fixed top wall thickness, </w:t>
      </w:r>
      <m:oMath>
        <m:r>
          <w:rPr>
            <w:rFonts w:ascii="Cambria Math" w:eastAsiaTheme="minorEastAsia" w:hAnsi="Cambria Math"/>
            <w:szCs w:val="20"/>
          </w:rPr>
          <m:t>t=100 μm</m:t>
        </m:r>
      </m:oMath>
      <w:r w:rsidRPr="00082E43">
        <w:rPr>
          <w:rFonts w:eastAsiaTheme="minorEastAsia"/>
          <w:szCs w:val="20"/>
        </w:rPr>
        <w:t xml:space="preserve"> with gas fraction, </w:t>
      </w:r>
      <m:oMath>
        <m:sSub>
          <m:sSubPr>
            <m:ctrlPr>
              <w:rPr>
                <w:rFonts w:ascii="Cambria Math" w:eastAsiaTheme="minorEastAsia" w:hAnsi="Cambria Math"/>
                <w:i/>
                <w:szCs w:val="20"/>
              </w:rPr>
            </m:ctrlPr>
          </m:sSubPr>
          <m:e>
            <m:r>
              <w:rPr>
                <w:rFonts w:ascii="Cambria Math" w:eastAsiaTheme="minorEastAsia" w:hAnsi="Cambria Math"/>
                <w:szCs w:val="20"/>
              </w:rPr>
              <m:t>δ</m:t>
            </m:r>
          </m:e>
          <m:sub>
            <m:r>
              <w:rPr>
                <w:rFonts w:ascii="Cambria Math" w:eastAsiaTheme="minorEastAsia" w:hAnsi="Cambria Math"/>
                <w:szCs w:val="20"/>
              </w:rPr>
              <m:t>c</m:t>
            </m:r>
          </m:sub>
        </m:sSub>
        <m:r>
          <w:rPr>
            <w:rFonts w:ascii="Cambria Math" w:eastAsiaTheme="minorEastAsia" w:hAnsi="Cambria Math"/>
            <w:szCs w:val="20"/>
          </w:rPr>
          <m:t>=0.5</m:t>
        </m:r>
      </m:oMath>
      <w:r w:rsidRPr="00082E43">
        <w:rPr>
          <w:rFonts w:eastAsiaTheme="minorEastAsia"/>
          <w:szCs w:val="20"/>
        </w:rPr>
        <w:t xml:space="preserve">. </w:t>
      </w:r>
    </w:p>
    <w:p w14:paraId="5FDEBC8F" w14:textId="60144E8E" w:rsidR="00FD667F" w:rsidRDefault="00FD667F">
      <w:pPr>
        <w:jc w:val="left"/>
        <w:rPr>
          <w:b/>
        </w:rPr>
      </w:pPr>
      <w:r>
        <w:rPr>
          <w:b/>
        </w:rPr>
        <w:br w:type="page"/>
      </w:r>
    </w:p>
    <w:p w14:paraId="141B9FCC" w14:textId="08A19D61" w:rsidR="00110C52" w:rsidRPr="00400909" w:rsidRDefault="00110C52" w:rsidP="00110C52">
      <w:pPr>
        <w:pStyle w:val="ListParagraph"/>
        <w:numPr>
          <w:ilvl w:val="0"/>
          <w:numId w:val="3"/>
        </w:numPr>
        <w:shd w:val="clear" w:color="auto" w:fill="FFFFFF" w:themeFill="background1"/>
        <w:rPr>
          <w:b/>
          <w:szCs w:val="20"/>
        </w:rPr>
      </w:pPr>
      <w:r w:rsidRPr="00400909">
        <w:rPr>
          <w:b/>
          <w:szCs w:val="20"/>
        </w:rPr>
        <w:lastRenderedPageBreak/>
        <w:t xml:space="preserve">Velocity profiles for different </w:t>
      </w:r>
      <m:oMath>
        <m:sSub>
          <m:sSubPr>
            <m:ctrlPr>
              <w:rPr>
                <w:rFonts w:ascii="Cambria Math" w:hAnsi="Cambria Math"/>
                <w:b/>
                <w:i/>
                <w:szCs w:val="20"/>
              </w:rPr>
            </m:ctrlPr>
          </m:sSubPr>
          <m:e>
            <m:r>
              <m:rPr>
                <m:sty m:val="bi"/>
              </m:rPr>
              <w:rPr>
                <w:rFonts w:ascii="Cambria Math" w:hAnsi="Cambria Math"/>
                <w:szCs w:val="20"/>
              </w:rPr>
              <m:t>f</m:t>
            </m:r>
          </m:e>
          <m:sub>
            <m:r>
              <m:rPr>
                <m:sty m:val="bi"/>
              </m:rPr>
              <w:rPr>
                <w:rFonts w:ascii="Cambria Math" w:hAnsi="Cambria Math"/>
                <w:szCs w:val="20"/>
              </w:rPr>
              <m:t>p</m:t>
            </m:r>
          </m:sub>
        </m:sSub>
      </m:oMath>
      <w:r w:rsidRPr="00400909">
        <w:rPr>
          <w:rFonts w:eastAsiaTheme="minorEastAsia"/>
          <w:b/>
          <w:szCs w:val="20"/>
        </w:rPr>
        <w:t>,</w:t>
      </w:r>
      <w:r w:rsidRPr="00400909">
        <w:rPr>
          <w:b/>
          <w:szCs w:val="20"/>
        </w:rPr>
        <w:t xml:space="preserve"> corresponding to changes in </w:t>
      </w:r>
      <m:oMath>
        <m:r>
          <m:rPr>
            <m:sty m:val="bi"/>
          </m:rPr>
          <w:rPr>
            <w:rFonts w:ascii="Cambria Math" w:hAnsi="Cambria Math"/>
            <w:szCs w:val="20"/>
          </w:rPr>
          <m:t>t</m:t>
        </m:r>
      </m:oMath>
    </w:p>
    <w:p w14:paraId="506E9FA1" w14:textId="05165FA6" w:rsidR="00241665" w:rsidRDefault="00241665" w:rsidP="006F070E">
      <w:pPr>
        <w:tabs>
          <w:tab w:val="left" w:pos="1920"/>
        </w:tabs>
        <w:rPr>
          <w:b/>
        </w:rPr>
      </w:pPr>
    </w:p>
    <w:p w14:paraId="4660052C" w14:textId="7F5C0AB3" w:rsidR="00241665" w:rsidRDefault="00241665" w:rsidP="00241665">
      <w:pPr>
        <w:tabs>
          <w:tab w:val="left" w:pos="1920"/>
        </w:tabs>
        <w:jc w:val="center"/>
        <w:rPr>
          <w:b/>
        </w:rPr>
      </w:pPr>
      <w:r w:rsidRPr="00241665">
        <w:rPr>
          <w:b/>
          <w:noProof/>
          <w:lang w:eastAsia="en-IN" w:bidi="hi-IN"/>
        </w:rPr>
        <w:drawing>
          <wp:inline distT="0" distB="0" distL="0" distR="0" wp14:anchorId="702BE1EC" wp14:editId="4C99D743">
            <wp:extent cx="4450080" cy="3573780"/>
            <wp:effectExtent l="0" t="0" r="7620" b="7620"/>
            <wp:docPr id="3" name="Picture 3" descr="E:\IIT P\Deformable and superhydrophobic\PICTURES Plots\Plots\Parametric Study\thickness, t\in terms of fp\x velocity fp 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IT P\Deformable and superhydrophobic\PICTURES Plots\Plots\Parametric Study\thickness, t\in terms of fp\x velocity fp t.t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727" t="9267" r="11631" b="7144"/>
                    <a:stretch/>
                  </pic:blipFill>
                  <pic:spPr bwMode="auto">
                    <a:xfrm>
                      <a:off x="0" y="0"/>
                      <a:ext cx="4450369" cy="3574012"/>
                    </a:xfrm>
                    <a:prstGeom prst="rect">
                      <a:avLst/>
                    </a:prstGeom>
                    <a:noFill/>
                    <a:ln>
                      <a:noFill/>
                    </a:ln>
                    <a:extLst>
                      <a:ext uri="{53640926-AAD7-44D8-BBD7-CCE9431645EC}">
                        <a14:shadowObscured xmlns:a14="http://schemas.microsoft.com/office/drawing/2010/main"/>
                      </a:ext>
                    </a:extLst>
                  </pic:spPr>
                </pic:pic>
              </a:graphicData>
            </a:graphic>
          </wp:inline>
        </w:drawing>
      </w:r>
    </w:p>
    <w:p w14:paraId="42DD0196" w14:textId="2E43AB84" w:rsidR="00CB6C70" w:rsidRDefault="0053462F" w:rsidP="006F070E">
      <w:pPr>
        <w:tabs>
          <w:tab w:val="left" w:pos="1920"/>
        </w:tabs>
        <w:rPr>
          <w:b/>
        </w:rPr>
      </w:pPr>
      <w:r>
        <w:rPr>
          <w:b/>
          <w:noProof/>
          <w:szCs w:val="24"/>
          <w:lang w:eastAsia="en-IN"/>
        </w:rPr>
        <w:t>Fig. s9</w:t>
      </w:r>
      <w:r w:rsidR="008A30D6" w:rsidRPr="008A30D6">
        <w:rPr>
          <w:b/>
          <w:noProof/>
          <w:szCs w:val="24"/>
          <w:lang w:eastAsia="en-IN"/>
        </w:rPr>
        <w:t>.</w:t>
      </w:r>
      <w:r w:rsidR="008A30D6">
        <w:rPr>
          <w:noProof/>
          <w:szCs w:val="24"/>
          <w:lang w:eastAsia="en-IN"/>
        </w:rPr>
        <w:t xml:space="preserve"> </w:t>
      </w:r>
      <w:r w:rsidR="008A30D6" w:rsidRPr="00E12D5C">
        <w:rPr>
          <w:szCs w:val="20"/>
          <w:lang w:eastAsia="en-IN"/>
        </w:rPr>
        <w:t xml:space="preserve">Velocity profiles along vertical central line in SSBDT </w:t>
      </w:r>
      <w:proofErr w:type="gramStart"/>
      <w:r w:rsidR="008A30D6" w:rsidRPr="00E12D5C">
        <w:rPr>
          <w:szCs w:val="20"/>
          <w:lang w:eastAsia="en-IN"/>
        </w:rPr>
        <w:t xml:space="preserve">at </w:t>
      </w:r>
      <w:proofErr w:type="gramEnd"/>
      <m:oMath>
        <m:r>
          <w:rPr>
            <w:rFonts w:ascii="Cambria Math" w:hAnsi="Cambria Math"/>
            <w:szCs w:val="20"/>
            <w:lang w:eastAsia="en-IN"/>
          </w:rPr>
          <m:t>Re=40</m:t>
        </m:r>
      </m:oMath>
      <w:r w:rsidR="008A30D6" w:rsidRPr="00E12D5C">
        <w:rPr>
          <w:rFonts w:eastAsiaTheme="minorEastAsia"/>
          <w:szCs w:val="20"/>
          <w:lang w:eastAsia="en-IN"/>
        </w:rPr>
        <w:t xml:space="preserve">, and </w:t>
      </w:r>
      <w:r w:rsidR="008A30D6" w:rsidRPr="00E12D5C">
        <w:rPr>
          <w:szCs w:val="20"/>
        </w:rPr>
        <w:t xml:space="preserve">at different </w:t>
      </w: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p</m:t>
            </m:r>
          </m:sub>
        </m:sSub>
      </m:oMath>
      <w:r w:rsidR="008A30D6" w:rsidRPr="00E12D5C">
        <w:rPr>
          <w:rFonts w:eastAsiaTheme="minorEastAsia"/>
          <w:szCs w:val="20"/>
        </w:rPr>
        <w:t xml:space="preserve">, corresponding to varying thickness and fixed stiffness of the top wall, </w:t>
      </w:r>
      <m:oMath>
        <m:r>
          <w:rPr>
            <w:rFonts w:ascii="Cambria Math" w:eastAsiaTheme="minorEastAsia" w:hAnsi="Cambria Math"/>
            <w:szCs w:val="20"/>
          </w:rPr>
          <m:t>Y=0.5 MPa</m:t>
        </m:r>
      </m:oMath>
      <w:r w:rsidR="008A30D6" w:rsidRPr="00E12D5C">
        <w:rPr>
          <w:rFonts w:eastAsiaTheme="minorEastAsia"/>
          <w:szCs w:val="20"/>
        </w:rPr>
        <w:t xml:space="preserve"> with gas fraction, </w:t>
      </w:r>
      <m:oMath>
        <m:sSub>
          <m:sSubPr>
            <m:ctrlPr>
              <w:rPr>
                <w:rFonts w:ascii="Cambria Math" w:eastAsiaTheme="minorEastAsia" w:hAnsi="Cambria Math"/>
                <w:i/>
                <w:szCs w:val="20"/>
              </w:rPr>
            </m:ctrlPr>
          </m:sSubPr>
          <m:e>
            <m:r>
              <w:rPr>
                <w:rFonts w:ascii="Cambria Math" w:eastAsiaTheme="minorEastAsia" w:hAnsi="Cambria Math"/>
                <w:szCs w:val="20"/>
              </w:rPr>
              <m:t>δ</m:t>
            </m:r>
          </m:e>
          <m:sub>
            <m:r>
              <w:rPr>
                <w:rFonts w:ascii="Cambria Math" w:eastAsiaTheme="minorEastAsia" w:hAnsi="Cambria Math"/>
                <w:szCs w:val="20"/>
              </w:rPr>
              <m:t>c</m:t>
            </m:r>
          </m:sub>
        </m:sSub>
        <m:r>
          <w:rPr>
            <w:rFonts w:ascii="Cambria Math" w:eastAsiaTheme="minorEastAsia" w:hAnsi="Cambria Math"/>
            <w:szCs w:val="20"/>
          </w:rPr>
          <m:t>=0.5</m:t>
        </m:r>
      </m:oMath>
      <w:r w:rsidR="008A30D6" w:rsidRPr="00E12D5C">
        <w:rPr>
          <w:rFonts w:eastAsiaTheme="minorEastAsia"/>
          <w:szCs w:val="20"/>
        </w:rPr>
        <w:t>.</w:t>
      </w:r>
    </w:p>
    <w:p w14:paraId="22B546C8" w14:textId="46528CB2" w:rsidR="00CB6C70" w:rsidRDefault="00CB6C70" w:rsidP="006F070E">
      <w:pPr>
        <w:tabs>
          <w:tab w:val="left" w:pos="1920"/>
        </w:tabs>
        <w:rPr>
          <w:b/>
        </w:rPr>
      </w:pPr>
    </w:p>
    <w:p w14:paraId="67EC6606" w14:textId="77777777" w:rsidR="00CB6C70" w:rsidRDefault="00CB6C70" w:rsidP="006F070E">
      <w:pPr>
        <w:tabs>
          <w:tab w:val="left" w:pos="1920"/>
        </w:tabs>
        <w:rPr>
          <w:b/>
        </w:rPr>
      </w:pPr>
    </w:p>
    <w:p w14:paraId="0A84B30A" w14:textId="6E784A74" w:rsidR="006F070E" w:rsidRDefault="006F070E" w:rsidP="006F070E">
      <w:pPr>
        <w:tabs>
          <w:tab w:val="left" w:pos="1920"/>
        </w:tabs>
        <w:rPr>
          <w:b/>
        </w:rPr>
      </w:pPr>
      <w:r>
        <w:rPr>
          <w:b/>
        </w:rPr>
        <w:t>SUPPLEMENTARY REFERENCES</w:t>
      </w:r>
    </w:p>
    <w:p w14:paraId="4F606212" w14:textId="205F267D" w:rsidR="00483B43" w:rsidRPr="00483B43" w:rsidRDefault="00A97F35" w:rsidP="00483B43">
      <w:pPr>
        <w:widowControl w:val="0"/>
        <w:autoSpaceDE w:val="0"/>
        <w:autoSpaceDN w:val="0"/>
        <w:adjustRightInd w:val="0"/>
        <w:spacing w:line="240" w:lineRule="auto"/>
        <w:ind w:left="480" w:hanging="480"/>
        <w:rPr>
          <w:noProof/>
          <w:szCs w:val="24"/>
        </w:rPr>
      </w:pPr>
      <w:r>
        <w:rPr>
          <w:b/>
        </w:rPr>
        <w:fldChar w:fldCharType="begin" w:fldLock="1"/>
      </w:r>
      <w:r>
        <w:rPr>
          <w:b/>
        </w:rPr>
        <w:instrText xml:space="preserve">ADDIN Mendeley Bibliography CSL_BIBLIOGRAPHY </w:instrText>
      </w:r>
      <w:r>
        <w:rPr>
          <w:b/>
        </w:rPr>
        <w:fldChar w:fldCharType="separate"/>
      </w:r>
      <w:r w:rsidR="00483B43" w:rsidRPr="00483B43">
        <w:rPr>
          <w:noProof/>
          <w:szCs w:val="24"/>
        </w:rPr>
        <w:t>Dey P, Saha SK, Chakraborty S (2020) Confluence of channel dimensions and groove width dictates slippery hydrodynamics in grooved hydrophobic confinements. Microfluid Nanofluidics 24:1–15. https://doi.org/10.1007/s10404-019-2297-8</w:t>
      </w:r>
    </w:p>
    <w:p w14:paraId="3F9F2687" w14:textId="77777777" w:rsidR="00483B43" w:rsidRPr="00483B43" w:rsidRDefault="00483B43" w:rsidP="00483B43">
      <w:pPr>
        <w:widowControl w:val="0"/>
        <w:autoSpaceDE w:val="0"/>
        <w:autoSpaceDN w:val="0"/>
        <w:adjustRightInd w:val="0"/>
        <w:spacing w:line="240" w:lineRule="auto"/>
        <w:ind w:left="480" w:hanging="480"/>
        <w:rPr>
          <w:noProof/>
          <w:szCs w:val="24"/>
        </w:rPr>
      </w:pPr>
      <w:r w:rsidRPr="00483B43">
        <w:rPr>
          <w:noProof/>
          <w:szCs w:val="24"/>
        </w:rPr>
        <w:t>Dey P, Saha SK, Chakraborty S (2019) Air-water meniscus shape in superhydrophobic triangular microgroove is dictated by a critical pressure under dynamic conditions. Phys Fluids 31:. https://doi.org/10.1063/1.5119412</w:t>
      </w:r>
    </w:p>
    <w:p w14:paraId="5795E8A6" w14:textId="77777777" w:rsidR="00483B43" w:rsidRPr="00483B43" w:rsidRDefault="00483B43" w:rsidP="00483B43">
      <w:pPr>
        <w:widowControl w:val="0"/>
        <w:autoSpaceDE w:val="0"/>
        <w:autoSpaceDN w:val="0"/>
        <w:adjustRightInd w:val="0"/>
        <w:spacing w:line="240" w:lineRule="auto"/>
        <w:ind w:left="480" w:hanging="480"/>
        <w:rPr>
          <w:noProof/>
          <w:szCs w:val="24"/>
        </w:rPr>
      </w:pPr>
      <w:r w:rsidRPr="00483B43">
        <w:rPr>
          <w:noProof/>
          <w:szCs w:val="24"/>
        </w:rPr>
        <w:t>Gaddam A, Garg M, Agrawal A, Joshi SS (2015) Modeling of liquid-gas meniscus for textured surfaces: Effects of curvature and local slip length. J Micromechanics Microengineering 25:125002. https://doi.org/10.1088/0960-1317/25/12/125002</w:t>
      </w:r>
    </w:p>
    <w:p w14:paraId="2D0B1FD1" w14:textId="77777777" w:rsidR="00483B43" w:rsidRPr="00483B43" w:rsidRDefault="00483B43" w:rsidP="00483B43">
      <w:pPr>
        <w:widowControl w:val="0"/>
        <w:autoSpaceDE w:val="0"/>
        <w:autoSpaceDN w:val="0"/>
        <w:adjustRightInd w:val="0"/>
        <w:spacing w:line="240" w:lineRule="auto"/>
        <w:ind w:left="480" w:hanging="480"/>
        <w:rPr>
          <w:noProof/>
          <w:szCs w:val="24"/>
        </w:rPr>
      </w:pPr>
      <w:r w:rsidRPr="00483B43">
        <w:rPr>
          <w:noProof/>
          <w:szCs w:val="24"/>
        </w:rPr>
        <w:t>Ou J, Perot B, Rothstein JP (2004) Laminar drag reduction in microchannels using ultrahydrophobic surfaces. Phys Fluids 16:4635–4643. https://doi.org/10.1063/1.1812011</w:t>
      </w:r>
    </w:p>
    <w:p w14:paraId="1ED063E7" w14:textId="77777777" w:rsidR="00483B43" w:rsidRPr="00483B43" w:rsidRDefault="00483B43" w:rsidP="00483B43">
      <w:pPr>
        <w:widowControl w:val="0"/>
        <w:autoSpaceDE w:val="0"/>
        <w:autoSpaceDN w:val="0"/>
        <w:adjustRightInd w:val="0"/>
        <w:spacing w:line="240" w:lineRule="auto"/>
        <w:ind w:left="480" w:hanging="480"/>
        <w:rPr>
          <w:noProof/>
          <w:szCs w:val="24"/>
        </w:rPr>
      </w:pPr>
      <w:r w:rsidRPr="00483B43">
        <w:rPr>
          <w:noProof/>
          <w:szCs w:val="24"/>
        </w:rPr>
        <w:t>Raj A, Sen AK (2016) Flow-induced deformation of compliant microchannels and its effect on pressure–flow characteristics. Microfluid Nanofluidics 20:1–13. https://doi.org/10.1007/s10404-016-1702-9</w:t>
      </w:r>
    </w:p>
    <w:p w14:paraId="3B9559A1" w14:textId="77777777" w:rsidR="00483B43" w:rsidRPr="00483B43" w:rsidRDefault="00483B43" w:rsidP="00483B43">
      <w:pPr>
        <w:widowControl w:val="0"/>
        <w:autoSpaceDE w:val="0"/>
        <w:autoSpaceDN w:val="0"/>
        <w:adjustRightInd w:val="0"/>
        <w:spacing w:line="240" w:lineRule="auto"/>
        <w:ind w:left="480" w:hanging="480"/>
        <w:rPr>
          <w:noProof/>
          <w:szCs w:val="24"/>
        </w:rPr>
      </w:pPr>
      <w:r w:rsidRPr="00483B43">
        <w:rPr>
          <w:noProof/>
          <w:szCs w:val="24"/>
        </w:rPr>
        <w:t xml:space="preserve">Santos RM, Kawaji M (2010) Numerical modeling and experimental investigation of gas-liquid slug </w:t>
      </w:r>
      <w:r w:rsidRPr="00483B43">
        <w:rPr>
          <w:noProof/>
          <w:szCs w:val="24"/>
        </w:rPr>
        <w:lastRenderedPageBreak/>
        <w:t>formation in a microchannel T-junction. Int J Multiph Flow 36:314–323. https://doi.org/10.1016/j.ijmultiphaseflow.2009.11.009</w:t>
      </w:r>
    </w:p>
    <w:p w14:paraId="6B9C3E9E" w14:textId="77777777" w:rsidR="00483B43" w:rsidRPr="00483B43" w:rsidRDefault="00483B43" w:rsidP="00483B43">
      <w:pPr>
        <w:widowControl w:val="0"/>
        <w:autoSpaceDE w:val="0"/>
        <w:autoSpaceDN w:val="0"/>
        <w:adjustRightInd w:val="0"/>
        <w:spacing w:line="240" w:lineRule="auto"/>
        <w:ind w:left="480" w:hanging="480"/>
        <w:rPr>
          <w:noProof/>
        </w:rPr>
      </w:pPr>
      <w:r w:rsidRPr="00483B43">
        <w:rPr>
          <w:noProof/>
          <w:szCs w:val="24"/>
        </w:rPr>
        <w:t>Wang Z, Wang B, Weng D, et al (2021) Influence of entrapped gas morphology at liquid-solid interface on underwater drag reduction effect. Phys Fluids 33:. https://doi.org/10.1063/5.0073041</w:t>
      </w:r>
    </w:p>
    <w:p w14:paraId="00FC11A3" w14:textId="77777777" w:rsidR="00A67CD6" w:rsidRDefault="00A97F35" w:rsidP="006F070E">
      <w:pPr>
        <w:tabs>
          <w:tab w:val="left" w:pos="1920"/>
        </w:tabs>
        <w:rPr>
          <w:b/>
        </w:rPr>
      </w:pPr>
      <w:r>
        <w:rPr>
          <w:b/>
        </w:rPr>
        <w:fldChar w:fldCharType="end"/>
      </w:r>
    </w:p>
    <w:p w14:paraId="613D3D21" w14:textId="77777777" w:rsidR="001C45B9" w:rsidRPr="00E23F76" w:rsidRDefault="001C45B9" w:rsidP="001C45B9"/>
    <w:p w14:paraId="055F0D8F" w14:textId="77777777" w:rsidR="000C2708" w:rsidRDefault="000C2708"/>
    <w:sectPr w:rsidR="000C2708" w:rsidSect="001C45B9">
      <w:headerReference w:type="default" r:id="rId19"/>
      <w:footerReference w:type="default" r:id="rId20"/>
      <w:pgSz w:w="12240" w:h="15840"/>
      <w:pgMar w:top="1280" w:right="1720" w:bottom="280" w:left="1720" w:header="72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324D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C3B3A9" w14:textId="77777777" w:rsidR="004F3D11" w:rsidRDefault="004F3D11">
      <w:pPr>
        <w:spacing w:after="0" w:line="240" w:lineRule="auto"/>
      </w:pPr>
      <w:r>
        <w:separator/>
      </w:r>
    </w:p>
  </w:endnote>
  <w:endnote w:type="continuationSeparator" w:id="0">
    <w:p w14:paraId="04FBDDD6" w14:textId="77777777" w:rsidR="004F3D11" w:rsidRDefault="004F3D11">
      <w:pPr>
        <w:spacing w:after="0" w:line="240" w:lineRule="auto"/>
      </w:pPr>
      <w:r>
        <w:continuationSeparator/>
      </w:r>
    </w:p>
  </w:endnote>
  <w:endnote w:type="continuationNotice" w:id="1">
    <w:p w14:paraId="5D18FC2E" w14:textId="77777777" w:rsidR="004F3D11" w:rsidRDefault="004F3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107539"/>
      <w:docPartObj>
        <w:docPartGallery w:val="Page Numbers (Bottom of Page)"/>
        <w:docPartUnique/>
      </w:docPartObj>
    </w:sdtPr>
    <w:sdtEndPr>
      <w:rPr>
        <w:noProof/>
      </w:rPr>
    </w:sdtEndPr>
    <w:sdtContent>
      <w:p w14:paraId="4679FCF3" w14:textId="176A7D1B" w:rsidR="003C6618" w:rsidRDefault="003C6618">
        <w:pPr>
          <w:pStyle w:val="Footer"/>
          <w:jc w:val="right"/>
        </w:pPr>
        <w:r>
          <w:fldChar w:fldCharType="begin"/>
        </w:r>
        <w:r>
          <w:instrText xml:space="preserve"> PAGE   \* MERGEFORMAT </w:instrText>
        </w:r>
        <w:r>
          <w:fldChar w:fldCharType="separate"/>
        </w:r>
        <w:r w:rsidR="008A2C48">
          <w:rPr>
            <w:noProof/>
          </w:rPr>
          <w:t>3</w:t>
        </w:r>
        <w:r>
          <w:rPr>
            <w:noProof/>
          </w:rPr>
          <w:fldChar w:fldCharType="end"/>
        </w:r>
      </w:p>
    </w:sdtContent>
  </w:sdt>
  <w:p w14:paraId="50E9CEEB" w14:textId="77777777" w:rsidR="003C6618" w:rsidRDefault="003C6618" w:rsidP="00F90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08112" w14:textId="77777777" w:rsidR="004F3D11" w:rsidRDefault="004F3D11">
      <w:pPr>
        <w:spacing w:after="0" w:line="240" w:lineRule="auto"/>
      </w:pPr>
      <w:r>
        <w:separator/>
      </w:r>
    </w:p>
  </w:footnote>
  <w:footnote w:type="continuationSeparator" w:id="0">
    <w:p w14:paraId="6C60A23D" w14:textId="77777777" w:rsidR="004F3D11" w:rsidRDefault="004F3D11">
      <w:pPr>
        <w:spacing w:after="0" w:line="240" w:lineRule="auto"/>
      </w:pPr>
      <w:r>
        <w:continuationSeparator/>
      </w:r>
    </w:p>
  </w:footnote>
  <w:footnote w:type="continuationNotice" w:id="1">
    <w:p w14:paraId="05E08B07" w14:textId="77777777" w:rsidR="004F3D11" w:rsidRDefault="004F3D1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005"/>
      <w:gridCol w:w="3005"/>
      <w:gridCol w:w="3005"/>
    </w:tblGrid>
    <w:tr w:rsidR="003C6618" w14:paraId="61161061" w14:textId="77777777" w:rsidTr="00F90D53">
      <w:tc>
        <w:tcPr>
          <w:tcW w:w="3005" w:type="dxa"/>
        </w:tcPr>
        <w:p w14:paraId="4F5EEDE2" w14:textId="77777777" w:rsidR="003C6618" w:rsidRDefault="003C6618" w:rsidP="00F90D53">
          <w:pPr>
            <w:pStyle w:val="Header"/>
            <w:ind w:left="-115"/>
          </w:pPr>
        </w:p>
      </w:tc>
      <w:tc>
        <w:tcPr>
          <w:tcW w:w="3005" w:type="dxa"/>
        </w:tcPr>
        <w:p w14:paraId="07D8D84A" w14:textId="77777777" w:rsidR="003C6618" w:rsidRDefault="003C6618" w:rsidP="00F90D53">
          <w:pPr>
            <w:pStyle w:val="Header"/>
            <w:jc w:val="center"/>
          </w:pPr>
        </w:p>
      </w:tc>
      <w:tc>
        <w:tcPr>
          <w:tcW w:w="3005" w:type="dxa"/>
        </w:tcPr>
        <w:p w14:paraId="24EE328D" w14:textId="77777777" w:rsidR="003C6618" w:rsidRDefault="003C6618" w:rsidP="00F90D53">
          <w:pPr>
            <w:pStyle w:val="Header"/>
            <w:ind w:right="-115"/>
            <w:jc w:val="right"/>
          </w:pPr>
        </w:p>
      </w:tc>
    </w:tr>
  </w:tbl>
  <w:p w14:paraId="267F4C2E" w14:textId="77777777" w:rsidR="003C6618" w:rsidRDefault="003C6618" w:rsidP="00F90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5FD"/>
    <w:multiLevelType w:val="hybridMultilevel"/>
    <w:tmpl w:val="7D2457F8"/>
    <w:lvl w:ilvl="0" w:tplc="75D4D4DC">
      <w:start w:val="1"/>
      <w:numFmt w:val="upp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
    <w:nsid w:val="16F86428"/>
    <w:multiLevelType w:val="hybridMultilevel"/>
    <w:tmpl w:val="7D2457F8"/>
    <w:lvl w:ilvl="0" w:tplc="75D4D4DC">
      <w:start w:val="1"/>
      <w:numFmt w:val="upp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
    <w:nsid w:val="26B17B13"/>
    <w:multiLevelType w:val="hybridMultilevel"/>
    <w:tmpl w:val="7D2457F8"/>
    <w:lvl w:ilvl="0" w:tplc="75D4D4DC">
      <w:start w:val="1"/>
      <w:numFmt w:val="upp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3">
    <w:nsid w:val="2FA74DE0"/>
    <w:multiLevelType w:val="hybridMultilevel"/>
    <w:tmpl w:val="7D2457F8"/>
    <w:lvl w:ilvl="0" w:tplc="75D4D4DC">
      <w:start w:val="1"/>
      <w:numFmt w:val="upp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hishek  Raj">
    <w15:presenceInfo w15:providerId="None" w15:userId="Abhishek  R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E1srQwMDAzsjCwNLRU0lEKTi0uzszPAykwNK0FAFPHzIgtAAAA"/>
  </w:docVars>
  <w:rsids>
    <w:rsidRoot w:val="001C45B9"/>
    <w:rsid w:val="00021514"/>
    <w:rsid w:val="000660CF"/>
    <w:rsid w:val="00077692"/>
    <w:rsid w:val="00082E43"/>
    <w:rsid w:val="000C2708"/>
    <w:rsid w:val="000C6D9E"/>
    <w:rsid w:val="00110C52"/>
    <w:rsid w:val="001432DE"/>
    <w:rsid w:val="001812C2"/>
    <w:rsid w:val="001C1B23"/>
    <w:rsid w:val="001C45B9"/>
    <w:rsid w:val="001E16F3"/>
    <w:rsid w:val="001F28DE"/>
    <w:rsid w:val="001F4866"/>
    <w:rsid w:val="00203A4C"/>
    <w:rsid w:val="00207F94"/>
    <w:rsid w:val="00222FAA"/>
    <w:rsid w:val="0023045C"/>
    <w:rsid w:val="00232105"/>
    <w:rsid w:val="00241665"/>
    <w:rsid w:val="00262BE9"/>
    <w:rsid w:val="00272993"/>
    <w:rsid w:val="0028333D"/>
    <w:rsid w:val="002A2C12"/>
    <w:rsid w:val="002A2C8F"/>
    <w:rsid w:val="002B646A"/>
    <w:rsid w:val="002D3C01"/>
    <w:rsid w:val="002E2EF2"/>
    <w:rsid w:val="002E6FBF"/>
    <w:rsid w:val="002F754A"/>
    <w:rsid w:val="00307837"/>
    <w:rsid w:val="00326544"/>
    <w:rsid w:val="003307AD"/>
    <w:rsid w:val="003C6618"/>
    <w:rsid w:val="003F78C9"/>
    <w:rsid w:val="00400909"/>
    <w:rsid w:val="00403A63"/>
    <w:rsid w:val="00410049"/>
    <w:rsid w:val="00410612"/>
    <w:rsid w:val="00415548"/>
    <w:rsid w:val="00461E0E"/>
    <w:rsid w:val="00463752"/>
    <w:rsid w:val="00466093"/>
    <w:rsid w:val="00483B43"/>
    <w:rsid w:val="004A254F"/>
    <w:rsid w:val="004C4226"/>
    <w:rsid w:val="004F3D11"/>
    <w:rsid w:val="005326AD"/>
    <w:rsid w:val="0053462F"/>
    <w:rsid w:val="00536EEB"/>
    <w:rsid w:val="00592DA8"/>
    <w:rsid w:val="0059443C"/>
    <w:rsid w:val="005C18B7"/>
    <w:rsid w:val="005D28D5"/>
    <w:rsid w:val="005F75E0"/>
    <w:rsid w:val="00636095"/>
    <w:rsid w:val="00646298"/>
    <w:rsid w:val="00653B15"/>
    <w:rsid w:val="00657135"/>
    <w:rsid w:val="00657566"/>
    <w:rsid w:val="006606E1"/>
    <w:rsid w:val="006647D6"/>
    <w:rsid w:val="00680E9D"/>
    <w:rsid w:val="006B0FA4"/>
    <w:rsid w:val="006C047C"/>
    <w:rsid w:val="006E0377"/>
    <w:rsid w:val="006F070E"/>
    <w:rsid w:val="006F2EAD"/>
    <w:rsid w:val="006F702A"/>
    <w:rsid w:val="00712ED2"/>
    <w:rsid w:val="007330D8"/>
    <w:rsid w:val="00734DE4"/>
    <w:rsid w:val="00737DD5"/>
    <w:rsid w:val="00795537"/>
    <w:rsid w:val="007C5F19"/>
    <w:rsid w:val="007F47FD"/>
    <w:rsid w:val="00801DB7"/>
    <w:rsid w:val="008209D6"/>
    <w:rsid w:val="00886AA2"/>
    <w:rsid w:val="008A2C48"/>
    <w:rsid w:val="008A30D6"/>
    <w:rsid w:val="008C0B78"/>
    <w:rsid w:val="008C1E54"/>
    <w:rsid w:val="009141D8"/>
    <w:rsid w:val="009523D9"/>
    <w:rsid w:val="00952C69"/>
    <w:rsid w:val="009738D8"/>
    <w:rsid w:val="0097490C"/>
    <w:rsid w:val="009A6623"/>
    <w:rsid w:val="009A7F17"/>
    <w:rsid w:val="00A479AA"/>
    <w:rsid w:val="00A50BFE"/>
    <w:rsid w:val="00A514AD"/>
    <w:rsid w:val="00A67CD6"/>
    <w:rsid w:val="00A96F13"/>
    <w:rsid w:val="00A97F35"/>
    <w:rsid w:val="00B161D5"/>
    <w:rsid w:val="00B17211"/>
    <w:rsid w:val="00B2307B"/>
    <w:rsid w:val="00B36564"/>
    <w:rsid w:val="00B417EE"/>
    <w:rsid w:val="00B7060C"/>
    <w:rsid w:val="00B85FF3"/>
    <w:rsid w:val="00BC3A51"/>
    <w:rsid w:val="00BE239F"/>
    <w:rsid w:val="00BE6A0E"/>
    <w:rsid w:val="00BF5184"/>
    <w:rsid w:val="00BF5A7B"/>
    <w:rsid w:val="00C055A0"/>
    <w:rsid w:val="00C13A92"/>
    <w:rsid w:val="00C53BFF"/>
    <w:rsid w:val="00C60E7A"/>
    <w:rsid w:val="00C80D9C"/>
    <w:rsid w:val="00C978C2"/>
    <w:rsid w:val="00CB6C70"/>
    <w:rsid w:val="00CF738E"/>
    <w:rsid w:val="00D14CFA"/>
    <w:rsid w:val="00D35669"/>
    <w:rsid w:val="00D5717D"/>
    <w:rsid w:val="00D63D33"/>
    <w:rsid w:val="00D7391C"/>
    <w:rsid w:val="00D809D8"/>
    <w:rsid w:val="00D940AA"/>
    <w:rsid w:val="00D94130"/>
    <w:rsid w:val="00DE0DFF"/>
    <w:rsid w:val="00E12D5C"/>
    <w:rsid w:val="00E16669"/>
    <w:rsid w:val="00E16C9E"/>
    <w:rsid w:val="00E2258B"/>
    <w:rsid w:val="00E25497"/>
    <w:rsid w:val="00E3465A"/>
    <w:rsid w:val="00E51D2F"/>
    <w:rsid w:val="00EB4AF7"/>
    <w:rsid w:val="00EC6E12"/>
    <w:rsid w:val="00EE52EB"/>
    <w:rsid w:val="00EF5952"/>
    <w:rsid w:val="00F043BB"/>
    <w:rsid w:val="00F0479C"/>
    <w:rsid w:val="00F2564B"/>
    <w:rsid w:val="00F47098"/>
    <w:rsid w:val="00F616DF"/>
    <w:rsid w:val="00F90D53"/>
    <w:rsid w:val="00F927E6"/>
    <w:rsid w:val="00F95D2C"/>
    <w:rsid w:val="00FC2856"/>
    <w:rsid w:val="00FD667F"/>
    <w:rsid w:val="00FE4C9E"/>
    <w:rsid w:val="00FF60B1"/>
    <w:rsid w:val="08E71407"/>
    <w:rsid w:val="11CD1D1B"/>
    <w:rsid w:val="3A64C367"/>
    <w:rsid w:val="503C613D"/>
    <w:rsid w:val="5E866039"/>
    <w:rsid w:val="5FA2114F"/>
    <w:rsid w:val="7A9012DB"/>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A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D5C"/>
    <w:pPr>
      <w:jc w:val="both"/>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C45B9"/>
    <w:pPr>
      <w:ind w:left="720"/>
      <w:contextualSpacing/>
    </w:pPr>
  </w:style>
  <w:style w:type="table" w:styleId="TableGrid">
    <w:name w:val="Table Grid"/>
    <w:basedOn w:val="TableNormal"/>
    <w:uiPriority w:val="59"/>
    <w:rsid w:val="001C45B9"/>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C45B9"/>
    <w:pPr>
      <w:spacing w:line="240" w:lineRule="auto"/>
    </w:pPr>
    <w:rPr>
      <w:szCs w:val="20"/>
    </w:rPr>
  </w:style>
  <w:style w:type="character" w:customStyle="1" w:styleId="CommentTextChar">
    <w:name w:val="Comment Text Char"/>
    <w:basedOn w:val="DefaultParagraphFont"/>
    <w:link w:val="CommentText"/>
    <w:uiPriority w:val="99"/>
    <w:rsid w:val="001C45B9"/>
    <w:rPr>
      <w:sz w:val="20"/>
      <w:szCs w:val="20"/>
    </w:rPr>
  </w:style>
  <w:style w:type="character" w:customStyle="1" w:styleId="HeaderChar">
    <w:name w:val="Header Char"/>
    <w:basedOn w:val="DefaultParagraphFont"/>
    <w:link w:val="Header"/>
    <w:uiPriority w:val="99"/>
    <w:rsid w:val="001C45B9"/>
  </w:style>
  <w:style w:type="paragraph" w:styleId="Header">
    <w:name w:val="header"/>
    <w:basedOn w:val="Normal"/>
    <w:link w:val="HeaderChar"/>
    <w:uiPriority w:val="99"/>
    <w:unhideWhenUsed/>
    <w:rsid w:val="001C45B9"/>
    <w:pPr>
      <w:tabs>
        <w:tab w:val="center" w:pos="4680"/>
        <w:tab w:val="right" w:pos="9360"/>
      </w:tabs>
      <w:spacing w:after="0" w:line="240" w:lineRule="auto"/>
    </w:pPr>
  </w:style>
  <w:style w:type="character" w:customStyle="1" w:styleId="HeaderChar1">
    <w:name w:val="Header Char1"/>
    <w:basedOn w:val="DefaultParagraphFont"/>
    <w:uiPriority w:val="99"/>
    <w:semiHidden/>
    <w:rsid w:val="001C45B9"/>
  </w:style>
  <w:style w:type="character" w:customStyle="1" w:styleId="FooterChar">
    <w:name w:val="Footer Char"/>
    <w:basedOn w:val="DefaultParagraphFont"/>
    <w:link w:val="Footer"/>
    <w:uiPriority w:val="99"/>
    <w:rsid w:val="001C45B9"/>
  </w:style>
  <w:style w:type="paragraph" w:styleId="Footer">
    <w:name w:val="footer"/>
    <w:basedOn w:val="Normal"/>
    <w:link w:val="FooterChar"/>
    <w:uiPriority w:val="99"/>
    <w:unhideWhenUsed/>
    <w:rsid w:val="001C45B9"/>
    <w:pPr>
      <w:tabs>
        <w:tab w:val="center" w:pos="4680"/>
        <w:tab w:val="right" w:pos="9360"/>
      </w:tabs>
      <w:spacing w:after="0" w:line="240" w:lineRule="auto"/>
    </w:pPr>
  </w:style>
  <w:style w:type="character" w:customStyle="1" w:styleId="FooterChar1">
    <w:name w:val="Footer Char1"/>
    <w:basedOn w:val="DefaultParagraphFont"/>
    <w:uiPriority w:val="99"/>
    <w:semiHidden/>
    <w:rsid w:val="001C45B9"/>
  </w:style>
  <w:style w:type="character" w:styleId="LineNumber">
    <w:name w:val="line number"/>
    <w:basedOn w:val="DefaultParagraphFont"/>
    <w:uiPriority w:val="99"/>
    <w:semiHidden/>
    <w:unhideWhenUsed/>
    <w:rsid w:val="001C45B9"/>
  </w:style>
  <w:style w:type="paragraph" w:styleId="Title">
    <w:name w:val="Title"/>
    <w:basedOn w:val="Normal"/>
    <w:next w:val="Normal"/>
    <w:link w:val="TitleChar"/>
    <w:uiPriority w:val="10"/>
    <w:qFormat/>
    <w:rsid w:val="001C45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5B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BF5A7B"/>
    <w:rPr>
      <w:sz w:val="16"/>
      <w:szCs w:val="16"/>
    </w:rPr>
  </w:style>
  <w:style w:type="paragraph" w:styleId="BalloonText">
    <w:name w:val="Balloon Text"/>
    <w:basedOn w:val="Normal"/>
    <w:link w:val="BalloonTextChar"/>
    <w:uiPriority w:val="99"/>
    <w:semiHidden/>
    <w:unhideWhenUsed/>
    <w:rsid w:val="00BF5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A7B"/>
    <w:rPr>
      <w:rFonts w:ascii="Segoe UI" w:hAnsi="Segoe UI" w:cs="Segoe UI"/>
      <w:sz w:val="18"/>
      <w:szCs w:val="18"/>
    </w:rPr>
  </w:style>
  <w:style w:type="character" w:styleId="PlaceholderText">
    <w:name w:val="Placeholder Text"/>
    <w:basedOn w:val="DefaultParagraphFont"/>
    <w:uiPriority w:val="99"/>
    <w:semiHidden/>
    <w:rsid w:val="00801DB7"/>
    <w:rPr>
      <w:color w:val="808080"/>
    </w:rPr>
  </w:style>
  <w:style w:type="paragraph" w:styleId="CommentSubject">
    <w:name w:val="annotation subject"/>
    <w:basedOn w:val="CommentText"/>
    <w:next w:val="CommentText"/>
    <w:link w:val="CommentSubjectChar"/>
    <w:uiPriority w:val="99"/>
    <w:semiHidden/>
    <w:unhideWhenUsed/>
    <w:rsid w:val="00415548"/>
    <w:rPr>
      <w:b/>
      <w:bCs/>
    </w:rPr>
  </w:style>
  <w:style w:type="character" w:customStyle="1" w:styleId="CommentSubjectChar">
    <w:name w:val="Comment Subject Char"/>
    <w:basedOn w:val="CommentTextChar"/>
    <w:link w:val="CommentSubject"/>
    <w:uiPriority w:val="99"/>
    <w:semiHidden/>
    <w:rsid w:val="00415548"/>
    <w:rPr>
      <w:b/>
      <w:bCs/>
      <w:sz w:val="20"/>
      <w:szCs w:val="20"/>
    </w:rPr>
  </w:style>
  <w:style w:type="paragraph" w:styleId="Revision">
    <w:name w:val="Revision"/>
    <w:hidden/>
    <w:uiPriority w:val="99"/>
    <w:semiHidden/>
    <w:rsid w:val="00410049"/>
    <w:pPr>
      <w:spacing w:after="0"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D5C"/>
    <w:pPr>
      <w:jc w:val="both"/>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C45B9"/>
    <w:pPr>
      <w:ind w:left="720"/>
      <w:contextualSpacing/>
    </w:pPr>
  </w:style>
  <w:style w:type="table" w:styleId="TableGrid">
    <w:name w:val="Table Grid"/>
    <w:basedOn w:val="TableNormal"/>
    <w:uiPriority w:val="59"/>
    <w:rsid w:val="001C45B9"/>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1C45B9"/>
    <w:pPr>
      <w:spacing w:line="240" w:lineRule="auto"/>
    </w:pPr>
    <w:rPr>
      <w:szCs w:val="20"/>
    </w:rPr>
  </w:style>
  <w:style w:type="character" w:customStyle="1" w:styleId="CommentTextChar">
    <w:name w:val="Comment Text Char"/>
    <w:basedOn w:val="DefaultParagraphFont"/>
    <w:link w:val="CommentText"/>
    <w:uiPriority w:val="99"/>
    <w:rsid w:val="001C45B9"/>
    <w:rPr>
      <w:sz w:val="20"/>
      <w:szCs w:val="20"/>
    </w:rPr>
  </w:style>
  <w:style w:type="character" w:customStyle="1" w:styleId="HeaderChar">
    <w:name w:val="Header Char"/>
    <w:basedOn w:val="DefaultParagraphFont"/>
    <w:link w:val="Header"/>
    <w:uiPriority w:val="99"/>
    <w:rsid w:val="001C45B9"/>
  </w:style>
  <w:style w:type="paragraph" w:styleId="Header">
    <w:name w:val="header"/>
    <w:basedOn w:val="Normal"/>
    <w:link w:val="HeaderChar"/>
    <w:uiPriority w:val="99"/>
    <w:unhideWhenUsed/>
    <w:rsid w:val="001C45B9"/>
    <w:pPr>
      <w:tabs>
        <w:tab w:val="center" w:pos="4680"/>
        <w:tab w:val="right" w:pos="9360"/>
      </w:tabs>
      <w:spacing w:after="0" w:line="240" w:lineRule="auto"/>
    </w:pPr>
  </w:style>
  <w:style w:type="character" w:customStyle="1" w:styleId="HeaderChar1">
    <w:name w:val="Header Char1"/>
    <w:basedOn w:val="DefaultParagraphFont"/>
    <w:uiPriority w:val="99"/>
    <w:semiHidden/>
    <w:rsid w:val="001C45B9"/>
  </w:style>
  <w:style w:type="character" w:customStyle="1" w:styleId="FooterChar">
    <w:name w:val="Footer Char"/>
    <w:basedOn w:val="DefaultParagraphFont"/>
    <w:link w:val="Footer"/>
    <w:uiPriority w:val="99"/>
    <w:rsid w:val="001C45B9"/>
  </w:style>
  <w:style w:type="paragraph" w:styleId="Footer">
    <w:name w:val="footer"/>
    <w:basedOn w:val="Normal"/>
    <w:link w:val="FooterChar"/>
    <w:uiPriority w:val="99"/>
    <w:unhideWhenUsed/>
    <w:rsid w:val="001C45B9"/>
    <w:pPr>
      <w:tabs>
        <w:tab w:val="center" w:pos="4680"/>
        <w:tab w:val="right" w:pos="9360"/>
      </w:tabs>
      <w:spacing w:after="0" w:line="240" w:lineRule="auto"/>
    </w:pPr>
  </w:style>
  <w:style w:type="character" w:customStyle="1" w:styleId="FooterChar1">
    <w:name w:val="Footer Char1"/>
    <w:basedOn w:val="DefaultParagraphFont"/>
    <w:uiPriority w:val="99"/>
    <w:semiHidden/>
    <w:rsid w:val="001C45B9"/>
  </w:style>
  <w:style w:type="character" w:styleId="LineNumber">
    <w:name w:val="line number"/>
    <w:basedOn w:val="DefaultParagraphFont"/>
    <w:uiPriority w:val="99"/>
    <w:semiHidden/>
    <w:unhideWhenUsed/>
    <w:rsid w:val="001C45B9"/>
  </w:style>
  <w:style w:type="paragraph" w:styleId="Title">
    <w:name w:val="Title"/>
    <w:basedOn w:val="Normal"/>
    <w:next w:val="Normal"/>
    <w:link w:val="TitleChar"/>
    <w:uiPriority w:val="10"/>
    <w:qFormat/>
    <w:rsid w:val="001C45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5B9"/>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BF5A7B"/>
    <w:rPr>
      <w:sz w:val="16"/>
      <w:szCs w:val="16"/>
    </w:rPr>
  </w:style>
  <w:style w:type="paragraph" w:styleId="BalloonText">
    <w:name w:val="Balloon Text"/>
    <w:basedOn w:val="Normal"/>
    <w:link w:val="BalloonTextChar"/>
    <w:uiPriority w:val="99"/>
    <w:semiHidden/>
    <w:unhideWhenUsed/>
    <w:rsid w:val="00BF5A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A7B"/>
    <w:rPr>
      <w:rFonts w:ascii="Segoe UI" w:hAnsi="Segoe UI" w:cs="Segoe UI"/>
      <w:sz w:val="18"/>
      <w:szCs w:val="18"/>
    </w:rPr>
  </w:style>
  <w:style w:type="character" w:styleId="PlaceholderText">
    <w:name w:val="Placeholder Text"/>
    <w:basedOn w:val="DefaultParagraphFont"/>
    <w:uiPriority w:val="99"/>
    <w:semiHidden/>
    <w:rsid w:val="00801DB7"/>
    <w:rPr>
      <w:color w:val="808080"/>
    </w:rPr>
  </w:style>
  <w:style w:type="paragraph" w:styleId="CommentSubject">
    <w:name w:val="annotation subject"/>
    <w:basedOn w:val="CommentText"/>
    <w:next w:val="CommentText"/>
    <w:link w:val="CommentSubjectChar"/>
    <w:uiPriority w:val="99"/>
    <w:semiHidden/>
    <w:unhideWhenUsed/>
    <w:rsid w:val="00415548"/>
    <w:rPr>
      <w:b/>
      <w:bCs/>
    </w:rPr>
  </w:style>
  <w:style w:type="character" w:customStyle="1" w:styleId="CommentSubjectChar">
    <w:name w:val="Comment Subject Char"/>
    <w:basedOn w:val="CommentTextChar"/>
    <w:link w:val="CommentSubject"/>
    <w:uiPriority w:val="99"/>
    <w:semiHidden/>
    <w:rsid w:val="00415548"/>
    <w:rPr>
      <w:b/>
      <w:bCs/>
      <w:sz w:val="20"/>
      <w:szCs w:val="20"/>
    </w:rPr>
  </w:style>
  <w:style w:type="paragraph" w:styleId="Revision">
    <w:name w:val="Revision"/>
    <w:hidden/>
    <w:uiPriority w:val="99"/>
    <w:semiHidden/>
    <w:rsid w:val="00410049"/>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tif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tif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FD607-ED53-452F-A7D0-9ED0F5DF8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5186</Words>
  <Characters>29561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AMIT</dc:creator>
  <cp:keywords/>
  <dc:description/>
  <cp:lastModifiedBy>araj6</cp:lastModifiedBy>
  <cp:revision>16</cp:revision>
  <cp:lastPrinted>2022-12-25T16:13:00Z</cp:lastPrinted>
  <dcterms:created xsi:type="dcterms:W3CDTF">2022-12-25T15:58:00Z</dcterms:created>
  <dcterms:modified xsi:type="dcterms:W3CDTF">2022-12-27T18:00:00Z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http://www.zotero.org/styles/international-journal-of-heat-and-mass-transfer</vt:lpwstr>
  </property>
  <property fmtid="{D5CDD505-2E9C-101B-9397-08002B2CF9AE}" pid="15" name="Mendeley Recent Style Name 6_1">
    <vt:lpwstr>International Journal of Heat and Mass Transfer</vt:lpwstr>
  </property>
  <property fmtid="{D5CDD505-2E9C-101B-9397-08002B2CF9AE}" pid="16" name="Mendeley Recent Style Id 7_1">
    <vt:lpwstr>http://www.zotero.org/styles/international-journal-of-multiphase-flow</vt:lpwstr>
  </property>
  <property fmtid="{D5CDD505-2E9C-101B-9397-08002B2CF9AE}" pid="17" name="Mendeley Recent Style Name 7_1">
    <vt:lpwstr>International Journal of Multiphase Flow</vt:lpwstr>
  </property>
  <property fmtid="{D5CDD505-2E9C-101B-9397-08002B2CF9AE}" pid="18" name="Mendeley Recent Style Id 8_1">
    <vt:lpwstr>http://www.zotero.org/styles/microfluidics-and-nanofluidics</vt:lpwstr>
  </property>
  <property fmtid="{D5CDD505-2E9C-101B-9397-08002B2CF9AE}" pid="19" name="Mendeley Recent Style Name 8_1">
    <vt:lpwstr>Microfluidics and Nanofluidics</vt:lpwstr>
  </property>
  <property fmtid="{D5CDD505-2E9C-101B-9397-08002B2CF9AE}" pid="20" name="Mendeley Recent Style Id 9_1">
    <vt:lpwstr>http://www.zotero.org/styles/physics-of-fluids</vt:lpwstr>
  </property>
  <property fmtid="{D5CDD505-2E9C-101B-9397-08002B2CF9AE}" pid="21" name="Mendeley Recent Style Name 9_1">
    <vt:lpwstr>Physics of Fluids</vt:lpwstr>
  </property>
  <property fmtid="{D5CDD505-2E9C-101B-9397-08002B2CF9AE}" pid="22" name="Mendeley Document_1">
    <vt:lpwstr>True</vt:lpwstr>
  </property>
  <property fmtid="{D5CDD505-2E9C-101B-9397-08002B2CF9AE}" pid="23" name="Mendeley Unique User Id_1">
    <vt:lpwstr>fe2e0501-2a53-3937-86c8-62c7e135e0e0</vt:lpwstr>
  </property>
  <property fmtid="{D5CDD505-2E9C-101B-9397-08002B2CF9AE}" pid="24" name="Mendeley Citation Style_1">
    <vt:lpwstr>http://www.zotero.org/styles/microfluidics-and-nanofluidics</vt:lpwstr>
  </property>
</Properties>
</file>