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6E6DC" w14:textId="7BCAAB71" w:rsidR="00BD74C9" w:rsidRDefault="00BD74C9" w:rsidP="00BF1B30">
      <w:pPr>
        <w:pStyle w:val="Heading1"/>
      </w:pPr>
      <w:r>
        <w:t>Climate Risk</w:t>
      </w:r>
      <w:r w:rsidR="009E4969">
        <w:t>s</w:t>
      </w:r>
    </w:p>
    <w:p w14:paraId="20AC8505" w14:textId="5A4831AF" w:rsidR="00B61990" w:rsidRDefault="00B61990" w:rsidP="00296F7C">
      <w:pPr>
        <w:pStyle w:val="Paragraph"/>
      </w:pPr>
      <w:r>
        <w:t xml:space="preserve">In the remainder of this section, we provide a review of climate change topics from four perspectives: geographical, economic, regulatory, and international. We observe that firms emphasize these areas in their risk disclosures, and some of the keywords from these facts are frequently cited in their statements. We also create the keyword filter from these four aspects. We categorize the keywords into four groups: natural, technology, legislative, and general, corresponding to the four perspectives above, respectively. This review facilitates the understanding of the contents of the word clouds we create in the next section. </w:t>
      </w:r>
    </w:p>
    <w:p w14:paraId="1577C63E" w14:textId="7C4FCD96" w:rsidR="00B61990" w:rsidRDefault="00B61990" w:rsidP="00BD74C9">
      <w:pPr>
        <w:pStyle w:val="Heading2"/>
        <w:rPr>
          <w:rFonts w:eastAsiaTheme="minorEastAsia"/>
        </w:rPr>
      </w:pPr>
      <w:bookmarkStart w:id="0" w:name="_Toc94291194"/>
      <w:r>
        <w:rPr>
          <w:rFonts w:eastAsiaTheme="minorEastAsia"/>
        </w:rPr>
        <w:t>Geographical Facts</w:t>
      </w:r>
      <w:bookmarkEnd w:id="0"/>
    </w:p>
    <w:p w14:paraId="2EFCFF8F" w14:textId="77777777" w:rsidR="00B61990" w:rsidRDefault="00B61990" w:rsidP="00296F7C">
      <w:pPr>
        <w:pStyle w:val="Paragraph"/>
      </w:pPr>
      <w:r>
        <w:t>The reliance on natural resources across industries widens the scope of the environmental impact from a regional concern to a global issue. Climate risk disclosures are intended to discuss and disclose these risks for the benefit of stakeholders and for the impacts on climate change itself. Greenhouse gas (GHG) emissions are not only an element of discussions of the future global climate but also have been recognized as a short-term influencing factor.</w:t>
      </w:r>
    </w:p>
    <w:p w14:paraId="3AE4CBEB" w14:textId="59C48CA3" w:rsidR="00B61990" w:rsidRDefault="00B61990" w:rsidP="00296F7C">
      <w:pPr>
        <w:pStyle w:val="Newparagraph"/>
      </w:pPr>
      <w:r>
        <w:t xml:space="preserve">In its Fifth Assessment Report series, the Intergovernmental Panel on Climate Change (IPCC) concludes that it is </w:t>
      </w:r>
      <w:r w:rsidR="004F1D1C">
        <w:t>‘</w:t>
      </w:r>
      <w:r>
        <w:t>extremely likely</w:t>
      </w:r>
      <w:r w:rsidR="004F1D1C">
        <w:t>’</w:t>
      </w:r>
      <w:r>
        <w:t xml:space="preserve"> that a majority of the changes in global surface temperatures measured from 1951 to 2010 are caused by </w:t>
      </w:r>
      <w:r w:rsidR="004F1D1C">
        <w:t>‘</w:t>
      </w:r>
      <w:r>
        <w:t>the anthropogenic increase in GHG concentrations and other anthropogenic forcing together,</w:t>
      </w:r>
      <w:r w:rsidR="004F1D1C">
        <w:t>’</w:t>
      </w:r>
      <w:r>
        <w:t xml:space="preserve"> and that greenhouse gas emissions likely contribute to global warming within the range of 0.5 degrees to 1.3 degrees Celsius over this same period (IPCC 2014b, 48). The IPCC also concludes that it is likely that past climate change has already induced physical changes in the environment and ecosystems worldwide, including the quality </w:t>
      </w:r>
      <w:r>
        <w:lastRenderedPageBreak/>
        <w:t xml:space="preserve">and quantity of water resources, and shifts in the migration patterns or abundance of various organisms. Furthermore, the IPCC concludes that it is </w:t>
      </w:r>
      <w:r w:rsidR="004F1D1C">
        <w:t>‘</w:t>
      </w:r>
      <w:r>
        <w:t>very likely</w:t>
      </w:r>
      <w:r w:rsidR="004F1D1C">
        <w:t>’</w:t>
      </w:r>
      <w:r>
        <w:t xml:space="preserve"> that the number of hot days per year has increased over time relative to the number of cold days, and that it is likely that the frequency of </w:t>
      </w:r>
      <w:r w:rsidR="004F1D1C">
        <w:t>‘</w:t>
      </w:r>
      <w:r>
        <w:t>extreme sea levels</w:t>
      </w:r>
      <w:r w:rsidR="004F1D1C">
        <w:t>’</w:t>
      </w:r>
      <w:r>
        <w:t xml:space="preserve"> has increased since 1970 (IPCC 2014b, 51, 53). </w:t>
      </w:r>
    </w:p>
    <w:p w14:paraId="766FCE55" w14:textId="645425F9" w:rsidR="00B61990" w:rsidRDefault="00B61990" w:rsidP="00296F7C">
      <w:pPr>
        <w:pStyle w:val="Newparagraph"/>
      </w:pPr>
      <w:r>
        <w:t xml:space="preserve">While the physical manifestations of past climate change are significant, future changes in global climate are of greater importance, particularly because future climate changes can be impacted by present and future human activities. Public consensus asserts that global temperatures by the year 2099 will likely be at least 1.5 degrees Celsius higher than those observed from 1850 to 1900. These projections suggest that worsening environmental conditions such as heatwaves or extreme precipitation events will continue during the rest of the 21st century (IPCC 2014b).  </w:t>
      </w:r>
    </w:p>
    <w:p w14:paraId="3A4B9C86" w14:textId="1C8EFF9C" w:rsidR="00B61990" w:rsidRDefault="00B61990" w:rsidP="00BD74C9">
      <w:pPr>
        <w:pStyle w:val="Heading2"/>
        <w:rPr>
          <w:rFonts w:eastAsiaTheme="minorEastAsia"/>
        </w:rPr>
      </w:pPr>
      <w:bookmarkStart w:id="1" w:name="_Toc94291195"/>
      <w:r>
        <w:rPr>
          <w:rFonts w:eastAsiaTheme="minorEastAsia"/>
        </w:rPr>
        <w:t>Economic Facts</w:t>
      </w:r>
      <w:bookmarkEnd w:id="1"/>
    </w:p>
    <w:p w14:paraId="01C08E16" w14:textId="73F18A99" w:rsidR="00B61990" w:rsidRDefault="00B61990" w:rsidP="00296F7C">
      <w:pPr>
        <w:pStyle w:val="Paragraph"/>
      </w:pPr>
      <w:r>
        <w:t xml:space="preserve">Companies disclose many climate-related risks in their 10-K reports that stem from severe physical environmental impacts resulting from anthropogenic climate change. The reporting of such risks reflects the broad, extensive impact of climate change on industries worldwide. Economic forecasts of the significant impact of future climate change commonly focus on sectors such as energy, water, health care, insurance, and tourism (IPCC 2014a). Past climate changes have produced economic impacts: direct and insured losses from damages caused by natural disasters have increased in recent decades largely due to increasing economic exposure to these risks. In addition, past climate changes have also caused more negative impacts on crop yields than positive impacts (IPCC 2014b). </w:t>
      </w:r>
    </w:p>
    <w:p w14:paraId="53178775" w14:textId="77777777" w:rsidR="00B61990" w:rsidRDefault="00B61990" w:rsidP="00296F7C">
      <w:pPr>
        <w:pStyle w:val="Newparagraph"/>
      </w:pPr>
      <w:r>
        <w:t xml:space="preserve">Hsiang et al. (2017) study how projected climate change imposes different economic influences on the U.S., and estimate that by 2080-2099, each additional </w:t>
      </w:r>
      <w:r>
        <w:lastRenderedPageBreak/>
        <w:t xml:space="preserve">degree (in Celsius) increase can cause aggregate economic losses of approximately 1.2% of its GDP. Furthermore, their research projects that the economic effects of climate change will be distributed unequally across different regions of the U.S., with wealthier counties experiencing lower losses as a percentage of county income than less developed counties. </w:t>
      </w:r>
    </w:p>
    <w:p w14:paraId="48B46674" w14:textId="77777777" w:rsidR="00B61990" w:rsidRDefault="00B61990" w:rsidP="00296F7C">
      <w:pPr>
        <w:pStyle w:val="Newparagraph"/>
      </w:pPr>
      <w:r>
        <w:t xml:space="preserve">Nelson et al. (2014) use multiple models to synthesize a prediction of the economic effects caused by climate change in the future. They predict that climate change will lower agricultural output by a mean 17% yield without any industry efforts to accommodate these changes by 2050, but that total production will decrease by approximately 2% if the industry increases land use appropriately and adopts necessary changes to management practices. </w:t>
      </w:r>
    </w:p>
    <w:p w14:paraId="4BCB3D8B" w14:textId="1E605E98" w:rsidR="00B61990" w:rsidRDefault="00B61990" w:rsidP="00296F7C">
      <w:pPr>
        <w:pStyle w:val="Newparagraph"/>
      </w:pPr>
      <w:proofErr w:type="spellStart"/>
      <w:r>
        <w:t>Asseng</w:t>
      </w:r>
      <w:proofErr w:type="spellEnd"/>
      <w:r>
        <w:t xml:space="preserve"> et al. (2015) </w:t>
      </w:r>
      <w:r w:rsidR="00596DEE">
        <w:t>analyse</w:t>
      </w:r>
      <w:r>
        <w:t xml:space="preserve"> the possible effects on wheat production caused by increasing temperatures, synthesizing the results produced both by 30 different models and from field experiments conducted on wheat growth. They extrapolate the results from this analysis and predict that global wheat production can decrease by 6% for every additional degree Celsius of global warming. Understanding the frequency of severe weather events, like hurricanes or floods, is of </w:t>
      </w:r>
      <w:proofErr w:type="gramStart"/>
      <w:r>
        <w:t>particular interest</w:t>
      </w:r>
      <w:proofErr w:type="gramEnd"/>
      <w:r>
        <w:t xml:space="preserve"> to firms because of the financial implications. Unlike climatic changes like those that affect specific industries like agriculture, worsening weather conditions can lead to increases in property damage that can theoretically impact any firm or industry.</w:t>
      </w:r>
    </w:p>
    <w:p w14:paraId="4F04C953" w14:textId="48697B7D" w:rsidR="00B61990" w:rsidRDefault="00B61990" w:rsidP="00BD74C9">
      <w:pPr>
        <w:pStyle w:val="Heading2"/>
        <w:rPr>
          <w:rFonts w:eastAsiaTheme="minorEastAsia"/>
        </w:rPr>
      </w:pPr>
      <w:bookmarkStart w:id="2" w:name="_Toc94291196"/>
      <w:r>
        <w:rPr>
          <w:rFonts w:eastAsiaTheme="minorEastAsia"/>
        </w:rPr>
        <w:t>Regulatory Facts</w:t>
      </w:r>
      <w:bookmarkEnd w:id="2"/>
    </w:p>
    <w:p w14:paraId="05AC481A" w14:textId="77777777" w:rsidR="00B61990" w:rsidRDefault="00B61990" w:rsidP="00296F7C">
      <w:pPr>
        <w:pStyle w:val="Paragraph"/>
      </w:pPr>
      <w:r>
        <w:t xml:space="preserve">The economic implications of climate change’s physical effects represent only one front in firms’ battle against climate change and account for only part of potential climate-related risks. Environmental laws and regulations are two other primary sources of climate risks for firms worldwide. These risks account for many of the topics covered in </w:t>
      </w:r>
      <w:r>
        <w:lastRenderedPageBreak/>
        <w:t xml:space="preserve">their disclosures. In our study, the dataset includes many firms whose operations and interests extend outside the U.S., which exposes such firms to legal risks originating from domestic and foreign regulatory influences. Legal frameworks relating to climate change include forms of carbon pricing as well as other laws and regulations targeting greenhouse gasses or other climate impactors. </w:t>
      </w:r>
    </w:p>
    <w:p w14:paraId="3D56C3D8" w14:textId="11B34201" w:rsidR="00B61990" w:rsidRDefault="00B61990" w:rsidP="00BD74C9">
      <w:pPr>
        <w:pStyle w:val="Heading3"/>
        <w:rPr>
          <w:rFonts w:eastAsiaTheme="majorEastAsia"/>
        </w:rPr>
      </w:pPr>
      <w:r>
        <w:t>Carbon Transactions</w:t>
      </w:r>
    </w:p>
    <w:p w14:paraId="44A40A5D" w14:textId="7219C22F" w:rsidR="00B61990" w:rsidRDefault="00B61990" w:rsidP="00296F7C">
      <w:pPr>
        <w:pStyle w:val="Paragraph"/>
      </w:pPr>
      <w:r>
        <w:t xml:space="preserve">Governments often use carbon pricing as a market-based strategy for reducing total emissions produced in a particular jurisdiction. Carbon pricing strategies can either be considered explicit or implicit. Explicit pricing strategies represent the most common approach and include government policies that establish a price for carbon emissions. Government-implemented carbon pricing instruments usually comprise either a carbon tax or an emissions trading system (ETS). A carbon tax is levied against emitters based on the amounts of emissions they produce, under which the explicit price of carbon is established through government mandate. Under an emissions trading scheme, however, the government establishes a total cap on emissions in the jurisdiction, and issues allowances or credits that emitters must purchase to cover their emissions. In 2021, 64 carbon pricing instruments operated worldwide and covered 21.5% of global greenhouse gas emissions (The World Bank 2021). Adhering and adapting to the carbon pricing schema remain highly relevant to U.S. firms that operate in other countries which implement such policies. </w:t>
      </w:r>
    </w:p>
    <w:p w14:paraId="642E63E8" w14:textId="130B3106" w:rsidR="00B61990" w:rsidRDefault="00B61990" w:rsidP="00296F7C">
      <w:pPr>
        <w:pStyle w:val="Newparagraph"/>
      </w:pPr>
      <w:r>
        <w:t xml:space="preserve">While the U.S. does not currently have a nationwide system for carbon pricing, some jurisdictions in the U.S. have implemented their own carbon pricing instruments. One of the most prominent of these is California’s cap-and-trade program, a </w:t>
      </w:r>
      <w:r w:rsidR="00596DEE">
        <w:t>state-wide</w:t>
      </w:r>
      <w:r>
        <w:t xml:space="preserve"> emissions trading scheme administered by the California Air Resources Board (CARB). </w:t>
      </w:r>
      <w:r w:rsidR="00032D8F">
        <w:t xml:space="preserve">The program was created in response to Assembly Bill 32, passed by the California </w:t>
      </w:r>
      <w:r w:rsidR="00032D8F">
        <w:lastRenderedPageBreak/>
        <w:t>state legislature as the Global Warming Solutions Act of 2006, which required the California government to pursue climate strategies that would reduce the state’s total greenhouse gas emissions to 1990 levels by 2020 (California Air Resources Board 2010). The cap-and-trade program came into effect on January 1, 2013. It covered around 450 entities across California as of 2015, including heavy polluters such as electrical and natural gas utilities.</w:t>
      </w:r>
      <w:r w:rsidR="00032D8F">
        <w:t xml:space="preserve"> </w:t>
      </w:r>
      <w:r w:rsidR="00032D8F">
        <w:t xml:space="preserve">Under this program, CARB issues and auctions off tradable emissions allowances that are required to be purchased by entities that produce large amounts of GHG emissions. The entities covered in the program are required to turn in these allowances to the California state government every year to comply with the program (California Air Resources Board 2015). The total number of allowances issued by CARB is limited by the total annual cap on </w:t>
      </w:r>
      <w:r w:rsidR="00596DEE">
        <w:t>state-wide</w:t>
      </w:r>
      <w:r w:rsidR="00032D8F">
        <w:t xml:space="preserve"> emissions, and this level is decreased every year as the annual emissions cap is lowered. This change, combined with an increasing annual floor price for auctioned emissions allowances, complements the ETS market as it provides a strong incentive for polluters to reduce their emissions. The program currently covers approximately 80% of California’s total greenhouse gas emissions (California Air Resources Board n.d.), meaning the scope and influence of the cap-and-trade program is extensive within the state.</w:t>
      </w:r>
    </w:p>
    <w:p w14:paraId="62BB981E" w14:textId="3C91AC5F" w:rsidR="00B61990" w:rsidRPr="00296F7C" w:rsidRDefault="00B61990" w:rsidP="00296F7C">
      <w:pPr>
        <w:pStyle w:val="Newparagraph"/>
      </w:pPr>
      <w:r w:rsidRPr="00296F7C">
        <w:t xml:space="preserve">Another large carbon pricing program in the U.S. is the Regional Greenhouse Gas Initiative (RGGI), which is an interstate, cooperative program implemented by the state governments of eleven states in the </w:t>
      </w:r>
      <w:proofErr w:type="spellStart"/>
      <w:r w:rsidRPr="00296F7C">
        <w:t>Northeastern</w:t>
      </w:r>
      <w:proofErr w:type="spellEnd"/>
      <w:r w:rsidRPr="00296F7C">
        <w:t xml:space="preserve"> U.S. </w:t>
      </w:r>
      <w:r w:rsidR="002F3935" w:rsidRPr="00296F7C">
        <w:t>The RGGI was originally proposed in 2005 by a memorandum of understanding signed by the governors of Connecticut, Delaware, Maine, New Hampshire, New Jersey, New York, and Vermont, in which the states committed to proposing a ‘CO2 Budget Trading Program’ to control emissions (</w:t>
      </w:r>
      <w:proofErr w:type="spellStart"/>
      <w:r w:rsidR="002F3935" w:rsidRPr="00296F7C">
        <w:t>Rell</w:t>
      </w:r>
      <w:proofErr w:type="spellEnd"/>
      <w:r w:rsidR="002F3935" w:rsidRPr="00296F7C">
        <w:t xml:space="preserve"> et al. 2005). Later, the states of Maryland, Massachusetts, Rhode Island, and Virginia also joined the program. This proposal did not create the RGGI by itself; </w:t>
      </w:r>
      <w:r w:rsidR="002F3935" w:rsidRPr="00296F7C">
        <w:lastRenderedPageBreak/>
        <w:t>the nature of the program is that the actual policies are implemented by the individual state governments themselves. Each state participating in the RGGI has its own emissions trading program, each of which is based closely on the RGGI Model Rule, the standard design established for these emissions programs and amended over time.</w:t>
      </w:r>
      <w:r w:rsidR="002F3935" w:rsidRPr="00296F7C">
        <w:t xml:space="preserve"> </w:t>
      </w:r>
      <w:r w:rsidRPr="00296F7C">
        <w:t>The RGGI operates as a cap-and-trade system under which the participating states use tradable CO2 emissions allowances while an annual cap limits the total number of CO2 allowances issued between the states. Unlike California’s cap-and-trade program, the RGGI is currently limited only to electric power plants, as the program is specifically designed to limit the power sector’s greenhouse gas emissions (RGGI, Inc. n.d.).</w:t>
      </w:r>
    </w:p>
    <w:p w14:paraId="51C792C2" w14:textId="6854CF92" w:rsidR="00B61990" w:rsidRPr="00296F7C" w:rsidRDefault="00B61990" w:rsidP="00296F7C">
      <w:pPr>
        <w:pStyle w:val="Newparagraph"/>
      </w:pPr>
      <w:r w:rsidRPr="00296F7C">
        <w:t xml:space="preserve">The programs described above represent only two of the many carbon pricing instruments worldwide that are financially relevant to U.S. firms, especially to the firms included in this study. As the scope of our study includes all the publicly traded U.S. firms, the presence and implementation of carbon pricing schema in other international jurisdictions is also of great relevance to the firms included in this study, for example, the most expansive of these is the European Union’s Emissions Trading System (EU ETS). </w:t>
      </w:r>
      <w:r w:rsidR="006653BD" w:rsidRPr="00296F7C">
        <w:t xml:space="preserve">It is a cap-and-trade program that covers all EU states, as well as Iceland, Lichtenstein, and Norway. The EU ETS was established through a directive of the European Parliament and the Council of the European Union in 2003 and was created to reduce anthropogenic greenhouse gas emissions produced by the EU’s member states, while aiming to cause minimal negative impacts on the economy of the EU and its member states, through ‘concrete action at [the] Community level’ (Directive 2003/87/EC). When the EU ETS became active in 2005, it became the first international ETS, and currently covers approximately 40 percent of the EU’s total greenhouse gas emissions. The program specifically covers carbon dioxide (CO2), nitrous oxide (N2O), and perfluorocarbon (PFC) emissions, and like the previously mentioned carbon pricing </w:t>
      </w:r>
      <w:r w:rsidR="006653BD" w:rsidRPr="00296F7C">
        <w:lastRenderedPageBreak/>
        <w:t>schema, only specific categories of emitters are required to participate in the EU ETS. Approximately 10,000 ‘installations’ in the power sector as well as heavy emitters in the manufacturing industries (e.g. iron production, paper, organic chemicals) and airline flights that occur in the European Economic Area are all covered by the EU ETS and are therefore required to purchase or receive emissions allowances to meet the emissions that are covered under the program’s requirements (European Commission n.d.). While the United Kingdom was previously a participant in the EU ETS, the U.K.’s exit from the European Union meant that its participation in its emissions markets ended as well. To replace the role the EU ETS played in the U.K.’s laws and economy, a new cap-and-trade ETS was established by the U.K. government in 2020 solely for U.K. emitters. Like the EU ETS it replaced, the U.K. ETS covers both domestic installations and aircraft operations, and is intended to limit greenhouse gas emissions through the issuance of tradable emissions allowances (U.K. Statutory Instrument 2020 No. 1265). The program became active on January 1, 2021, and the domestic installations currently targeted by the program include the power generation industry (targeted because of its high emissions) and other ‘small emitters,’ in addition to flights occurring within the U.K., between the U.K. and the European Economic Area, and between the U.K. and Gibraltar. The program is still very new, but due to its expansive scope and the government’s intentions to reduce the emissions cap annually, the U.K. government expects the program to significantly further the U.K.’s environmental goals (Department of Business, Energy, &amp; Industrial Strategy 2021).</w:t>
      </w:r>
    </w:p>
    <w:p w14:paraId="705610D6" w14:textId="2FE19C31" w:rsidR="00B61990" w:rsidRDefault="00B61990" w:rsidP="00BD74C9">
      <w:pPr>
        <w:pStyle w:val="Heading3"/>
        <w:rPr>
          <w:rFonts w:eastAsiaTheme="majorEastAsia"/>
        </w:rPr>
      </w:pPr>
      <w:r>
        <w:t>Carbon Taxes</w:t>
      </w:r>
    </w:p>
    <w:p w14:paraId="30D0E551" w14:textId="45ED7D8A" w:rsidR="00B61990" w:rsidRDefault="00B61990" w:rsidP="00296F7C">
      <w:pPr>
        <w:pStyle w:val="Paragraph"/>
      </w:pPr>
      <w:r>
        <w:t xml:space="preserve">Emissions trading systems represent only one type of carbon pricing instrument found internationally; carbon taxation also exists in some jurisdictions and is relevant to U.S. firms operating globally. Some nations have implemented their carbon taxes on a large </w:t>
      </w:r>
      <w:r>
        <w:lastRenderedPageBreak/>
        <w:t xml:space="preserve">scale. </w:t>
      </w:r>
      <w:r w:rsidR="0089715D">
        <w:t xml:space="preserve">The government of Sweden’s national carbon tax is an example of a long-standing form of carbon pricing – the tax was first introduced in </w:t>
      </w:r>
      <w:proofErr w:type="gramStart"/>
      <w:r w:rsidR="0089715D">
        <w:t>1991, and</w:t>
      </w:r>
      <w:proofErr w:type="gramEnd"/>
      <w:r w:rsidR="0089715D">
        <w:t xml:space="preserve"> has been gradually increased by the Swedish government since its introduction. It targets emissions produced through the combustion of fossil fuels, with the tax being levied against the fossil fuels themselves at a rate that is adjusted based on the carbon content of specific fuels. According to the Swedish government, the implementation of this tax has not excessively stifled economic growth in</w:t>
      </w:r>
      <w:r w:rsidR="0089715D">
        <w:t xml:space="preserve"> </w:t>
      </w:r>
      <w:r w:rsidR="0089715D">
        <w:t>Sweden: over the period from 1990 to 2019, Sweden’s GDP grew by 84 percent while GHG emissions decreased by 29 percent (Government of Sweden 2021). Canada has also implemented nationwide carbon pricing that incorporates both regulation at the federal level and systems specific to Canada’s provinces and territories. At the federal level, the government of Canada has implemented a two-part ‘benchmark’ for carbon pricing systems, comprising of a fuel charge and an emissions trading system, that establishes a minimum</w:t>
      </w:r>
      <w:r w:rsidR="0089715D">
        <w:t xml:space="preserve"> </w:t>
      </w:r>
      <w:r w:rsidR="0089715D">
        <w:t>level of carbon pricing that provinces and territories are required to adhere to (Government of Canada 2021a). A fuel charge is a form of indirect carbon taxation, as it is a tax that is applied specifically to fossil fuels, and covers industries like fossil fuel producers, fossil fuel distributors, and firms like air carriers who use large amounts of fossil fuels (Canada Revenue Agency 2019). The Output-Based Pricing System (OBPS) is the emissions trading system established through this federal benchmark, under which the facilities covered by the program are encouraged to reduce their emissions using both emissions credits and direct emissions charges (Government of Canada 2021b). The federal carbon pricing requirements are only a benchmark, and individual provinces have implemented their carbon pricing programs that adhere to this. British Columbia, for instance, has its own carbon tax that applies towards either the purchase or the use of fossil fuels within the province.</w:t>
      </w:r>
      <w:r w:rsidR="0089715D">
        <w:t xml:space="preserve"> </w:t>
      </w:r>
      <w:r w:rsidR="0089715D">
        <w:t xml:space="preserve">This tax was introduced in 2008 and covers </w:t>
      </w:r>
      <w:r w:rsidR="0089715D">
        <w:lastRenderedPageBreak/>
        <w:t>approximately 70 percent of the province’s total GHG emissions (Province of British Columbia n.d.).</w:t>
      </w:r>
      <w:r w:rsidR="0089715D">
        <w:t xml:space="preserve"> </w:t>
      </w:r>
      <w:r>
        <w:t xml:space="preserve">As the scope of our study includes all the </w:t>
      </w:r>
      <w:proofErr w:type="gramStart"/>
      <w:r>
        <w:t>publicly-traded</w:t>
      </w:r>
      <w:proofErr w:type="gramEnd"/>
      <w:r>
        <w:t xml:space="preserve"> U.S. firms, the presence and implementation of carbon taxation in other international jurisdictions are also of great relevance to the firms included in this study. </w:t>
      </w:r>
    </w:p>
    <w:p w14:paraId="58FA2CC4" w14:textId="1727082E" w:rsidR="00B61990" w:rsidRDefault="00B61990" w:rsidP="00BD74C9">
      <w:pPr>
        <w:pStyle w:val="Heading3"/>
        <w:rPr>
          <w:rFonts w:eastAsiaTheme="majorEastAsia"/>
        </w:rPr>
      </w:pPr>
      <w:r>
        <w:t>Other Climate Change Related Regulatory Facts</w:t>
      </w:r>
    </w:p>
    <w:p w14:paraId="10943AF7" w14:textId="6E27C947" w:rsidR="00B61990" w:rsidRDefault="00B61990" w:rsidP="00296F7C">
      <w:pPr>
        <w:pStyle w:val="Paragraph"/>
      </w:pPr>
      <w:r>
        <w:t xml:space="preserve">Besides domestic and international carbon pricing instruments, other types of environmental laws and regulations, both those implemented within the U.S. and those established internationally, also pose significant risks to U.S. firms concerning their emissions. In the U.S., the Clean Air Act is the most prominent form of emissions regulation. The Act forms the basis of the federal government’s environmental regulatory framework. It was passed in 1970 to address the risks the </w:t>
      </w:r>
      <w:proofErr w:type="gramStart"/>
      <w:r>
        <w:t>general public</w:t>
      </w:r>
      <w:proofErr w:type="gramEnd"/>
      <w:r>
        <w:t xml:space="preserve"> faced from harmful air pollution (U.S. EPA </w:t>
      </w:r>
      <w:proofErr w:type="spellStart"/>
      <w:r>
        <w:t>n.d.e</w:t>
      </w:r>
      <w:proofErr w:type="spellEnd"/>
      <w:r>
        <w:t xml:space="preserve">). To accomplish this goal, the Act requires the U.S. EPA to establish National Ambient Air Quality Standards (NAAQS), which define maximum safe levels of ambient air pollution. Under the NAAQS, there are six types of air pollution for which the EPA establishes these limits, and these specific standards are periodically revised by the EPA (U.S. EPA </w:t>
      </w:r>
      <w:proofErr w:type="spellStart"/>
      <w:r>
        <w:t>n.d.c</w:t>
      </w:r>
      <w:proofErr w:type="spellEnd"/>
      <w:r>
        <w:t xml:space="preserve">). </w:t>
      </w:r>
    </w:p>
    <w:p w14:paraId="21A6CE74" w14:textId="07618AF4" w:rsidR="00B61990" w:rsidRDefault="00B61990" w:rsidP="00296F7C">
      <w:pPr>
        <w:pStyle w:val="Newparagraph"/>
      </w:pPr>
      <w:r>
        <w:t xml:space="preserve">The Clean Air Act regulates emissions that are produced both by </w:t>
      </w:r>
      <w:r w:rsidR="004F1D1C">
        <w:t>‘</w:t>
      </w:r>
      <w:r>
        <w:t>stationary</w:t>
      </w:r>
      <w:r w:rsidR="004F1D1C">
        <w:t>’</w:t>
      </w:r>
      <w:r>
        <w:t xml:space="preserve"> and </w:t>
      </w:r>
      <w:r w:rsidR="004F1D1C">
        <w:t>‘</w:t>
      </w:r>
      <w:r>
        <w:t>mobile sources,</w:t>
      </w:r>
      <w:r w:rsidR="004F1D1C">
        <w:t>’</w:t>
      </w:r>
      <w:r>
        <w:t xml:space="preserve"> and uses different regulatory frameworks that address specific types of emitters. For instance, stationary emitters that produce either 10 tons of a particular </w:t>
      </w:r>
      <w:r w:rsidR="004F1D1C">
        <w:t>‘</w:t>
      </w:r>
      <w:r>
        <w:t>hazardous air pollutant</w:t>
      </w:r>
      <w:r w:rsidR="004F1D1C">
        <w:t>’</w:t>
      </w:r>
      <w:r>
        <w:t xml:space="preserve"> or 25 tons of a combination of multiple of these pollutants within a year are classified under the Clean Air Act as </w:t>
      </w:r>
      <w:r w:rsidR="004F1D1C">
        <w:t>‘</w:t>
      </w:r>
      <w:r>
        <w:t>major sources</w:t>
      </w:r>
      <w:r w:rsidR="004F1D1C">
        <w:t>’</w:t>
      </w:r>
      <w:r>
        <w:t xml:space="preserve"> of emissions. Such a classification is highly relevant to U.S.-based heavy emitters, such as fossil fuel power plants, because </w:t>
      </w:r>
      <w:r w:rsidR="004F1D1C">
        <w:t>‘</w:t>
      </w:r>
      <w:r>
        <w:t>major sources</w:t>
      </w:r>
      <w:r w:rsidR="004F1D1C">
        <w:t>’</w:t>
      </w:r>
      <w:r>
        <w:t xml:space="preserve"> are required under the Clean Air Act to adhere to </w:t>
      </w:r>
      <w:r w:rsidR="004F1D1C">
        <w:t>‘</w:t>
      </w:r>
      <w:r>
        <w:t>maximum achievable control technology</w:t>
      </w:r>
      <w:r w:rsidR="004F1D1C">
        <w:t>’</w:t>
      </w:r>
      <w:r>
        <w:t xml:space="preserve"> (MACT) standards that mandate the implementation of technologies to reduce emissions at the source (U.S. EPA </w:t>
      </w:r>
      <w:proofErr w:type="spellStart"/>
      <w:r>
        <w:t>n.d.e</w:t>
      </w:r>
      <w:proofErr w:type="spellEnd"/>
      <w:r>
        <w:t xml:space="preserve">). </w:t>
      </w:r>
    </w:p>
    <w:p w14:paraId="174AFEE0" w14:textId="77777777" w:rsidR="00B61990" w:rsidRDefault="00B61990" w:rsidP="00296F7C">
      <w:pPr>
        <w:pStyle w:val="Newparagraph"/>
        <w:rPr>
          <w:color w:val="000000" w:themeColor="text1"/>
        </w:rPr>
      </w:pPr>
      <w:r>
        <w:rPr>
          <w:color w:val="000000" w:themeColor="text1"/>
        </w:rPr>
        <w:lastRenderedPageBreak/>
        <w:t xml:space="preserve">These regulatory programs established by the Clean Air Act and its amendments are examples of broader air emissions regulations. The programs target air pollution from the public’s health and wellbeing perspectives but do not necessarily aim to fight climate change. In recent years, however, the EPA has engaged in efforts that specifically target climate change.  </w:t>
      </w:r>
    </w:p>
    <w:p w14:paraId="33209CD6" w14:textId="10A8241C" w:rsidR="00B61990" w:rsidRDefault="00B61990" w:rsidP="00296F7C">
      <w:pPr>
        <w:pStyle w:val="Newparagraph"/>
        <w:rPr>
          <w:color w:val="000000" w:themeColor="text1"/>
        </w:rPr>
      </w:pPr>
      <w:r>
        <w:rPr>
          <w:color w:val="000000" w:themeColor="text1"/>
        </w:rPr>
        <w:t xml:space="preserve">This change of focus was initiated by a landmark finding issued in 2009 by the administrator of the EPA, titled </w:t>
      </w:r>
      <w:r w:rsidR="004F1D1C">
        <w:rPr>
          <w:color w:val="000000" w:themeColor="text1"/>
        </w:rPr>
        <w:t>‘</w:t>
      </w:r>
      <w:r>
        <w:rPr>
          <w:color w:val="000000" w:themeColor="text1"/>
        </w:rPr>
        <w:t>Endangerment and Cause or Contribute Findings for Greenhouse Gases Under Section 202(a) of the Clean Air Act.</w:t>
      </w:r>
      <w:r w:rsidR="004F1D1C">
        <w:rPr>
          <w:color w:val="000000" w:themeColor="text1"/>
        </w:rPr>
        <w:t>’</w:t>
      </w:r>
      <w:r>
        <w:rPr>
          <w:color w:val="000000" w:themeColor="text1"/>
        </w:rPr>
        <w:t xml:space="preserve"> This report, often referred to as the </w:t>
      </w:r>
      <w:r w:rsidR="004F1D1C">
        <w:rPr>
          <w:color w:val="000000" w:themeColor="text1"/>
        </w:rPr>
        <w:t>‘</w:t>
      </w:r>
      <w:r>
        <w:rPr>
          <w:color w:val="000000" w:themeColor="text1"/>
        </w:rPr>
        <w:t>endangerment finding,</w:t>
      </w:r>
      <w:r w:rsidR="004F1D1C">
        <w:rPr>
          <w:color w:val="000000" w:themeColor="text1"/>
        </w:rPr>
        <w:t>’</w:t>
      </w:r>
      <w:r>
        <w:rPr>
          <w:color w:val="000000" w:themeColor="text1"/>
        </w:rPr>
        <w:t xml:space="preserve"> studies the impacts of six different types of greenhouse gas emissions on the environment and the public’s welfare. Specifically, the report focused on carbon dioxide (CO</w:t>
      </w:r>
      <w:r>
        <w:rPr>
          <w:color w:val="000000" w:themeColor="text1"/>
          <w:vertAlign w:val="subscript"/>
        </w:rPr>
        <w:t>2</w:t>
      </w:r>
      <w:r>
        <w:rPr>
          <w:color w:val="000000" w:themeColor="text1"/>
        </w:rPr>
        <w:t>), methane (CH</w:t>
      </w:r>
      <w:r>
        <w:rPr>
          <w:color w:val="000000" w:themeColor="text1"/>
          <w:vertAlign w:val="subscript"/>
        </w:rPr>
        <w:t>4</w:t>
      </w:r>
      <w:r>
        <w:rPr>
          <w:color w:val="000000" w:themeColor="text1"/>
        </w:rPr>
        <w:t>), nitrous oxide (N</w:t>
      </w:r>
      <w:r>
        <w:rPr>
          <w:color w:val="000000" w:themeColor="text1"/>
          <w:vertAlign w:val="subscript"/>
        </w:rPr>
        <w:t>2</w:t>
      </w:r>
      <w:r>
        <w:rPr>
          <w:color w:val="000000" w:themeColor="text1"/>
        </w:rPr>
        <w:t xml:space="preserve">O), hydrofluorocarbons (HFCs), perfluorocarbons (PFCs), and </w:t>
      </w:r>
      <w:proofErr w:type="spellStart"/>
      <w:r>
        <w:rPr>
          <w:color w:val="000000" w:themeColor="text1"/>
        </w:rPr>
        <w:t>sulfur</w:t>
      </w:r>
      <w:proofErr w:type="spellEnd"/>
      <w:r>
        <w:rPr>
          <w:color w:val="000000" w:themeColor="text1"/>
        </w:rPr>
        <w:t xml:space="preserve"> hexafluoride (SF</w:t>
      </w:r>
      <w:r>
        <w:rPr>
          <w:color w:val="000000" w:themeColor="text1"/>
          <w:vertAlign w:val="subscript"/>
        </w:rPr>
        <w:t>6</w:t>
      </w:r>
      <w:r>
        <w:rPr>
          <w:color w:val="000000" w:themeColor="text1"/>
        </w:rPr>
        <w:t xml:space="preserve">). As a result of this investigation, the EPA finds that GHGs present in the Earth’s atmosphere </w:t>
      </w:r>
      <w:r w:rsidR="004F1D1C">
        <w:rPr>
          <w:color w:val="000000" w:themeColor="text1"/>
        </w:rPr>
        <w:t>‘</w:t>
      </w:r>
      <w:r>
        <w:rPr>
          <w:color w:val="000000" w:themeColor="text1"/>
        </w:rPr>
        <w:t>may reasonably be anticipated both to endanger public health and to endanger public welfare</w:t>
      </w:r>
      <w:r w:rsidR="004F1D1C">
        <w:rPr>
          <w:color w:val="000000" w:themeColor="text1"/>
        </w:rPr>
        <w:t>’</w:t>
      </w:r>
      <w:r>
        <w:rPr>
          <w:color w:val="000000" w:themeColor="text1"/>
        </w:rPr>
        <w:t xml:space="preserve"> as a result of various environmental effects caused by GHG pollution, including worsening air pollution, changes in extreme weather conditions, and even increases in </w:t>
      </w:r>
      <w:r w:rsidR="004F1D1C">
        <w:rPr>
          <w:color w:val="000000" w:themeColor="text1"/>
        </w:rPr>
        <w:t>‘</w:t>
      </w:r>
      <w:r>
        <w:rPr>
          <w:color w:val="000000" w:themeColor="text1"/>
        </w:rPr>
        <w:t>food- and water-borne pathogens</w:t>
      </w:r>
      <w:r w:rsidR="004F1D1C">
        <w:rPr>
          <w:color w:val="000000" w:themeColor="text1"/>
        </w:rPr>
        <w:t>’</w:t>
      </w:r>
      <w:r>
        <w:rPr>
          <w:color w:val="000000" w:themeColor="text1"/>
        </w:rPr>
        <w:t xml:space="preserve"> (No. 239, 274 F.R. 66495, p. 3). </w:t>
      </w:r>
    </w:p>
    <w:p w14:paraId="052D7FD5" w14:textId="104161AD" w:rsidR="00B61990" w:rsidRDefault="00B61990" w:rsidP="00296F7C">
      <w:pPr>
        <w:pStyle w:val="Newparagraph"/>
        <w:rPr>
          <w:color w:val="000000" w:themeColor="text1"/>
        </w:rPr>
      </w:pPr>
      <w:r>
        <w:rPr>
          <w:color w:val="000000" w:themeColor="text1"/>
        </w:rPr>
        <w:t xml:space="preserve">The </w:t>
      </w:r>
      <w:r w:rsidR="004F1D1C">
        <w:rPr>
          <w:color w:val="000000" w:themeColor="text1"/>
        </w:rPr>
        <w:t>‘</w:t>
      </w:r>
      <w:r>
        <w:rPr>
          <w:color w:val="000000" w:themeColor="text1"/>
        </w:rPr>
        <w:t>endangerment finding</w:t>
      </w:r>
      <w:r w:rsidR="004F1D1C">
        <w:rPr>
          <w:color w:val="000000" w:themeColor="text1"/>
        </w:rPr>
        <w:t>’</w:t>
      </w:r>
      <w:r>
        <w:rPr>
          <w:color w:val="000000" w:themeColor="text1"/>
        </w:rPr>
        <w:t xml:space="preserve"> was initiated in response to the U.S. Supreme Court’s finding in the case </w:t>
      </w:r>
      <w:r>
        <w:rPr>
          <w:i/>
          <w:iCs/>
          <w:color w:val="000000" w:themeColor="text1"/>
        </w:rPr>
        <w:t>Massachusetts v. EPA</w:t>
      </w:r>
      <w:r>
        <w:rPr>
          <w:color w:val="000000" w:themeColor="text1"/>
        </w:rPr>
        <w:t xml:space="preserve"> (2007) on April 2, 2007, when the court found that the EPA administrator must reach a finding on whether GHGs produced by new motor vehicles can be expected to endanger the public welfare. The finding’s official conclusion that GHG emissions impact public welfare was significant in establishing the background for future GHG emissions standards (U.S. EPA </w:t>
      </w:r>
      <w:proofErr w:type="spellStart"/>
      <w:r>
        <w:rPr>
          <w:color w:val="000000" w:themeColor="text1"/>
        </w:rPr>
        <w:t>n.d.b</w:t>
      </w:r>
      <w:proofErr w:type="spellEnd"/>
      <w:r>
        <w:rPr>
          <w:color w:val="000000" w:themeColor="text1"/>
        </w:rPr>
        <w:t xml:space="preserve">). For instance, on January 2, 2011, two of the EPA’s stationary source emissions permitting programs, the Prevent of Significant Deterioration (PSD) program and the </w:t>
      </w:r>
      <w:r>
        <w:rPr>
          <w:color w:val="000000" w:themeColor="text1"/>
        </w:rPr>
        <w:lastRenderedPageBreak/>
        <w:t xml:space="preserve">Title V Operating Permit program, was expanded to include greenhouse gasses among the requirements for emissions permits. However, these new GHG-related requirements needed to be adjusted by the EPA in response to federal court decisions challenging these changes (U.S. EPA </w:t>
      </w:r>
      <w:proofErr w:type="spellStart"/>
      <w:r>
        <w:rPr>
          <w:color w:val="000000" w:themeColor="text1"/>
        </w:rPr>
        <w:t>n.d.a</w:t>
      </w:r>
      <w:proofErr w:type="spellEnd"/>
      <w:r>
        <w:rPr>
          <w:color w:val="000000" w:themeColor="text1"/>
        </w:rPr>
        <w:t xml:space="preserve">). </w:t>
      </w:r>
    </w:p>
    <w:p w14:paraId="3D8DC9CC" w14:textId="374CF30E" w:rsidR="00B61990" w:rsidRDefault="00B61990" w:rsidP="00296F7C">
      <w:pPr>
        <w:pStyle w:val="Newparagraph"/>
        <w:rPr>
          <w:color w:val="000000" w:themeColor="text1"/>
        </w:rPr>
      </w:pPr>
      <w:r>
        <w:rPr>
          <w:color w:val="000000" w:themeColor="text1"/>
        </w:rPr>
        <w:t xml:space="preserve">Federal regulation of mobile emissions sources has similarly been shaped by concerns over greenhouse gasses, an example being the implementation of emissions rules targeting medium- and heavy-duty trucks. In August 2011, new fuel economy and greenhouse gas emissions standards targeting these vehicles were issued through a joint effort by the U.S. EPA and the National Highway Traffic Safety Administration (NHTSA), specifically affecting vehicles with model years from 2014 to 2018. These standards were further updated from the original Phase 1 standards to newer Phase 2 standards in August 2016 (U.S. EPA </w:t>
      </w:r>
      <w:proofErr w:type="spellStart"/>
      <w:r>
        <w:rPr>
          <w:color w:val="000000" w:themeColor="text1"/>
        </w:rPr>
        <w:t>n.d.d</w:t>
      </w:r>
      <w:proofErr w:type="spellEnd"/>
      <w:r>
        <w:rPr>
          <w:color w:val="000000" w:themeColor="text1"/>
        </w:rPr>
        <w:t>).</w:t>
      </w:r>
    </w:p>
    <w:p w14:paraId="03837287" w14:textId="396517CB" w:rsidR="00B61990" w:rsidRDefault="00B61990" w:rsidP="00BD74C9">
      <w:pPr>
        <w:pStyle w:val="Heading2"/>
        <w:rPr>
          <w:rFonts w:eastAsiaTheme="minorEastAsia"/>
        </w:rPr>
      </w:pPr>
      <w:bookmarkStart w:id="3" w:name="_Toc94291197"/>
      <w:r>
        <w:rPr>
          <w:rFonts w:eastAsiaTheme="minorEastAsia"/>
        </w:rPr>
        <w:t>International Perspectives</w:t>
      </w:r>
      <w:bookmarkEnd w:id="3"/>
    </w:p>
    <w:p w14:paraId="64CD493B" w14:textId="28374EFF" w:rsidR="00B61990" w:rsidRDefault="00B61990" w:rsidP="00296F7C">
      <w:pPr>
        <w:pStyle w:val="Paragraph"/>
      </w:pPr>
      <w:r>
        <w:t xml:space="preserve">Internationally, there have been multiple prominent climate change treaties implemented in recent decades, especially through the United Nations. The oldest of these major international climate legislation efforts is the United Nations Framework Convention on Climate Change (UNFCCC). It was created with the specific goal of promoting the stability of atmospheric greenhouse gasses </w:t>
      </w:r>
      <w:r w:rsidR="004F1D1C">
        <w:t>‘</w:t>
      </w:r>
      <w:r>
        <w:t>at a level that would prevent dangerous anthropogenic interference with the climate system</w:t>
      </w:r>
      <w:r w:rsidR="004F1D1C">
        <w:t>’</w:t>
      </w:r>
      <w:r>
        <w:t xml:space="preserve"> (United Nations 1992, 3). </w:t>
      </w:r>
      <w:r w:rsidR="00AA18E5">
        <w:t xml:space="preserve">The UNFCCC entered into force on March 21, 1994, and there are currently 197 parties to the treaty (UNTC </w:t>
      </w:r>
      <w:proofErr w:type="spellStart"/>
      <w:r w:rsidR="00AA18E5">
        <w:t>n.d.b</w:t>
      </w:r>
      <w:proofErr w:type="spellEnd"/>
      <w:r w:rsidR="00AA18E5">
        <w:t xml:space="preserve">). Industrialized countries and their efforts to reduce GHG emissions form the foundation for the treaty, as these nations account for much of the world’s GHG emissions and have more financial resources available for efforts aimed at limiting emissions. These parties to the treaty, which are categorized into ‘Annex I’ under the UNFCCC have greater obligations, agree to regularly submit </w:t>
      </w:r>
      <w:r w:rsidR="00AA18E5">
        <w:lastRenderedPageBreak/>
        <w:t xml:space="preserve">reports to the UN documenting both their climate change policies and their annual greenhouse gas emissions. Also, these ‘Annex I’ states agree under the treaty to provide financial assistance to developing countries to assist their climate efforts, while ‘non-Annex I’ states do not agree to do the same and are subject to less stringent climate reporting requirements (UNFCCC </w:t>
      </w:r>
      <w:proofErr w:type="spellStart"/>
      <w:r w:rsidR="00AA18E5">
        <w:t>n.d.d</w:t>
      </w:r>
      <w:proofErr w:type="spellEnd"/>
      <w:r w:rsidR="00AA18E5">
        <w:t>).</w:t>
      </w:r>
      <w:r w:rsidR="00AA18E5">
        <w:t xml:space="preserve"> </w:t>
      </w:r>
      <w:r>
        <w:t>The UNFCCC was not sufficient by itself to change global climate policies, leading to the creation of the Kyoto Protocol to address these limitations.</w:t>
      </w:r>
    </w:p>
    <w:p w14:paraId="327F525F" w14:textId="0CE3676F" w:rsidR="00B61990" w:rsidRPr="00296F7C" w:rsidRDefault="00B61990" w:rsidP="00296F7C">
      <w:pPr>
        <w:pStyle w:val="Newparagraph"/>
      </w:pPr>
      <w:r w:rsidRPr="00296F7C">
        <w:t xml:space="preserve">Whereas the UNFCCC establishes the framework for these obligations and reporting requirements, the Kyoto Protocol is a binding treaty pursuing new climate policies. </w:t>
      </w:r>
      <w:r w:rsidR="00AA18E5" w:rsidRPr="00296F7C">
        <w:t xml:space="preserve">While the Kyoto Protocol was adopted on December 11, 1997, it took years to ratify and only entered into force on February 16, 2005. Furthermore, the original Kyoto Protocol only established emissions commitments for the period of 2008 through 2012, a period known as the ‘first commitment period.’ The treaty was extended with the adoption of the Doha Amendment, which added a second commitment period that lasted from 2013 through 2020 (UNFCCC </w:t>
      </w:r>
      <w:proofErr w:type="spellStart"/>
      <w:r w:rsidR="00AA18E5" w:rsidRPr="00296F7C">
        <w:t>n.d.c</w:t>
      </w:r>
      <w:proofErr w:type="spellEnd"/>
      <w:r w:rsidR="00AA18E5" w:rsidRPr="00296F7C">
        <w:t>).</w:t>
      </w:r>
      <w:r w:rsidR="00AA18E5" w:rsidRPr="00296F7C">
        <w:t xml:space="preserve"> </w:t>
      </w:r>
      <w:r w:rsidRPr="00296F7C">
        <w:t>However, because of the lengthy ratification process of the Doha Amendment, which needed to be accepted by 75% of the parties to the Kyoto Protocol, the amendment only entered into force on December 31, 2020 (UNFCC</w:t>
      </w:r>
      <w:r w:rsidR="00596DEE">
        <w:t>C</w:t>
      </w:r>
      <w:r w:rsidRPr="00296F7C">
        <w:t xml:space="preserve"> </w:t>
      </w:r>
      <w:proofErr w:type="spellStart"/>
      <w:r w:rsidRPr="00296F7C">
        <w:t>n.d.a</w:t>
      </w:r>
      <w:proofErr w:type="spellEnd"/>
      <w:r w:rsidRPr="00296F7C">
        <w:t xml:space="preserve">), a time that was already at the end of the commitment period established by the amendment. </w:t>
      </w:r>
    </w:p>
    <w:p w14:paraId="5987DC9A" w14:textId="795E81C0" w:rsidR="00B61990" w:rsidRPr="00296F7C" w:rsidRDefault="00B61990" w:rsidP="00296F7C">
      <w:pPr>
        <w:pStyle w:val="Newparagraph"/>
      </w:pPr>
      <w:r w:rsidRPr="00296F7C">
        <w:t xml:space="preserve">Following the Kyoto Protocol, the Paris Agreement is the preeminent international climate treaty, which entered into force on November 4, 2016, with 193 parties (UNTC </w:t>
      </w:r>
      <w:proofErr w:type="spellStart"/>
      <w:r w:rsidRPr="00296F7C">
        <w:t>n.d.a</w:t>
      </w:r>
      <w:proofErr w:type="spellEnd"/>
      <w:r w:rsidRPr="00296F7C">
        <w:t xml:space="preserve">). </w:t>
      </w:r>
      <w:r w:rsidR="00CC639B" w:rsidRPr="00296F7C">
        <w:t xml:space="preserve">Under the Paris Agreement, member states are required to create plans every 5 years, known as nationally determined contributions (NDCs), that detail their strategies for reducing greenhouse gasses, and the treaty also provides for the optional creation of long-term plans called long-term low greenhouse gas emission </w:t>
      </w:r>
      <w:r w:rsidR="00CC639B" w:rsidRPr="00296F7C">
        <w:lastRenderedPageBreak/>
        <w:t xml:space="preserve">development strategies (LT-LEDS) by member states. Much like the guidelines under the UNFCCC, the Paris Agreement encourages developed countries to provide financial support to developing countries to help them achieve positive climate goals, though the treaty encourages all member states to help each other if possible (UNFCCC </w:t>
      </w:r>
      <w:proofErr w:type="spellStart"/>
      <w:r w:rsidR="00CC639B" w:rsidRPr="00296F7C">
        <w:t>n.d.b</w:t>
      </w:r>
      <w:proofErr w:type="spellEnd"/>
      <w:r w:rsidR="00CC639B" w:rsidRPr="00296F7C">
        <w:t>).</w:t>
      </w:r>
      <w:r w:rsidR="00CC639B" w:rsidRPr="00296F7C">
        <w:t xml:space="preserve"> </w:t>
      </w:r>
      <w:r w:rsidRPr="00296F7C">
        <w:t xml:space="preserve">The treaty is aimed at ensuring stronger implementation of the UNFCCC by limiting global temperature increases to </w:t>
      </w:r>
      <w:r w:rsidR="004F1D1C" w:rsidRPr="00296F7C">
        <w:t>‘</w:t>
      </w:r>
      <w:r w:rsidRPr="00296F7C">
        <w:t>well below 2°C above pre-industrial levels,</w:t>
      </w:r>
      <w:r w:rsidR="004F1D1C" w:rsidRPr="00296F7C">
        <w:t>’</w:t>
      </w:r>
      <w:r w:rsidRPr="00296F7C">
        <w:t xml:space="preserve"> improving global adaptation to the effects of climate change, and </w:t>
      </w:r>
      <w:r w:rsidR="004F1D1C" w:rsidRPr="00296F7C">
        <w:t>‘</w:t>
      </w:r>
      <w:r w:rsidRPr="00296F7C">
        <w:t>making finance flows consistent</w:t>
      </w:r>
      <w:r w:rsidR="004F1D1C" w:rsidRPr="00296F7C">
        <w:t>’</w:t>
      </w:r>
      <w:r w:rsidRPr="00296F7C">
        <w:t xml:space="preserve"> with these efforts (United Nations 2015, 3).</w:t>
      </w:r>
    </w:p>
    <w:p w14:paraId="1BDE2859" w14:textId="416609BA" w:rsidR="00BD74C9" w:rsidRDefault="00BD74C9" w:rsidP="00BD74C9">
      <w:pPr>
        <w:pStyle w:val="Heading1"/>
      </w:pPr>
      <w:r>
        <w:t>Climate risk disclosure literature</w:t>
      </w:r>
    </w:p>
    <w:p w14:paraId="31E1560A" w14:textId="028FFAD1" w:rsidR="00332A4E" w:rsidRDefault="00332A4E" w:rsidP="00BD74C9">
      <w:pPr>
        <w:pStyle w:val="Heading2"/>
        <w:rPr>
          <w:rFonts w:eastAsiaTheme="minorEastAsia"/>
        </w:rPr>
      </w:pPr>
      <w:bookmarkStart w:id="4" w:name="_Toc94291199"/>
      <w:r>
        <w:rPr>
          <w:rFonts w:eastAsiaTheme="minorEastAsia"/>
        </w:rPr>
        <w:t>Studies on the Driving Forces of Climate Change Risk Disclosure</w:t>
      </w:r>
      <w:bookmarkEnd w:id="4"/>
    </w:p>
    <w:p w14:paraId="2CAE88DD" w14:textId="60BECAEE" w:rsidR="00332A4E" w:rsidRDefault="00332A4E" w:rsidP="0054335E">
      <w:pPr>
        <w:pStyle w:val="Paragraph"/>
      </w:pPr>
      <w:r>
        <w:t>Investors, other stakeholders, and external factors such as environmental regulation and legislation apply pressure on firms to publish sustainability disclosures and pursue improvements in environmental sustainability. Rankin</w:t>
      </w:r>
      <w:r w:rsidR="00E747A2">
        <w:t xml:space="preserve">, Windsor, and </w:t>
      </w:r>
      <w:proofErr w:type="spellStart"/>
      <w:r w:rsidR="00E747A2">
        <w:t>Wahyuni</w:t>
      </w:r>
      <w:proofErr w:type="spellEnd"/>
      <w:r>
        <w:t xml:space="preserve"> (2011) confirm that corporate sustainability disclosure practices are influenced both by external forces, such as non</w:t>
      </w:r>
      <w:r w:rsidR="00E747A2">
        <w:t>-</w:t>
      </w:r>
      <w:r>
        <w:t xml:space="preserve">profit organizations (NGO), and by characteristics of firms’ internal management practices for a set of Australian firms. Li et al. (2018) explore the complex relationships between corporate carbon disclosures and environmental legitimacy, the concept of others’ positive perceptions of an organization’s environmental performance. They find that corporate sustainability disclosure practices are influenced by the public’s perception of firms’ environmental legitimacy. The influence of these external forces extends past sustainability disclosure practices and guides firms’ other sustainability efforts. </w:t>
      </w:r>
    </w:p>
    <w:p w14:paraId="3EC547D9" w14:textId="165C1981" w:rsidR="00332A4E" w:rsidRDefault="00332A4E" w:rsidP="0054335E">
      <w:pPr>
        <w:pStyle w:val="Newparagraph"/>
      </w:pPr>
      <w:proofErr w:type="spellStart"/>
      <w:r>
        <w:t>Berrone</w:t>
      </w:r>
      <w:proofErr w:type="spellEnd"/>
      <w:r>
        <w:t xml:space="preserve"> et al. (2013) use data about environment-related patent filings in the U.S. to assess the relationship between green innovation by firms, and the various </w:t>
      </w:r>
      <w:r>
        <w:lastRenderedPageBreak/>
        <w:t xml:space="preserve">regulatory and normative influences impacting these firms’ sustainability responses. They find that greater external forces from these sources have a positive influence on firms’ green innovation efforts. Similarly, </w:t>
      </w:r>
      <w:proofErr w:type="spellStart"/>
      <w:r>
        <w:t>Cadez</w:t>
      </w:r>
      <w:proofErr w:type="spellEnd"/>
      <w:r w:rsidR="00E747A2">
        <w:t xml:space="preserve">, Czerny, and </w:t>
      </w:r>
      <w:proofErr w:type="spellStart"/>
      <w:r w:rsidR="00E747A2">
        <w:t>Letmathe</w:t>
      </w:r>
      <w:proofErr w:type="spellEnd"/>
      <w:r>
        <w:t xml:space="preserve"> (2019) analy</w:t>
      </w:r>
      <w:r w:rsidR="00E747A2">
        <w:t>s</w:t>
      </w:r>
      <w:r>
        <w:t xml:space="preserve">e both the influences and effects of corporate sustainability efforts using a survey of 247 firms that participate in the European Union’s emissions trading system (ETS). They find that pressures from external market participants have a positive impact on firms’ internal environmental sustainability strategies. Furthermore, the researchers confirm that the implementation of strategies for reducing greenhouse gas emissions has a significant impact on firms’ actual emissions. </w:t>
      </w:r>
      <w:proofErr w:type="spellStart"/>
      <w:r>
        <w:t>Burtraw</w:t>
      </w:r>
      <w:proofErr w:type="spellEnd"/>
      <w:r>
        <w:t xml:space="preserve"> et al. (2022) also confirm this impact.</w:t>
      </w:r>
    </w:p>
    <w:p w14:paraId="31622733" w14:textId="080AEE4E" w:rsidR="00332A4E" w:rsidRDefault="00332A4E" w:rsidP="0054335E">
      <w:pPr>
        <w:pStyle w:val="Newparagraph"/>
      </w:pPr>
      <w:r>
        <w:t>Internal factors within an organization also strongly influence a firm’s decision to voluntarily publish sustainability disclosures. For instance, the backgrounds of a firm’s top executives can influence the firm’s decisions made about implementing environmental disclosure practices. Lewis</w:t>
      </w:r>
      <w:r w:rsidR="00E747A2">
        <w:t>, Walls, and Dowell</w:t>
      </w:r>
      <w:r>
        <w:t xml:space="preserve"> (2014) explore this by assessing how both the educational background and length of tenure of CEOs impact the sustainability disclosures their firms publish through the Carbon Disclosure Project. They find that firms whose CEOs have an MBA are more likely to have responded to the CDP survey, and firms whose CEOs have a legal background are less likely to have done so. In addition, firms with newer CEOs are more likely to respond to the CDP survey than those with longer-serving CEOs. </w:t>
      </w:r>
    </w:p>
    <w:p w14:paraId="1D86A16D" w14:textId="365EEF2F" w:rsidR="00332A4E" w:rsidRDefault="00332A4E" w:rsidP="0054335E">
      <w:pPr>
        <w:pStyle w:val="Newparagraph"/>
      </w:pPr>
      <w:r>
        <w:t>Ben-Amar</w:t>
      </w:r>
      <w:r w:rsidR="00E747A2">
        <w:t xml:space="preserve">, Chang, and </w:t>
      </w:r>
      <w:proofErr w:type="spellStart"/>
      <w:r w:rsidR="00E747A2">
        <w:t>McIlkenny</w:t>
      </w:r>
      <w:proofErr w:type="spellEnd"/>
      <w:r w:rsidR="00E747A2">
        <w:t xml:space="preserve"> </w:t>
      </w:r>
      <w:r>
        <w:t xml:space="preserve">(2017) identify the effect that the gender diversity of a firm’s board of directors has on the firm’s choice of </w:t>
      </w:r>
      <w:proofErr w:type="gramStart"/>
      <w:r>
        <w:t>whether or not</w:t>
      </w:r>
      <w:proofErr w:type="gramEnd"/>
      <w:r>
        <w:t xml:space="preserve"> to voluntarily disclose climate risks. They survey a collection of </w:t>
      </w:r>
      <w:proofErr w:type="gramStart"/>
      <w:r>
        <w:t>publicly-traded</w:t>
      </w:r>
      <w:proofErr w:type="gramEnd"/>
      <w:r>
        <w:t xml:space="preserve"> Canadian firms and their responses to the annual CDP survey from 2008 to 2014. The findings are that greater female representation on the boards of these firms is positively correlated to </w:t>
      </w:r>
      <w:r>
        <w:lastRenderedPageBreak/>
        <w:t xml:space="preserve">their likelihood of publishing voluntary climate risk disclosures. While these two </w:t>
      </w:r>
      <w:proofErr w:type="gramStart"/>
      <w:r>
        <w:t>aforementioned studies</w:t>
      </w:r>
      <w:proofErr w:type="gramEnd"/>
      <w:r>
        <w:t xml:space="preserve"> focus on two very different aspects of corporate management, they both show how management personnel with different perspectives can impact corporate sustainability disclosure practices.</w:t>
      </w:r>
    </w:p>
    <w:p w14:paraId="50EB9A87" w14:textId="5FFB48EB" w:rsidR="00332A4E" w:rsidRDefault="00332A4E" w:rsidP="00BD74C9">
      <w:pPr>
        <w:pStyle w:val="Heading2"/>
        <w:rPr>
          <w:rFonts w:eastAsiaTheme="minorEastAsia"/>
        </w:rPr>
      </w:pPr>
      <w:bookmarkStart w:id="5" w:name="_Toc94291200"/>
      <w:r>
        <w:rPr>
          <w:rFonts w:eastAsiaTheme="minorEastAsia"/>
        </w:rPr>
        <w:t>Studies on the Content of Corporate Sustainability Disclosures</w:t>
      </w:r>
      <w:bookmarkEnd w:id="5"/>
    </w:p>
    <w:p w14:paraId="79941544" w14:textId="77777777" w:rsidR="00332A4E" w:rsidRDefault="00332A4E" w:rsidP="0054335E">
      <w:pPr>
        <w:pStyle w:val="Paragraph"/>
      </w:pPr>
      <w:r>
        <w:t>Previous literature on corporate sustainability disclosures applies a variety of analytical methodologies, perhaps the most notable differentiating factor being the decision to conduct either manual text analysis or automatic text analysis. The size of the dataset used in this paper precludes the use of a manual text analysis process for describing the content of the raw data, though some past research in this area applies various manual analysis approaches to the analysis of corporate sustainability disclosures.</w:t>
      </w:r>
    </w:p>
    <w:p w14:paraId="4100C4F1" w14:textId="51D0C127" w:rsidR="00332A4E" w:rsidRDefault="00332A4E" w:rsidP="0054335E">
      <w:pPr>
        <w:pStyle w:val="Newparagraph"/>
      </w:pPr>
      <w:r>
        <w:t>Due to their prominence and extensiveness, sustainability reports published by firms through either the Carbon Disclosure Project or the Global Reporting Initiative (GRI) have frequently been used by researchers to compile their datasets. For instance, Kolk</w:t>
      </w:r>
      <w:r w:rsidR="00E747A2">
        <w:t xml:space="preserve">, Levy, and </w:t>
      </w:r>
      <w:proofErr w:type="spellStart"/>
      <w:r w:rsidR="00E747A2">
        <w:t>Pinkse</w:t>
      </w:r>
      <w:proofErr w:type="spellEnd"/>
      <w:r>
        <w:t xml:space="preserve"> (2008) analy</w:t>
      </w:r>
      <w:r w:rsidR="00E747A2">
        <w:t>s</w:t>
      </w:r>
      <w:r>
        <w:t xml:space="preserve">ed the sustainability disclosures published by 380 large firms through the Carbon Disclosure Project in 2007, focusing on the extent to which firms disclose or discuss carbon emissions in these reports, and using a text analysis package named QSR NVivo 7 to aid in the analysis of the text. This software package is not used to complete an unsupervised analysis of the text but is applied by the researchers to help identify relevant information within the large dataset. </w:t>
      </w:r>
    </w:p>
    <w:p w14:paraId="5590397A" w14:textId="77777777" w:rsidR="00332A4E" w:rsidRDefault="00332A4E" w:rsidP="0054335E">
      <w:pPr>
        <w:pStyle w:val="Newparagraph"/>
      </w:pPr>
      <w:r>
        <w:t xml:space="preserve">Landrum and </w:t>
      </w:r>
      <w:proofErr w:type="spellStart"/>
      <w:r>
        <w:t>Ohsowski</w:t>
      </w:r>
      <w:proofErr w:type="spellEnd"/>
      <w:r>
        <w:t xml:space="preserve"> (2018) use the GRI database to retrieve sustainability reports that both adhere to the GRI standards yet do not conform to the GRI reporting guidelines. They use text mining, statistical analysis, and a manual form of analysis named </w:t>
      </w:r>
      <w:r>
        <w:rPr>
          <w:i/>
          <w:iCs/>
        </w:rPr>
        <w:t>content analysis</w:t>
      </w:r>
      <w:r>
        <w:t xml:space="preserve"> to determine firms’ worldviews of corporate sustainability. Similarly, </w:t>
      </w:r>
      <w:proofErr w:type="spellStart"/>
      <w:r>
        <w:t>Avrampou</w:t>
      </w:r>
      <w:proofErr w:type="spellEnd"/>
      <w:r>
        <w:t xml:space="preserve"> et al. (2019) focus specifically on sustainability disclosures that </w:t>
      </w:r>
      <w:r>
        <w:lastRenderedPageBreak/>
        <w:t>adhere to the GRI’s principles in their analysis of how Europe’s top banks are pursuing the UN’s Sustainable Development Goals and develop a scoring system to rate the firms’ efforts.</w:t>
      </w:r>
    </w:p>
    <w:p w14:paraId="18F9D4B0" w14:textId="02B0010E" w:rsidR="00332A4E" w:rsidRDefault="00332A4E" w:rsidP="0054335E">
      <w:pPr>
        <w:pStyle w:val="Newparagraph"/>
      </w:pPr>
      <w:r>
        <w:t xml:space="preserve">Some researchers conduct their analysis using sustainability disclosures published through firms’ annual reports or similar corporate reports, sometimes in conjunction with other data sources like disclosures located through the CDP or the GRI database. </w:t>
      </w:r>
      <w:proofErr w:type="spellStart"/>
      <w:r>
        <w:t>Jizi</w:t>
      </w:r>
      <w:proofErr w:type="spellEnd"/>
      <w:r>
        <w:t xml:space="preserve"> et al. (2014) examine the possible effects of corporate governance on U.S. banks’ CSR disclosure practices and use the CSR disclosures included within 291 of these firms’ annual reports to compile their dataset. </w:t>
      </w:r>
      <w:proofErr w:type="spellStart"/>
      <w:r>
        <w:t>Michelon</w:t>
      </w:r>
      <w:proofErr w:type="spellEnd"/>
      <w:r w:rsidR="00E747A2">
        <w:t xml:space="preserve">, </w:t>
      </w:r>
      <w:proofErr w:type="spellStart"/>
      <w:r w:rsidR="00E747A2">
        <w:t>Pilonato</w:t>
      </w:r>
      <w:proofErr w:type="spellEnd"/>
      <w:r w:rsidR="00E747A2">
        <w:t xml:space="preserve">, and </w:t>
      </w:r>
      <w:proofErr w:type="spellStart"/>
      <w:r w:rsidR="00E747A2">
        <w:t>Ricceri</w:t>
      </w:r>
      <w:proofErr w:type="spellEnd"/>
      <w:r w:rsidR="00E747A2">
        <w:t xml:space="preserve"> </w:t>
      </w:r>
      <w:r>
        <w:t>(2015) study the content of sustainability disclosures published over three years by 112 firms listed on the London Stock Exchange to measure firms’ use of both substantive and symbolic disclosure practices. They use both stand-alone reports and sustainability reports included within the annual reports to form their dataset. A similar content analysis procedure is employed to anal</w:t>
      </w:r>
      <w:r w:rsidR="00E747A2">
        <w:t>ys</w:t>
      </w:r>
      <w:r>
        <w:t xml:space="preserve">e the data through multiple dimensions and quantify the results. </w:t>
      </w:r>
      <w:proofErr w:type="spellStart"/>
      <w:r>
        <w:t>Depoers</w:t>
      </w:r>
      <w:proofErr w:type="spellEnd"/>
      <w:r w:rsidR="00E747A2">
        <w:t xml:space="preserve">, </w:t>
      </w:r>
      <w:proofErr w:type="spellStart"/>
      <w:r w:rsidR="00E747A2">
        <w:t>Jeanjean</w:t>
      </w:r>
      <w:proofErr w:type="spellEnd"/>
      <w:r w:rsidR="00E747A2">
        <w:t xml:space="preserve">, and </w:t>
      </w:r>
      <w:r w:rsidR="00E747A2">
        <w:t>Jérôme</w:t>
      </w:r>
      <w:r>
        <w:t xml:space="preserve"> (2016) also use content analysis to help determine discrepancies between disclosures included in firms’ corporate reports and CDP reports.</w:t>
      </w:r>
    </w:p>
    <w:p w14:paraId="436135D6" w14:textId="23C55756" w:rsidR="00332A4E" w:rsidRDefault="00332A4E" w:rsidP="00BD74C9">
      <w:pPr>
        <w:pStyle w:val="Heading2"/>
        <w:rPr>
          <w:rFonts w:eastAsiaTheme="minorEastAsia"/>
        </w:rPr>
      </w:pPr>
      <w:bookmarkStart w:id="6" w:name="_Toc94291201"/>
      <w:r>
        <w:rPr>
          <w:rFonts w:eastAsiaTheme="minorEastAsia"/>
        </w:rPr>
        <w:t>Studies on the Methodology of Disclosure Analysis</w:t>
      </w:r>
      <w:bookmarkEnd w:id="6"/>
    </w:p>
    <w:p w14:paraId="035B1AAD" w14:textId="4077FF5A" w:rsidR="00332A4E" w:rsidRDefault="00332A4E" w:rsidP="0054335E">
      <w:pPr>
        <w:pStyle w:val="Paragraph"/>
      </w:pPr>
      <w:r>
        <w:t xml:space="preserve">Our use of word clouds for text visualization and analysis is not unique, as word clouds have been used for similar purposes in past literature. For instance, Wang et al. (2016) include word clouds for the visualization of the topics generated through their Latent Dirichlet Allocation (LDA) analysis of health sciences literature, where the words included in the word clouds are displayed with a size that is proportional to their frequency within the topic. Within the field of corporate sustainability research, </w:t>
      </w:r>
      <w:proofErr w:type="spellStart"/>
      <w:r>
        <w:t>Benites</w:t>
      </w:r>
      <w:proofErr w:type="spellEnd"/>
      <w:r>
        <w:t>-Lazaro</w:t>
      </w:r>
      <w:r w:rsidR="00E40BF4">
        <w:t xml:space="preserve">, </w:t>
      </w:r>
      <w:proofErr w:type="spellStart"/>
      <w:r w:rsidR="00E40BF4">
        <w:t>Giatti</w:t>
      </w:r>
      <w:proofErr w:type="spellEnd"/>
      <w:r w:rsidR="00E40BF4">
        <w:t xml:space="preserve">, and </w:t>
      </w:r>
      <w:proofErr w:type="spellStart"/>
      <w:r w:rsidR="00E40BF4">
        <w:t>Giarolla</w:t>
      </w:r>
      <w:proofErr w:type="spellEnd"/>
      <w:r>
        <w:t xml:space="preserve"> (2018b) use simple word clouds to visualize the </w:t>
      </w:r>
      <w:r>
        <w:lastRenderedPageBreak/>
        <w:t xml:space="preserve">most </w:t>
      </w:r>
      <w:proofErr w:type="gramStart"/>
      <w:r>
        <w:t>frequently-included</w:t>
      </w:r>
      <w:proofErr w:type="gramEnd"/>
      <w:r>
        <w:t xml:space="preserve"> words in each of the 36 topics generated through their LDA topic model</w:t>
      </w:r>
      <w:r w:rsidR="00E40BF4">
        <w:t>l</w:t>
      </w:r>
      <w:r>
        <w:t xml:space="preserve">ing. </w:t>
      </w:r>
      <w:proofErr w:type="spellStart"/>
      <w:r>
        <w:t>Palanichamy</w:t>
      </w:r>
      <w:proofErr w:type="spellEnd"/>
      <w:r w:rsidR="00E40BF4">
        <w:t xml:space="preserve">, </w:t>
      </w:r>
      <w:proofErr w:type="spellStart"/>
      <w:r w:rsidR="00E40BF4">
        <w:t>Kargar</w:t>
      </w:r>
      <w:proofErr w:type="spellEnd"/>
      <w:r w:rsidR="00E40BF4">
        <w:t xml:space="preserve">, and </w:t>
      </w:r>
      <w:proofErr w:type="spellStart"/>
      <w:r w:rsidR="00E40BF4">
        <w:t>Zolfagharinia</w:t>
      </w:r>
      <w:proofErr w:type="spellEnd"/>
      <w:r>
        <w:t xml:space="preserve"> (2021) also apply word clouds in their topic model</w:t>
      </w:r>
      <w:r w:rsidR="00E40BF4">
        <w:t>l</w:t>
      </w:r>
      <w:r>
        <w:t>ing analysis of the abstracts of academic literature published in the field of environmental science and engineering, using them to visualize the relative frequency of the highest-frequency bigrams found within the 20 topics identified through their LDA model</w:t>
      </w:r>
      <w:r w:rsidR="00E40BF4">
        <w:t>l</w:t>
      </w:r>
      <w:r>
        <w:t>ing.</w:t>
      </w:r>
    </w:p>
    <w:p w14:paraId="591B20B5" w14:textId="7B04D2E3" w:rsidR="00332A4E" w:rsidRDefault="00332A4E" w:rsidP="0054335E">
      <w:pPr>
        <w:pStyle w:val="Newparagraph"/>
      </w:pPr>
      <w:r>
        <w:t>Latent Dirichlet allocation has been used successfully by researchers in other fields as a method of automatic text content analysis. For instance, DiMaggio</w:t>
      </w:r>
      <w:r w:rsidR="00E40BF4">
        <w:t xml:space="preserve">, Nag, and </w:t>
      </w:r>
      <w:proofErr w:type="spellStart"/>
      <w:r w:rsidR="00E40BF4">
        <w:t>Blei</w:t>
      </w:r>
      <w:proofErr w:type="spellEnd"/>
      <w:r>
        <w:t xml:space="preserve"> (2013) demonstrate the use of LDA in sociology research by </w:t>
      </w:r>
      <w:r w:rsidR="00E40BF4">
        <w:t>analysing</w:t>
      </w:r>
      <w:r>
        <w:t xml:space="preserve"> newspaper coverage relating to the government’s support of the arts in the U.S. </w:t>
      </w:r>
      <w:proofErr w:type="gramStart"/>
      <w:r>
        <w:t>In particular, their</w:t>
      </w:r>
      <w:proofErr w:type="gramEnd"/>
      <w:r>
        <w:t xml:space="preserve"> study indicates the value of LDA analysis in identifying topics within and among lengthy documents. Similarly, </w:t>
      </w:r>
      <w:proofErr w:type="spellStart"/>
      <w:r>
        <w:t>Palanichamy</w:t>
      </w:r>
      <w:proofErr w:type="spellEnd"/>
      <w:r w:rsidR="00894EF3">
        <w:t xml:space="preserve">, </w:t>
      </w:r>
      <w:proofErr w:type="spellStart"/>
      <w:r w:rsidR="00894EF3">
        <w:t>Kargar</w:t>
      </w:r>
      <w:proofErr w:type="spellEnd"/>
      <w:r w:rsidR="00894EF3">
        <w:t xml:space="preserve">, and </w:t>
      </w:r>
      <w:proofErr w:type="spellStart"/>
      <w:r w:rsidR="00894EF3">
        <w:t>Zolfagharinia</w:t>
      </w:r>
      <w:proofErr w:type="spellEnd"/>
      <w:r>
        <w:t xml:space="preserve"> (2021) use LDA model</w:t>
      </w:r>
      <w:r w:rsidR="00894EF3">
        <w:t>l</w:t>
      </w:r>
      <w:r>
        <w:t xml:space="preserve">ing to find trends in the academic literature in the fields of environmental science and engineering. The researchers assemble a collection of abstracts from 3,572 academic articles within </w:t>
      </w:r>
      <w:proofErr w:type="gramStart"/>
      <w:r>
        <w:t>these fields and use LDA analysis</w:t>
      </w:r>
      <w:proofErr w:type="gramEnd"/>
      <w:r>
        <w:t xml:space="preserve"> to create a 20-topic model of the text corpus. </w:t>
      </w:r>
    </w:p>
    <w:p w14:paraId="00C2B2FF" w14:textId="5DB926E2" w:rsidR="00332A4E" w:rsidRDefault="00332A4E" w:rsidP="0054335E">
      <w:pPr>
        <w:pStyle w:val="Newparagraph"/>
      </w:pPr>
      <w:r>
        <w:t>The ability of LDA to find meaningful topics of discussion within large text collections lends itself to applications in business research, particularly in the automatic content analysis of user-generated content. Its use in the analysis of an impressively large dataset is demonstrated by Liu</w:t>
      </w:r>
      <w:r w:rsidR="00894EF3">
        <w:t>, Burns, and Hou</w:t>
      </w:r>
      <w:r>
        <w:t xml:space="preserve"> (2017), who combine LDA and sentiment analysis to analy</w:t>
      </w:r>
      <w:r w:rsidR="00894EF3">
        <w:t>s</w:t>
      </w:r>
      <w:r>
        <w:t xml:space="preserve">e consumer sentiment towards 20 large brands expressed through 1.7 million tweets. The study allows for the determination of both what consumers discuss most frequently regarding these brands and the degree of positivity shown by consumers. </w:t>
      </w:r>
    </w:p>
    <w:p w14:paraId="4859A20D" w14:textId="6CE13AC8" w:rsidR="00332A4E" w:rsidRDefault="00332A4E" w:rsidP="0054335E">
      <w:pPr>
        <w:pStyle w:val="Newparagraph"/>
      </w:pPr>
      <w:r>
        <w:lastRenderedPageBreak/>
        <w:t xml:space="preserve">LDA’s proficiency at generating meaningful topic models from large collections of short documents has also been applied to customer reviews analysis. </w:t>
      </w:r>
      <w:proofErr w:type="spellStart"/>
      <w:r>
        <w:t>Büschken</w:t>
      </w:r>
      <w:proofErr w:type="spellEnd"/>
      <w:r>
        <w:t xml:space="preserve"> and Allenby (2016) test the accuracy of LDA by analy</w:t>
      </w:r>
      <w:r w:rsidR="00894EF3">
        <w:t>s</w:t>
      </w:r>
      <w:r>
        <w:t>ing the content of customer reviews collected from Italian restaurants and hotels and compare the LDA model’s results with those of modified versions of LDA developed by the researchers. Similarly, Guo</w:t>
      </w:r>
      <w:r w:rsidR="00894EF3">
        <w:t>, Barnes, and Jia</w:t>
      </w:r>
      <w:r>
        <w:t xml:space="preserve"> (2017) </w:t>
      </w:r>
      <w:r w:rsidR="00894EF3">
        <w:t>analyse</w:t>
      </w:r>
      <w:r>
        <w:t xml:space="preserve"> a broad collection of online hotel reviews with LDA and generate a 30-topic LDA model from a corpus of 266,544 reviews written by customers of 25,670 hotels from 16 countries. The results of the model show 25 different dimensions of customer satisfaction and provide insights into which characteristics of hotel visits are most worth </w:t>
      </w:r>
      <w:r w:rsidR="00894EF3">
        <w:t>addressing</w:t>
      </w:r>
      <w:r>
        <w:t xml:space="preserve"> for improving customer satisfaction. Bi et al. (2019) incorporate LDA mode</w:t>
      </w:r>
      <w:r w:rsidR="00894EF3">
        <w:t>l</w:t>
      </w:r>
      <w:r>
        <w:t xml:space="preserve">ling in their development of a new process for conducting importance-performance analysis (IPA) by using LDA to identify important service and product attributes discussed in hotel reviews. </w:t>
      </w:r>
    </w:p>
    <w:p w14:paraId="31AA9628" w14:textId="1300469A" w:rsidR="00332A4E" w:rsidRDefault="00332A4E" w:rsidP="0054335E">
      <w:pPr>
        <w:pStyle w:val="Newparagraph"/>
      </w:pPr>
      <w:r>
        <w:t>Automatic content analysis of textual data, including the use of latent Dirichlet allocation, has been previously applied in the field of sustainability research for analy</w:t>
      </w:r>
      <w:r w:rsidR="00894EF3">
        <w:t>s</w:t>
      </w:r>
      <w:r>
        <w:t>ing firms’ sustainability disclosures. Liew</w:t>
      </w:r>
      <w:r w:rsidR="00894EF3">
        <w:t xml:space="preserve">, </w:t>
      </w:r>
      <w:proofErr w:type="spellStart"/>
      <w:r w:rsidR="00894EF3">
        <w:t>Adhitya</w:t>
      </w:r>
      <w:proofErr w:type="spellEnd"/>
      <w:r w:rsidR="00894EF3">
        <w:t xml:space="preserve">, and </w:t>
      </w:r>
      <w:r w:rsidR="00894EF3">
        <w:t>Srinivasan</w:t>
      </w:r>
      <w:r>
        <w:t xml:space="preserve"> (2014) focus on determining the topics of discussion covered in sustainability disclosures published by firms within four major sectors of the chemical process industry. Their study analy</w:t>
      </w:r>
      <w:r w:rsidR="00894EF3">
        <w:t>s</w:t>
      </w:r>
      <w:r>
        <w:t>es 112 sustainability reports published by the largest firms in this industry through their websites. They use automated text processing to generate a list of bigrams and trigrams present in the corpus. Rather than using topic model</w:t>
      </w:r>
      <w:r w:rsidR="00894EF3">
        <w:t>l</w:t>
      </w:r>
      <w:r>
        <w:t xml:space="preserve">ing to find latent topics of discussion within these documents, the researchers use the top </w:t>
      </w:r>
      <w:r>
        <w:rPr>
          <w:i/>
          <w:iCs/>
        </w:rPr>
        <w:t>n</w:t>
      </w:r>
      <w:r>
        <w:t xml:space="preserve">-grams found within the reports published by each of the four industry sectors to identify the most prevalent topics of discussion included in those reports. </w:t>
      </w:r>
    </w:p>
    <w:p w14:paraId="784F3BC5" w14:textId="1D35B6A3" w:rsidR="00332A4E" w:rsidRDefault="00332A4E" w:rsidP="0054335E">
      <w:pPr>
        <w:pStyle w:val="Newparagraph"/>
      </w:pPr>
      <w:r>
        <w:lastRenderedPageBreak/>
        <w:t>Ning</w:t>
      </w:r>
      <w:r w:rsidR="00FD7B34">
        <w:t xml:space="preserve">, </w:t>
      </w:r>
      <w:proofErr w:type="spellStart"/>
      <w:r w:rsidR="00FD7B34">
        <w:t>Yim</w:t>
      </w:r>
      <w:proofErr w:type="spellEnd"/>
      <w:r w:rsidR="00FD7B34">
        <w:t xml:space="preserve">, and </w:t>
      </w:r>
      <w:proofErr w:type="spellStart"/>
      <w:r w:rsidR="00FD7B34">
        <w:t>Khuntia</w:t>
      </w:r>
      <w:proofErr w:type="spellEnd"/>
      <w:r>
        <w:t xml:space="preserve"> (2021) incorporate LDA into the analysis process of their study to identify firms’ intentions when voluntarily publishing sustainability disclosures. Their source of disclosures is from the Global Reporting Initiative’s database which covers 680 companies. They also complement these reports with additional information about the firms’ attributes including the size and profitability to ensure a more holistic analysis. Li and Zhao (2021) analy</w:t>
      </w:r>
      <w:r w:rsidR="00FD7B34">
        <w:t>s</w:t>
      </w:r>
      <w:r>
        <w:t xml:space="preserve">e the content of 163 CSR disclosures published by large fashion industry firms located in both developed and developing countries. Their study combines the LDA and manual coding to identify the major themes covered by firms in their reports. </w:t>
      </w:r>
    </w:p>
    <w:p w14:paraId="12B4DA19" w14:textId="30AC5CAA" w:rsidR="00332A4E" w:rsidRDefault="00332A4E" w:rsidP="0054335E">
      <w:pPr>
        <w:pStyle w:val="Newparagraph"/>
      </w:pPr>
      <w:r>
        <w:t>These studies prove the versatility of latent Dirichlet allocation for identifying topics contained within sustainability disclosures with a significant degree of nuance. Within the field of sustainability research, LDA model</w:t>
      </w:r>
      <w:r w:rsidR="00FD7B34">
        <w:t>l</w:t>
      </w:r>
      <w:r>
        <w:t xml:space="preserve">ing has also been applied in past research towards the analysis of various forms of text data. </w:t>
      </w:r>
    </w:p>
    <w:p w14:paraId="3F1FA95B" w14:textId="2AE7C42A" w:rsidR="00332A4E" w:rsidRDefault="00332A4E" w:rsidP="0054335E">
      <w:pPr>
        <w:pStyle w:val="Newparagraph"/>
      </w:pPr>
      <w:r>
        <w:t>D’Amato et al. (2017) use LDA mode</w:t>
      </w:r>
      <w:r w:rsidR="00FD7B34">
        <w:t>l</w:t>
      </w:r>
      <w:r>
        <w:t>ling to analy</w:t>
      </w:r>
      <w:r w:rsidR="00FD7B34">
        <w:t>s</w:t>
      </w:r>
      <w:r>
        <w:t xml:space="preserve">e the bibliographic entries found on the Web of Science for a collection of 1943 academic articles. The researchers aim to determine the meaning of the terms </w:t>
      </w:r>
      <w:r w:rsidR="004F1D1C">
        <w:t>‘</w:t>
      </w:r>
      <w:r>
        <w:t>circular economy,</w:t>
      </w:r>
      <w:r w:rsidR="004F1D1C">
        <w:t>’</w:t>
      </w:r>
      <w:r>
        <w:t xml:space="preserve"> </w:t>
      </w:r>
      <w:r w:rsidR="004F1D1C">
        <w:t>‘</w:t>
      </w:r>
      <w:r>
        <w:t>green economy,</w:t>
      </w:r>
      <w:r w:rsidR="004F1D1C">
        <w:t>’</w:t>
      </w:r>
      <w:r>
        <w:t xml:space="preserve"> and </w:t>
      </w:r>
      <w:r w:rsidR="004F1D1C">
        <w:t>‘</w:t>
      </w:r>
      <w:r>
        <w:t>bioeconomy</w:t>
      </w:r>
      <w:r w:rsidR="004F1D1C">
        <w:t>’</w:t>
      </w:r>
      <w:r>
        <w:t xml:space="preserve">. These terms are commonly used in the sustainability research literature, but their definitions have not been clearly and consistently delineated by researchers. They complete an LDA analysis of the collection of articles that use these terms to help develop a better categorization and understanding of these terms. </w:t>
      </w:r>
      <w:proofErr w:type="spellStart"/>
      <w:r>
        <w:t>Benites</w:t>
      </w:r>
      <w:proofErr w:type="spellEnd"/>
      <w:r>
        <w:t>-Lazaro</w:t>
      </w:r>
      <w:r w:rsidR="00FD7B34">
        <w:t xml:space="preserve">, </w:t>
      </w:r>
      <w:proofErr w:type="spellStart"/>
      <w:r w:rsidR="00FD7B34">
        <w:t>Giatti</w:t>
      </w:r>
      <w:proofErr w:type="spellEnd"/>
      <w:r w:rsidR="00FD7B34">
        <w:t xml:space="preserve">, and </w:t>
      </w:r>
      <w:proofErr w:type="spellStart"/>
      <w:r w:rsidR="00FD7B34">
        <w:t>Giarolla</w:t>
      </w:r>
      <w:proofErr w:type="spellEnd"/>
      <w:r>
        <w:t xml:space="preserve"> (2018b) use a similar LDA-based methodology in their aforementioned analysis of sustainability disclosures as they do in another paper (</w:t>
      </w:r>
      <w:proofErr w:type="spellStart"/>
      <w:r>
        <w:t>Benites</w:t>
      </w:r>
      <w:proofErr w:type="spellEnd"/>
      <w:r>
        <w:t>-Lazaro</w:t>
      </w:r>
      <w:r w:rsidR="00FD7B34">
        <w:t xml:space="preserve">, </w:t>
      </w:r>
      <w:proofErr w:type="spellStart"/>
      <w:r w:rsidR="00FD7B34">
        <w:t>Giatti</w:t>
      </w:r>
      <w:proofErr w:type="spellEnd"/>
      <w:r w:rsidR="00FD7B34">
        <w:t xml:space="preserve">, and </w:t>
      </w:r>
      <w:proofErr w:type="spellStart"/>
      <w:r w:rsidR="00FD7B34">
        <w:t>Giarolla</w:t>
      </w:r>
      <w:proofErr w:type="spellEnd"/>
      <w:r>
        <w:t xml:space="preserve"> 2018a) on social policy debates regarding the environmental impacts of the Brazilian sugarcane ethanol industry. In the latter paper, the researchers collect documents published by newspapers, government agencies, NGOs, social movements, </w:t>
      </w:r>
      <w:r>
        <w:lastRenderedPageBreak/>
        <w:t>and sugarcane ethanol companies, and analy</w:t>
      </w:r>
      <w:r w:rsidR="00FD7B34">
        <w:t>s</w:t>
      </w:r>
      <w:r>
        <w:t>e the corpora using LDA mode</w:t>
      </w:r>
      <w:r w:rsidR="00FD7B34">
        <w:t>l</w:t>
      </w:r>
      <w:r>
        <w:t xml:space="preserve">ling to identify the themes of discussion they include. </w:t>
      </w:r>
    </w:p>
    <w:p w14:paraId="588C3831" w14:textId="29EB2339" w:rsidR="00FE4713" w:rsidRDefault="00CC2622" w:rsidP="00CC2622">
      <w:pPr>
        <w:pStyle w:val="Heading1"/>
      </w:pPr>
      <w:r>
        <w:t>References</w:t>
      </w:r>
    </w:p>
    <w:p w14:paraId="29AF3BC8" w14:textId="77777777" w:rsidR="00CC2622" w:rsidRDefault="00CC2622" w:rsidP="00CC2622">
      <w:pPr>
        <w:pStyle w:val="References"/>
      </w:pPr>
      <w:proofErr w:type="spellStart"/>
      <w:r>
        <w:t>Asseng</w:t>
      </w:r>
      <w:proofErr w:type="spellEnd"/>
      <w:r>
        <w:t xml:space="preserve">, S., F. Ewert, P. </w:t>
      </w:r>
      <w:proofErr w:type="spellStart"/>
      <w:r>
        <w:t>Martre</w:t>
      </w:r>
      <w:proofErr w:type="spellEnd"/>
      <w:r>
        <w:t xml:space="preserve">, R. P. </w:t>
      </w:r>
      <w:proofErr w:type="spellStart"/>
      <w:r>
        <w:t>Rötter</w:t>
      </w:r>
      <w:proofErr w:type="spellEnd"/>
      <w:r>
        <w:t xml:space="preserve">, D. B. Lobell, D. </w:t>
      </w:r>
      <w:proofErr w:type="spellStart"/>
      <w:r>
        <w:t>Cammarano</w:t>
      </w:r>
      <w:proofErr w:type="spellEnd"/>
      <w:r>
        <w:t xml:space="preserve">, B. A. Kimball, et al. “Rising Temperatures Reduce Global Wheat Production.” </w:t>
      </w:r>
      <w:r>
        <w:rPr>
          <w:i/>
          <w:iCs/>
        </w:rPr>
        <w:t xml:space="preserve">Nature Climate Change </w:t>
      </w:r>
      <w:r>
        <w:t>5: 143–147. doi:</w:t>
      </w:r>
      <w:r w:rsidRPr="00BF41E6">
        <w:t>10.1038/NCLIMATE2470</w:t>
      </w:r>
      <w:r>
        <w:t>.</w:t>
      </w:r>
    </w:p>
    <w:p w14:paraId="42953C53" w14:textId="77777777" w:rsidR="00CC2622" w:rsidRDefault="00CC2622" w:rsidP="00CC2622">
      <w:pPr>
        <w:pStyle w:val="References"/>
        <w:rPr>
          <w:sz w:val="22"/>
          <w:szCs w:val="22"/>
        </w:rPr>
      </w:pPr>
      <w:proofErr w:type="spellStart"/>
      <w:r>
        <w:t>Avrampou</w:t>
      </w:r>
      <w:proofErr w:type="spellEnd"/>
      <w:r>
        <w:t xml:space="preserve">, A., A. </w:t>
      </w:r>
      <w:proofErr w:type="spellStart"/>
      <w:r>
        <w:t>Skouloudis</w:t>
      </w:r>
      <w:proofErr w:type="spellEnd"/>
      <w:r>
        <w:t xml:space="preserve">, G. Iliopoulos, and N. Khan. 2019. “Advancing the Sustainable Development Goals: Evidence from Leading European Banks.” </w:t>
      </w:r>
      <w:r>
        <w:rPr>
          <w:i/>
          <w:iCs/>
        </w:rPr>
        <w:t>Sustainable Development</w:t>
      </w:r>
      <w:r>
        <w:t xml:space="preserve"> 27(4): 743–757. doi:10.1002/sd.1938.</w:t>
      </w:r>
    </w:p>
    <w:p w14:paraId="72381FBB" w14:textId="77777777" w:rsidR="00CC2622" w:rsidRDefault="00CC2622" w:rsidP="00CC2622">
      <w:pPr>
        <w:pStyle w:val="References"/>
      </w:pPr>
      <w:r>
        <w:t xml:space="preserve">Ben-Amar, W., M. Chang, and P. </w:t>
      </w:r>
      <w:proofErr w:type="spellStart"/>
      <w:r>
        <w:t>McIlkenny</w:t>
      </w:r>
      <w:proofErr w:type="spellEnd"/>
      <w:r>
        <w:t xml:space="preserve">. 2017. “Board Gender Diversity and Corporate Response to Sustainability Initiatives: Evidence from the Carbon Disclosure Project.” </w:t>
      </w:r>
      <w:r>
        <w:rPr>
          <w:i/>
          <w:iCs/>
        </w:rPr>
        <w:t>Journal of Business Ethics</w:t>
      </w:r>
      <w:r>
        <w:t xml:space="preserve"> 142(2): 369–383. doi:</w:t>
      </w:r>
      <w:r w:rsidRPr="00F60CAC">
        <w:t>10.1007/s10551-015-2759-1</w:t>
      </w:r>
      <w:r>
        <w:t>.</w:t>
      </w:r>
    </w:p>
    <w:p w14:paraId="6E263221" w14:textId="77777777" w:rsidR="00CC2622" w:rsidRDefault="00CC2622" w:rsidP="00CC2622">
      <w:pPr>
        <w:pStyle w:val="References"/>
      </w:pPr>
      <w:proofErr w:type="spellStart"/>
      <w:r>
        <w:t>Benites</w:t>
      </w:r>
      <w:proofErr w:type="spellEnd"/>
      <w:r>
        <w:t xml:space="preserve">-Lazaro, L. L., L. </w:t>
      </w:r>
      <w:proofErr w:type="spellStart"/>
      <w:r>
        <w:t>Giatti</w:t>
      </w:r>
      <w:proofErr w:type="spellEnd"/>
      <w:r>
        <w:t xml:space="preserve">, and A. </w:t>
      </w:r>
      <w:proofErr w:type="spellStart"/>
      <w:r>
        <w:t>Giarolla</w:t>
      </w:r>
      <w:proofErr w:type="spellEnd"/>
      <w:r>
        <w:t xml:space="preserve">. 2018a. “Sustainability and Governance of Sugarcane Ethanol Companies in Brazil: Topic </w:t>
      </w:r>
      <w:proofErr w:type="spellStart"/>
      <w:r>
        <w:t>Modeling</w:t>
      </w:r>
      <w:proofErr w:type="spellEnd"/>
      <w:r>
        <w:t xml:space="preserve"> Analysis of CSR Reporting.” </w:t>
      </w:r>
      <w:r>
        <w:rPr>
          <w:i/>
          <w:iCs/>
        </w:rPr>
        <w:t>Journal of Cleaner Production</w:t>
      </w:r>
      <w:r>
        <w:t xml:space="preserve"> 197(1): 583–591. </w:t>
      </w:r>
      <w:proofErr w:type="gramStart"/>
      <w:r>
        <w:t>doi:</w:t>
      </w:r>
      <w:r w:rsidRPr="00F60CAC">
        <w:t>10.1016/j.jclepro</w:t>
      </w:r>
      <w:proofErr w:type="gramEnd"/>
      <w:r w:rsidRPr="00F60CAC">
        <w:t>.2018.06.212</w:t>
      </w:r>
      <w:r>
        <w:t>.</w:t>
      </w:r>
    </w:p>
    <w:p w14:paraId="4A5E1D17" w14:textId="77777777" w:rsidR="00CC2622" w:rsidRDefault="00CC2622" w:rsidP="00CC2622">
      <w:pPr>
        <w:pStyle w:val="References"/>
        <w:rPr>
          <w:rStyle w:val="Hyperlink"/>
        </w:rPr>
      </w:pPr>
      <w:proofErr w:type="spellStart"/>
      <w:r>
        <w:t>Benites</w:t>
      </w:r>
      <w:proofErr w:type="spellEnd"/>
      <w:r>
        <w:t xml:space="preserve">-Lazaro, L. L., L. </w:t>
      </w:r>
      <w:proofErr w:type="spellStart"/>
      <w:r>
        <w:t>Giatti</w:t>
      </w:r>
      <w:proofErr w:type="spellEnd"/>
      <w:r>
        <w:t xml:space="preserve">, and A. </w:t>
      </w:r>
      <w:proofErr w:type="spellStart"/>
      <w:r>
        <w:t>Giarolla</w:t>
      </w:r>
      <w:proofErr w:type="spellEnd"/>
      <w:r>
        <w:rPr>
          <w:lang w:val="es-MX"/>
        </w:rPr>
        <w:t>. 2018b. “</w:t>
      </w:r>
      <w:r>
        <w:t xml:space="preserve">Topic </w:t>
      </w:r>
      <w:proofErr w:type="spellStart"/>
      <w:r>
        <w:t>Modeling</w:t>
      </w:r>
      <w:proofErr w:type="spellEnd"/>
      <w:r>
        <w:t xml:space="preserve"> Method for </w:t>
      </w:r>
      <w:proofErr w:type="spellStart"/>
      <w:r>
        <w:t>Analyzing</w:t>
      </w:r>
      <w:proofErr w:type="spellEnd"/>
      <w:r>
        <w:t xml:space="preserve"> Social Actor Discourses on Climate Change, Energy and Food Security.” </w:t>
      </w:r>
      <w:r>
        <w:rPr>
          <w:i/>
          <w:iCs/>
        </w:rPr>
        <w:t>Energy Research &amp; Social Science</w:t>
      </w:r>
      <w:r>
        <w:t xml:space="preserve"> 45: 318–330. </w:t>
      </w:r>
      <w:proofErr w:type="gramStart"/>
      <w:r>
        <w:t>doi:</w:t>
      </w:r>
      <w:r w:rsidRPr="00F60CAC">
        <w:t>10.1016/j.erss</w:t>
      </w:r>
      <w:proofErr w:type="gramEnd"/>
      <w:r w:rsidRPr="00F60CAC">
        <w:t>.2018.07.031</w:t>
      </w:r>
      <w:r>
        <w:t>.</w:t>
      </w:r>
    </w:p>
    <w:p w14:paraId="178ED400" w14:textId="77777777" w:rsidR="00CC2622" w:rsidRDefault="00CC2622" w:rsidP="00CC2622">
      <w:pPr>
        <w:pStyle w:val="References"/>
      </w:pPr>
      <w:proofErr w:type="spellStart"/>
      <w:r>
        <w:t>Berrone</w:t>
      </w:r>
      <w:proofErr w:type="spellEnd"/>
      <w:r>
        <w:t xml:space="preserve">, P., A. </w:t>
      </w:r>
      <w:proofErr w:type="spellStart"/>
      <w:r>
        <w:t>Fosfuri</w:t>
      </w:r>
      <w:proofErr w:type="spellEnd"/>
      <w:r>
        <w:t xml:space="preserve">, L. </w:t>
      </w:r>
      <w:proofErr w:type="spellStart"/>
      <w:r>
        <w:t>Gelabert</w:t>
      </w:r>
      <w:proofErr w:type="spellEnd"/>
      <w:r>
        <w:t xml:space="preserve">, and L. R. Gomez-Mejia. 2013. “Necessity as the Mother of ‘Green’ Inventions: Institutional Pressures and Environmental Innovations.” </w:t>
      </w:r>
      <w:r>
        <w:rPr>
          <w:i/>
          <w:iCs/>
        </w:rPr>
        <w:t>Strategic Management Journal</w:t>
      </w:r>
      <w:r>
        <w:t xml:space="preserve"> 34(8): 891–909. doi:</w:t>
      </w:r>
      <w:r w:rsidRPr="00F60CAC">
        <w:t>10.1002/smj.2041</w:t>
      </w:r>
      <w:r>
        <w:t>.</w:t>
      </w:r>
    </w:p>
    <w:p w14:paraId="5D67B2E7" w14:textId="77777777" w:rsidR="00CC2622" w:rsidRDefault="00CC2622" w:rsidP="00CC2622">
      <w:pPr>
        <w:pStyle w:val="References"/>
        <w:rPr>
          <w:rStyle w:val="Hyperlink"/>
        </w:rPr>
      </w:pPr>
      <w:r>
        <w:t xml:space="preserve">Bi, J-W., Y. Liu, Z-P. Fan, and J. Zhang. 2019. “Wisdom of Crowds: Conducting Importance-Performance Analysis (IPA) Through Online Reviews.” </w:t>
      </w:r>
      <w:r>
        <w:rPr>
          <w:i/>
          <w:iCs/>
        </w:rPr>
        <w:t xml:space="preserve">Tourism Management </w:t>
      </w:r>
      <w:r>
        <w:t xml:space="preserve">70: 460–478. </w:t>
      </w:r>
      <w:proofErr w:type="gramStart"/>
      <w:r>
        <w:t>doi:</w:t>
      </w:r>
      <w:r w:rsidRPr="00F60CAC">
        <w:t>10.1016/j.tourman</w:t>
      </w:r>
      <w:proofErr w:type="gramEnd"/>
      <w:r w:rsidRPr="00F60CAC">
        <w:t>.2018.09.010</w:t>
      </w:r>
      <w:r>
        <w:t>.</w:t>
      </w:r>
    </w:p>
    <w:p w14:paraId="6E473CE1" w14:textId="77777777" w:rsidR="00CC2622" w:rsidRDefault="00CC2622" w:rsidP="00CC2622">
      <w:pPr>
        <w:pStyle w:val="References"/>
      </w:pPr>
      <w:proofErr w:type="spellStart"/>
      <w:r>
        <w:t>Burtraw</w:t>
      </w:r>
      <w:proofErr w:type="spellEnd"/>
      <w:r>
        <w:t xml:space="preserve">, D., C. Holt, K. Palmer, and W. </w:t>
      </w:r>
      <w:proofErr w:type="spellStart"/>
      <w:r>
        <w:t>Shobe</w:t>
      </w:r>
      <w:proofErr w:type="spellEnd"/>
      <w:r>
        <w:t xml:space="preserve">. 2022. “Price-Responsive Allowance Supply in Emissions Markets.” </w:t>
      </w:r>
      <w:r>
        <w:rPr>
          <w:i/>
          <w:iCs/>
        </w:rPr>
        <w:t>Journal of the Association of Environmental and Resource Economists </w:t>
      </w:r>
      <w:r w:rsidRPr="006664DC">
        <w:t>9</w:t>
      </w:r>
      <w:r>
        <w:t>(5): 851–884. doi:</w:t>
      </w:r>
      <w:r w:rsidRPr="006F34AF">
        <w:t>10.1086/720690</w:t>
      </w:r>
      <w:r>
        <w:t>.</w:t>
      </w:r>
    </w:p>
    <w:p w14:paraId="3DF77255" w14:textId="77777777" w:rsidR="00CC2622" w:rsidRDefault="00CC2622" w:rsidP="00CC2622">
      <w:pPr>
        <w:pStyle w:val="References"/>
      </w:pPr>
      <w:proofErr w:type="spellStart"/>
      <w:r>
        <w:lastRenderedPageBreak/>
        <w:t>Büschken</w:t>
      </w:r>
      <w:proofErr w:type="spellEnd"/>
      <w:r>
        <w:t xml:space="preserve">, J., and G. M. Allenby. 2016. “Sentence-Based Text Analysis for Customer Reviews.” </w:t>
      </w:r>
      <w:r>
        <w:rPr>
          <w:i/>
          <w:iCs/>
        </w:rPr>
        <w:t>Marketing Science</w:t>
      </w:r>
      <w:r>
        <w:t xml:space="preserve"> 35(6): 953–975. doi:</w:t>
      </w:r>
      <w:r w:rsidRPr="006F34AF">
        <w:t>10.1287/mksc.2016.0993</w:t>
      </w:r>
      <w:r>
        <w:t>.</w:t>
      </w:r>
    </w:p>
    <w:p w14:paraId="58EA049D" w14:textId="77777777" w:rsidR="00CC2622" w:rsidRDefault="00CC2622" w:rsidP="00CC2622">
      <w:pPr>
        <w:pStyle w:val="References"/>
      </w:pPr>
      <w:proofErr w:type="spellStart"/>
      <w:r>
        <w:t>Cadez</w:t>
      </w:r>
      <w:proofErr w:type="spellEnd"/>
      <w:r>
        <w:t xml:space="preserve">, S., A. Czerny, and P. </w:t>
      </w:r>
      <w:proofErr w:type="spellStart"/>
      <w:r>
        <w:t>Letmathe</w:t>
      </w:r>
      <w:proofErr w:type="spellEnd"/>
      <w:r>
        <w:t xml:space="preserve">. 2019. “Stakeholder Pressures and Corporate Climate Change Mitigation Strategies.” </w:t>
      </w:r>
      <w:r>
        <w:rPr>
          <w:i/>
          <w:iCs/>
        </w:rPr>
        <w:t>Business Strategy and the Environment</w:t>
      </w:r>
      <w:r>
        <w:t xml:space="preserve"> 28(1): 1–14. doi:</w:t>
      </w:r>
      <w:r w:rsidRPr="006F34AF">
        <w:t>10.1002/bse.2070</w:t>
      </w:r>
      <w:r>
        <w:t>.</w:t>
      </w:r>
    </w:p>
    <w:p w14:paraId="24BFDDCB" w14:textId="77777777" w:rsidR="00CC2622" w:rsidRDefault="00CC2622" w:rsidP="00CC2622">
      <w:pPr>
        <w:pStyle w:val="References"/>
      </w:pPr>
      <w:r>
        <w:t xml:space="preserve">California Air Resources Board. 2010. “Proposed Regulation to Implement the California Cap-and-Trade Program.” </w:t>
      </w:r>
      <w:hyperlink r:id="rId8" w:history="1">
        <w:r>
          <w:rPr>
            <w:rStyle w:val="Hyperlink"/>
          </w:rPr>
          <w:t>http://ww2.arb.ca.gov/sites/default/files/barcu/regact/2010/capandtrade10/capisor.pdf</w:t>
        </w:r>
      </w:hyperlink>
    </w:p>
    <w:p w14:paraId="6FAC77A8" w14:textId="77777777" w:rsidR="00CC2622" w:rsidRDefault="00CC2622" w:rsidP="00CC2622">
      <w:pPr>
        <w:pStyle w:val="References"/>
      </w:pPr>
      <w:r>
        <w:t xml:space="preserve">California Air Resources Board. 2015. “ARB Emissions Trading Program.” </w:t>
      </w:r>
      <w:hyperlink r:id="rId9" w:history="1">
        <w:r w:rsidRPr="00E02ADE">
          <w:rPr>
            <w:rStyle w:val="Hyperlink"/>
          </w:rPr>
          <w:t>https://ww2.arb.ca.gov/sites/default/files/classic/cc/capandtrade/guidance/cap_trade_overview.pdf</w:t>
        </w:r>
      </w:hyperlink>
    </w:p>
    <w:p w14:paraId="467749BD" w14:textId="77777777" w:rsidR="00CC2622" w:rsidRDefault="00CC2622" w:rsidP="00CC2622">
      <w:pPr>
        <w:pStyle w:val="References"/>
      </w:pPr>
      <w:r>
        <w:t xml:space="preserve">California Air Resources Board. n.d. “Cap-and-Trade Program.” </w:t>
      </w:r>
      <w:hyperlink r:id="rId10" w:history="1">
        <w:r>
          <w:rPr>
            <w:rStyle w:val="Hyperlink"/>
          </w:rPr>
          <w:t>https://ww2.arb.ca.gov/our-work/programs/cap-and-trade-program/about</w:t>
        </w:r>
      </w:hyperlink>
    </w:p>
    <w:p w14:paraId="6954AC1A" w14:textId="77777777" w:rsidR="00CC2622" w:rsidRDefault="00CC2622" w:rsidP="00CC2622">
      <w:pPr>
        <w:pStyle w:val="References"/>
      </w:pPr>
      <w:r>
        <w:t xml:space="preserve">Canada Revenue Agency. 2019. “FCN1 Registration Under the Greenhouse Gas Pollution Pricing Act.” </w:t>
      </w:r>
      <w:hyperlink r:id="rId11" w:history="1">
        <w:r>
          <w:rPr>
            <w:rStyle w:val="Hyperlink"/>
          </w:rPr>
          <w:t>https://www.canada.ca/en/revenue-agency/services/forms-publications/publications/fcn1/general-information-registration-greenhouse-gas-pollution-pricing-act.html</w:t>
        </w:r>
      </w:hyperlink>
    </w:p>
    <w:p w14:paraId="705B567B" w14:textId="77777777" w:rsidR="00CC2622" w:rsidRDefault="00CC2622" w:rsidP="00CC2622">
      <w:pPr>
        <w:pStyle w:val="References"/>
      </w:pPr>
      <w:r>
        <w:t xml:space="preserve">D’Amato, D., N. </w:t>
      </w:r>
      <w:proofErr w:type="spellStart"/>
      <w:r>
        <w:t>Droste</w:t>
      </w:r>
      <w:proofErr w:type="spellEnd"/>
      <w:r>
        <w:t xml:space="preserve">, B. Allen, M. </w:t>
      </w:r>
      <w:proofErr w:type="spellStart"/>
      <w:r>
        <w:t>Kettunen</w:t>
      </w:r>
      <w:proofErr w:type="spellEnd"/>
      <w:r>
        <w:t xml:space="preserve">, K. </w:t>
      </w:r>
      <w:proofErr w:type="spellStart"/>
      <w:r>
        <w:t>Lähtinen</w:t>
      </w:r>
      <w:proofErr w:type="spellEnd"/>
      <w:r>
        <w:t xml:space="preserve">, J. Korhonen, P. </w:t>
      </w:r>
      <w:proofErr w:type="spellStart"/>
      <w:r>
        <w:t>Leskinen</w:t>
      </w:r>
      <w:proofErr w:type="spellEnd"/>
      <w:r>
        <w:t xml:space="preserve">, B. D. </w:t>
      </w:r>
      <w:proofErr w:type="spellStart"/>
      <w:r>
        <w:t>Matthies</w:t>
      </w:r>
      <w:proofErr w:type="spellEnd"/>
      <w:r>
        <w:t xml:space="preserve">, and A. </w:t>
      </w:r>
      <w:proofErr w:type="spellStart"/>
      <w:r>
        <w:t>Toppinen</w:t>
      </w:r>
      <w:proofErr w:type="spellEnd"/>
      <w:r>
        <w:t xml:space="preserve">. 2017. “Green, Circular, Bio Economy: A Comparative Analysis of Sustainability Avenues.” </w:t>
      </w:r>
      <w:r>
        <w:rPr>
          <w:i/>
          <w:iCs/>
        </w:rPr>
        <w:t xml:space="preserve">Journal of Cleaner Production </w:t>
      </w:r>
      <w:r>
        <w:t xml:space="preserve">168: 716–734. </w:t>
      </w:r>
      <w:proofErr w:type="gramStart"/>
      <w:r>
        <w:t>doi:</w:t>
      </w:r>
      <w:r w:rsidRPr="003C7563">
        <w:t>10.1016/j.jclepro</w:t>
      </w:r>
      <w:proofErr w:type="gramEnd"/>
      <w:r w:rsidRPr="003C7563">
        <w:t>.2017.09.053</w:t>
      </w:r>
      <w:r>
        <w:t>.</w:t>
      </w:r>
    </w:p>
    <w:p w14:paraId="7B11A23E" w14:textId="77777777" w:rsidR="00CC2622" w:rsidRDefault="00CC2622" w:rsidP="00CC2622">
      <w:pPr>
        <w:pStyle w:val="References"/>
      </w:pPr>
      <w:r>
        <w:t xml:space="preserve">Department of Business, Energy, &amp; Industrial Strategy. 2021. “Participating in the UK ETS.” </w:t>
      </w:r>
      <w:hyperlink r:id="rId12" w:history="1">
        <w:r>
          <w:rPr>
            <w:rStyle w:val="Hyperlink"/>
          </w:rPr>
          <w:t>https://www.gov.uk/government/publications/participating-in-the-uk-ets/participating-in-the-uk-ets</w:t>
        </w:r>
      </w:hyperlink>
    </w:p>
    <w:p w14:paraId="6E8A2493" w14:textId="77777777" w:rsidR="00CC2622" w:rsidRDefault="00CC2622" w:rsidP="00CC2622">
      <w:pPr>
        <w:pStyle w:val="References"/>
        <w:rPr>
          <w:color w:val="0000FF" w:themeColor="hyperlink"/>
          <w:u w:val="single"/>
        </w:rPr>
      </w:pPr>
      <w:proofErr w:type="spellStart"/>
      <w:r>
        <w:t>Depoers</w:t>
      </w:r>
      <w:proofErr w:type="spellEnd"/>
      <w:r>
        <w:t xml:space="preserve">, F., T. </w:t>
      </w:r>
      <w:proofErr w:type="spellStart"/>
      <w:r>
        <w:t>Jeanjean</w:t>
      </w:r>
      <w:proofErr w:type="spellEnd"/>
      <w:r>
        <w:t xml:space="preserve">, and T. Jérôme. 2016. “Voluntary Disclosure of Greenhouse Gas Emissions: Contrasting the Carbon Disclosure Project and Corporate Reports.” </w:t>
      </w:r>
      <w:r>
        <w:rPr>
          <w:i/>
          <w:iCs/>
        </w:rPr>
        <w:t xml:space="preserve">Journal of Business Ethics </w:t>
      </w:r>
      <w:r>
        <w:t>134(3): 445–461. doi:10.1007/s10551-014-2432-0.</w:t>
      </w:r>
    </w:p>
    <w:p w14:paraId="44AA0593" w14:textId="77777777" w:rsidR="00CC2622" w:rsidRDefault="00CC2622" w:rsidP="00CC2622">
      <w:pPr>
        <w:pStyle w:val="References"/>
      </w:pPr>
      <w:r>
        <w:t xml:space="preserve">DiMaggio, P., M. Nag, and D. </w:t>
      </w:r>
      <w:proofErr w:type="spellStart"/>
      <w:r>
        <w:t>Blei</w:t>
      </w:r>
      <w:proofErr w:type="spellEnd"/>
      <w:r>
        <w:t xml:space="preserve">. 2013. “Exploiting Affinities Between Topic </w:t>
      </w:r>
      <w:proofErr w:type="spellStart"/>
      <w:r>
        <w:t>Modeling</w:t>
      </w:r>
      <w:proofErr w:type="spellEnd"/>
      <w:r>
        <w:t xml:space="preserve"> and the Sociological Perspective on Culture: Application to Newspaper Coverage of U.S. Government Arts Funding.” </w:t>
      </w:r>
      <w:r>
        <w:rPr>
          <w:i/>
          <w:iCs/>
        </w:rPr>
        <w:t xml:space="preserve">Poetics </w:t>
      </w:r>
      <w:r>
        <w:t xml:space="preserve">41(6): 570–606. </w:t>
      </w:r>
      <w:proofErr w:type="gramStart"/>
      <w:r>
        <w:t>doi:</w:t>
      </w:r>
      <w:r w:rsidRPr="003C7563">
        <w:t>10.1016/j.poetic</w:t>
      </w:r>
      <w:proofErr w:type="gramEnd"/>
      <w:r w:rsidRPr="003C7563">
        <w:t>.2013.08.004</w:t>
      </w:r>
      <w:r>
        <w:t>.</w:t>
      </w:r>
    </w:p>
    <w:p w14:paraId="49A4C114" w14:textId="77777777" w:rsidR="00CC2622" w:rsidRDefault="00CC2622" w:rsidP="00CC2622">
      <w:pPr>
        <w:pStyle w:val="References"/>
      </w:pPr>
      <w:r>
        <w:lastRenderedPageBreak/>
        <w:t>Directive 2003/87/EC.</w:t>
      </w:r>
      <w:r>
        <w:rPr>
          <w:i/>
          <w:iCs/>
        </w:rPr>
        <w:t xml:space="preserve"> </w:t>
      </w:r>
      <w:r>
        <w:t xml:space="preserve">“Establishing a scheme for greenhouse gas emission allowance trading within the Community and amending Council Directive 96/61/EC.” European Parliament, Council of the European Union. </w:t>
      </w:r>
      <w:hyperlink r:id="rId13" w:history="1">
        <w:r>
          <w:rPr>
            <w:rStyle w:val="Hyperlink"/>
          </w:rPr>
          <w:t>https://eur-lex.europa.eu/eli/dir/2003/87/oj</w:t>
        </w:r>
      </w:hyperlink>
    </w:p>
    <w:p w14:paraId="508FEC97" w14:textId="77777777" w:rsidR="00CC2622" w:rsidRDefault="00CC2622" w:rsidP="00CC2622">
      <w:pPr>
        <w:pStyle w:val="References"/>
      </w:pPr>
      <w:r>
        <w:t xml:space="preserve">European Commission. n.d. “EU Emissions Trading System (EU ETS).” </w:t>
      </w:r>
      <w:hyperlink r:id="rId14" w:history="1">
        <w:r>
          <w:rPr>
            <w:rStyle w:val="Hyperlink"/>
          </w:rPr>
          <w:t>https://ec.europa.eu/clima/policies/ets_en</w:t>
        </w:r>
      </w:hyperlink>
    </w:p>
    <w:p w14:paraId="3C742BE8" w14:textId="77777777" w:rsidR="00CC2622" w:rsidRDefault="00CC2622" w:rsidP="00CC2622">
      <w:pPr>
        <w:pStyle w:val="References"/>
      </w:pPr>
      <w:r>
        <w:t xml:space="preserve">Government of Canada. 2021a. “Carbon pollution pricing systems across Canada.” </w:t>
      </w:r>
      <w:hyperlink r:id="rId15" w:history="1">
        <w:r>
          <w:rPr>
            <w:rStyle w:val="Hyperlink"/>
          </w:rPr>
          <w:t>https://www.canada.ca/en/environment-climate-change/services/climate-change/pricing-pollution-how-it-will-work.html</w:t>
        </w:r>
      </w:hyperlink>
    </w:p>
    <w:p w14:paraId="4FC52EF5" w14:textId="77777777" w:rsidR="00CC2622" w:rsidRDefault="00CC2622" w:rsidP="00CC2622">
      <w:pPr>
        <w:pStyle w:val="References"/>
      </w:pPr>
      <w:r>
        <w:t xml:space="preserve">Government of Canada. 2021b. “Review of the federal Output-Based Pricing System Regulations.” </w:t>
      </w:r>
      <w:hyperlink r:id="rId16" w:history="1">
        <w:r>
          <w:rPr>
            <w:rStyle w:val="Hyperlink"/>
          </w:rPr>
          <w:t>https://www.canada.ca/en/environment-climate-change/services/climate-change/pricing-pollution-how-it-will-work/output-based-pricing-system/review.html</w:t>
        </w:r>
      </w:hyperlink>
    </w:p>
    <w:p w14:paraId="5AA75860" w14:textId="77777777" w:rsidR="00CC2622" w:rsidRDefault="00CC2622" w:rsidP="00CC2622">
      <w:pPr>
        <w:pStyle w:val="References"/>
      </w:pPr>
      <w:r>
        <w:t xml:space="preserve">Government of Sweden. 2021. “Sweden’s carbon tax.” </w:t>
      </w:r>
      <w:hyperlink r:id="rId17" w:history="1">
        <w:r>
          <w:rPr>
            <w:rStyle w:val="Hyperlink"/>
          </w:rPr>
          <w:t>https://www.government.se/government-policy/swedens-carbon-tax/swedens-carbon-tax/</w:t>
        </w:r>
      </w:hyperlink>
    </w:p>
    <w:p w14:paraId="60F63FE0" w14:textId="77777777" w:rsidR="00CC2622" w:rsidRDefault="00CC2622" w:rsidP="00CC2622">
      <w:pPr>
        <w:pStyle w:val="References"/>
      </w:pPr>
      <w:r>
        <w:t xml:space="preserve">Guo, Y., S. J. Barnes, and Q. Jia. 2017. “Mining Meaning from Online Ratings and Reviews: Tourist Satisfaction Analysis Using Latent Dirichlet Allocation.” </w:t>
      </w:r>
      <w:r>
        <w:rPr>
          <w:i/>
          <w:iCs/>
        </w:rPr>
        <w:t xml:space="preserve">Tourism Management </w:t>
      </w:r>
      <w:r>
        <w:t xml:space="preserve">59: 467–483. </w:t>
      </w:r>
      <w:proofErr w:type="gramStart"/>
      <w:r>
        <w:t>doi:</w:t>
      </w:r>
      <w:r w:rsidRPr="003C7563">
        <w:t>10.1016/j.tourman</w:t>
      </w:r>
      <w:proofErr w:type="gramEnd"/>
      <w:r w:rsidRPr="003C7563">
        <w:t>.2016.09.009</w:t>
      </w:r>
      <w:r>
        <w:t>.</w:t>
      </w:r>
    </w:p>
    <w:p w14:paraId="61FD6EE2" w14:textId="77777777" w:rsidR="00CC2622" w:rsidRDefault="00CC2622" w:rsidP="00CC2622">
      <w:pPr>
        <w:pStyle w:val="References"/>
      </w:pPr>
      <w:r>
        <w:t xml:space="preserve">Hsiang, S., R. Kopp, A. </w:t>
      </w:r>
      <w:proofErr w:type="spellStart"/>
      <w:r>
        <w:t>Jina</w:t>
      </w:r>
      <w:proofErr w:type="spellEnd"/>
      <w:r>
        <w:t xml:space="preserve">, J. Rising, M. Delgado, S. Mohan, D. J. Rasmussen, et al. 2017. “Estimating Economic Damage from Climate Change in the United States.” </w:t>
      </w:r>
      <w:r>
        <w:rPr>
          <w:i/>
          <w:iCs/>
        </w:rPr>
        <w:t xml:space="preserve">Science </w:t>
      </w:r>
      <w:r w:rsidRPr="006664DC">
        <w:t>356</w:t>
      </w:r>
      <w:r>
        <w:t>(6345): 1362–1369. doi:</w:t>
      </w:r>
      <w:r w:rsidRPr="003C7563">
        <w:t>10.1126/</w:t>
      </w:r>
      <w:proofErr w:type="gramStart"/>
      <w:r w:rsidRPr="003C7563">
        <w:t>science.aal</w:t>
      </w:r>
      <w:proofErr w:type="gramEnd"/>
      <w:r w:rsidRPr="003C7563">
        <w:t>4369</w:t>
      </w:r>
      <w:r>
        <w:t>.</w:t>
      </w:r>
    </w:p>
    <w:p w14:paraId="5293AD44" w14:textId="77777777" w:rsidR="00CC2622" w:rsidRDefault="00CC2622" w:rsidP="00CC2622">
      <w:pPr>
        <w:pStyle w:val="References"/>
      </w:pPr>
      <w:r>
        <w:t xml:space="preserve">Intergovernmental Panel on Climate Change. 2014a. “Chapter 10 - Key Economic Sectors and Services.” In </w:t>
      </w:r>
      <w:r>
        <w:rPr>
          <w:i/>
          <w:iCs/>
        </w:rPr>
        <w:t>Climate Change: Impacts, Adaptation, and Vulnerability – Part A: Global and Sectoral Aspects.</w:t>
      </w:r>
      <w:r>
        <w:t xml:space="preserve"> </w:t>
      </w:r>
      <w:hyperlink r:id="rId18" w:history="1">
        <w:r>
          <w:rPr>
            <w:rStyle w:val="Hyperlink"/>
          </w:rPr>
          <w:t>https://www.ipcc.ch/site/assets/uploads/2018/02/WGIIAR5-Chap10_FINAL.pdf</w:t>
        </w:r>
      </w:hyperlink>
    </w:p>
    <w:p w14:paraId="066AE964" w14:textId="77777777" w:rsidR="00CC2622" w:rsidRDefault="00CC2622" w:rsidP="00CC2622">
      <w:pPr>
        <w:pStyle w:val="References"/>
      </w:pPr>
      <w:r>
        <w:t xml:space="preserve">Intergovernmental Panel on Climate Change. 2014b. “Climate Change 2014: Synthesis Report.” </w:t>
      </w:r>
      <w:hyperlink r:id="rId19" w:history="1">
        <w:r>
          <w:rPr>
            <w:rStyle w:val="Hyperlink"/>
          </w:rPr>
          <w:t>https://www.ipcc.ch/site/assets/uploads/2018/02/SYR_AR5_FINAL_full.pdf</w:t>
        </w:r>
      </w:hyperlink>
    </w:p>
    <w:p w14:paraId="4E885314" w14:textId="77777777" w:rsidR="00CC2622" w:rsidRPr="00CC2622" w:rsidRDefault="00CC2622" w:rsidP="00CC2622">
      <w:pPr>
        <w:pStyle w:val="References"/>
      </w:pPr>
      <w:proofErr w:type="spellStart"/>
      <w:r>
        <w:t>Jizi</w:t>
      </w:r>
      <w:proofErr w:type="spellEnd"/>
      <w:r>
        <w:t xml:space="preserve">, M. I., A. Salama, R. Dixon, and R. </w:t>
      </w:r>
      <w:proofErr w:type="spellStart"/>
      <w:r>
        <w:t>Stratling</w:t>
      </w:r>
      <w:proofErr w:type="spellEnd"/>
      <w:r>
        <w:t xml:space="preserve">. 2014. “Corporate Governance and Corporate Social Responsibility Disclosure: Evidence from the US Banking Sector.” </w:t>
      </w:r>
      <w:r>
        <w:rPr>
          <w:i/>
          <w:iCs/>
        </w:rPr>
        <w:t xml:space="preserve">Journal of Business Ethics </w:t>
      </w:r>
      <w:r>
        <w:t>125(4): 601–615. doi:</w:t>
      </w:r>
      <w:r w:rsidRPr="003C7563">
        <w:t>10.1007/s10551-013-1929-2</w:t>
      </w:r>
      <w:r>
        <w:t>.</w:t>
      </w:r>
    </w:p>
    <w:p w14:paraId="5EE8177B" w14:textId="77777777" w:rsidR="00CC2622" w:rsidRDefault="00CC2622" w:rsidP="00CC2622">
      <w:pPr>
        <w:pStyle w:val="References"/>
      </w:pPr>
      <w:r>
        <w:lastRenderedPageBreak/>
        <w:t xml:space="preserve">Kolk, A., D. Levy, and J. </w:t>
      </w:r>
      <w:proofErr w:type="spellStart"/>
      <w:r>
        <w:t>Pinkse</w:t>
      </w:r>
      <w:proofErr w:type="spellEnd"/>
      <w:r>
        <w:t xml:space="preserve">. 2008. “Corporate Responses in an Emerging Climate Regime: The Institutionalization and Commensuration of Carbon Disclosure.” </w:t>
      </w:r>
      <w:r>
        <w:rPr>
          <w:i/>
          <w:iCs/>
        </w:rPr>
        <w:t xml:space="preserve">European Accounting Review </w:t>
      </w:r>
      <w:r>
        <w:t>17(4): 719–745. doi:</w:t>
      </w:r>
      <w:r w:rsidRPr="003C7563">
        <w:t>10.1080/09638180802489121</w:t>
      </w:r>
      <w:r>
        <w:t>.</w:t>
      </w:r>
    </w:p>
    <w:p w14:paraId="08D9B522" w14:textId="77777777" w:rsidR="00CC2622" w:rsidRDefault="00CC2622" w:rsidP="00CC2622">
      <w:pPr>
        <w:pStyle w:val="References"/>
      </w:pPr>
      <w:r>
        <w:t xml:space="preserve">Landrum, N. E., and B. </w:t>
      </w:r>
      <w:proofErr w:type="spellStart"/>
      <w:r>
        <w:t>Ohsowski</w:t>
      </w:r>
      <w:proofErr w:type="spellEnd"/>
      <w:r>
        <w:t xml:space="preserve">. 2018. “Identifying Worldviews on Corporate Sustainability: A Content Analysis of Corporate Sustainability Reports.” </w:t>
      </w:r>
      <w:r>
        <w:rPr>
          <w:i/>
          <w:iCs/>
        </w:rPr>
        <w:t xml:space="preserve">Business Strategy and the Environment </w:t>
      </w:r>
      <w:r>
        <w:t>27(1): 128–151. doi:</w:t>
      </w:r>
      <w:r w:rsidRPr="003C7563">
        <w:t>10.1002/bse.1989</w:t>
      </w:r>
      <w:r>
        <w:t>.</w:t>
      </w:r>
    </w:p>
    <w:p w14:paraId="23069EF6" w14:textId="77777777" w:rsidR="00CC2622" w:rsidRDefault="00CC2622" w:rsidP="00CC2622">
      <w:pPr>
        <w:pStyle w:val="References"/>
      </w:pPr>
      <w:r>
        <w:t xml:space="preserve">Lewis, B. W., J. L. Walls, and G. W. S. Dowell. 2014. “Difference in Degrees: CEO Characteristics and Firm Environmental Disclosure.” </w:t>
      </w:r>
      <w:r>
        <w:rPr>
          <w:i/>
          <w:iCs/>
        </w:rPr>
        <w:t xml:space="preserve">Strategic Management Journal </w:t>
      </w:r>
      <w:r>
        <w:t>35(5): 712–722. doi:</w:t>
      </w:r>
      <w:r w:rsidRPr="003C7563">
        <w:t>10.1002/smj.2127</w:t>
      </w:r>
      <w:r>
        <w:t>.</w:t>
      </w:r>
    </w:p>
    <w:p w14:paraId="500D1364" w14:textId="77777777" w:rsidR="00CC2622" w:rsidRDefault="00CC2622" w:rsidP="00CC2622">
      <w:pPr>
        <w:pStyle w:val="References"/>
      </w:pPr>
      <w:r>
        <w:t xml:space="preserve">Li, D., M. Huang, S. Ren, X. Chen, and L. Ning. 2018. “Environmental Legitimacy, Green Innovation, and Corporate Carbon Disclosure: Evidence from CDP China 100.” </w:t>
      </w:r>
      <w:r>
        <w:rPr>
          <w:i/>
          <w:iCs/>
        </w:rPr>
        <w:t xml:space="preserve">Journal of Business Ethics </w:t>
      </w:r>
      <w:r>
        <w:t>150(4): 1089–1104. doi:</w:t>
      </w:r>
      <w:r w:rsidRPr="003C7563">
        <w:t>10.1007/s10551-016-3187-6</w:t>
      </w:r>
      <w:r>
        <w:t>.</w:t>
      </w:r>
    </w:p>
    <w:p w14:paraId="20ADBCDF" w14:textId="77777777" w:rsidR="00CC2622" w:rsidRDefault="00CC2622" w:rsidP="00CC2622">
      <w:pPr>
        <w:pStyle w:val="References"/>
      </w:pPr>
      <w:r>
        <w:t xml:space="preserve">Li, M., and L. Zhao. 2021. “Exploring Global Fashion Sustainability Practices through Dictionary-Based Text Mining.” </w:t>
      </w:r>
      <w:r>
        <w:rPr>
          <w:i/>
          <w:iCs/>
        </w:rPr>
        <w:t xml:space="preserve">Clothing and Textiles Research </w:t>
      </w:r>
      <w:r w:rsidRPr="007916D0">
        <w:rPr>
          <w:i/>
          <w:iCs/>
        </w:rPr>
        <w:t>Journal</w:t>
      </w:r>
      <w:r w:rsidRPr="007916D0">
        <w:t xml:space="preserve">. </w:t>
      </w:r>
      <w:r>
        <w:t>doi:</w:t>
      </w:r>
      <w:r w:rsidRPr="007916D0">
        <w:t>10.1177/0887302X21998268.</w:t>
      </w:r>
    </w:p>
    <w:p w14:paraId="44336CCF" w14:textId="77777777" w:rsidR="00CC2622" w:rsidRDefault="00CC2622" w:rsidP="00CC2622">
      <w:pPr>
        <w:pStyle w:val="References"/>
      </w:pPr>
      <w:r>
        <w:t xml:space="preserve">Liew, W. T., A. </w:t>
      </w:r>
      <w:proofErr w:type="spellStart"/>
      <w:r>
        <w:t>Adhitya</w:t>
      </w:r>
      <w:proofErr w:type="spellEnd"/>
      <w:r>
        <w:t xml:space="preserve">, and R. Srinivasan. 2014. “Sustainability Trends in the Process Industries: A Text Mining-Based Analysis.” </w:t>
      </w:r>
      <w:r>
        <w:rPr>
          <w:i/>
          <w:iCs/>
        </w:rPr>
        <w:t xml:space="preserve">Computers in Industry </w:t>
      </w:r>
      <w:r>
        <w:t xml:space="preserve">65(3): 393–400. </w:t>
      </w:r>
      <w:proofErr w:type="gramStart"/>
      <w:r>
        <w:t>doi:</w:t>
      </w:r>
      <w:r w:rsidRPr="007916D0">
        <w:t>10.1016/j.compind</w:t>
      </w:r>
      <w:proofErr w:type="gramEnd"/>
      <w:r w:rsidRPr="007916D0">
        <w:t>.2014.01.004</w:t>
      </w:r>
      <w:r>
        <w:t>.</w:t>
      </w:r>
    </w:p>
    <w:p w14:paraId="03E22B14" w14:textId="77777777" w:rsidR="00CC2622" w:rsidRDefault="00CC2622" w:rsidP="00CC2622">
      <w:pPr>
        <w:pStyle w:val="References"/>
      </w:pPr>
      <w:r>
        <w:t xml:space="preserve">Liu, X., A. C. Burns, and Y. Hou. 2017. “An Investigation of Brand-Related User-Generated Content on Twitter.” </w:t>
      </w:r>
      <w:r>
        <w:rPr>
          <w:i/>
          <w:iCs/>
        </w:rPr>
        <w:t xml:space="preserve">Journal of Advertising </w:t>
      </w:r>
      <w:r>
        <w:t>46(2): 236–247. doi:</w:t>
      </w:r>
      <w:r w:rsidRPr="007916D0">
        <w:t>10.1080/00913367.2017.1297273</w:t>
      </w:r>
      <w:r>
        <w:t>.</w:t>
      </w:r>
    </w:p>
    <w:p w14:paraId="169B44A2" w14:textId="77777777" w:rsidR="00CC2622" w:rsidRPr="007916D0" w:rsidRDefault="00CC2622" w:rsidP="00CC2622">
      <w:pPr>
        <w:pStyle w:val="References"/>
      </w:pPr>
      <w:proofErr w:type="spellStart"/>
      <w:r>
        <w:t>Michelon</w:t>
      </w:r>
      <w:proofErr w:type="spellEnd"/>
      <w:r>
        <w:t xml:space="preserve">, G., S. </w:t>
      </w:r>
      <w:proofErr w:type="spellStart"/>
      <w:r>
        <w:t>Pilonato</w:t>
      </w:r>
      <w:proofErr w:type="spellEnd"/>
      <w:r>
        <w:t xml:space="preserve">, and F. </w:t>
      </w:r>
      <w:proofErr w:type="spellStart"/>
      <w:r>
        <w:t>Ricceri</w:t>
      </w:r>
      <w:proofErr w:type="spellEnd"/>
      <w:r>
        <w:t xml:space="preserve">. 2015. “CSR Reporting Practices and the Quality of Disclosure: An Empirical Analysis.” </w:t>
      </w:r>
      <w:r>
        <w:rPr>
          <w:i/>
          <w:iCs/>
        </w:rPr>
        <w:t xml:space="preserve">Critical Perspectives on Accounting </w:t>
      </w:r>
      <w:r>
        <w:t>33: 59–78</w:t>
      </w:r>
      <w:r w:rsidRPr="007916D0">
        <w:t>.</w:t>
      </w:r>
      <w:r>
        <w:t xml:space="preserve"> </w:t>
      </w:r>
      <w:proofErr w:type="gramStart"/>
      <w:r>
        <w:t>doi:</w:t>
      </w:r>
      <w:r w:rsidRPr="007916D0">
        <w:t>10.1016/j.cpa</w:t>
      </w:r>
      <w:proofErr w:type="gramEnd"/>
      <w:r w:rsidRPr="007916D0">
        <w:t>.2014.10.003</w:t>
      </w:r>
      <w:r>
        <w:t>.</w:t>
      </w:r>
    </w:p>
    <w:p w14:paraId="5DA4AE53" w14:textId="77777777" w:rsidR="00CC2622" w:rsidRDefault="00CC2622" w:rsidP="00CC2622">
      <w:pPr>
        <w:pStyle w:val="References"/>
      </w:pPr>
      <w:r>
        <w:t xml:space="preserve">Nelson, G. C., H. Valin, R. D. Sands, P. </w:t>
      </w:r>
      <w:proofErr w:type="spellStart"/>
      <w:r>
        <w:t>Havlík</w:t>
      </w:r>
      <w:proofErr w:type="spellEnd"/>
      <w:r>
        <w:t xml:space="preserve">, H. </w:t>
      </w:r>
      <w:proofErr w:type="spellStart"/>
      <w:r>
        <w:t>Ahammad</w:t>
      </w:r>
      <w:proofErr w:type="spellEnd"/>
      <w:r>
        <w:t xml:space="preserve">, D. </w:t>
      </w:r>
      <w:proofErr w:type="spellStart"/>
      <w:r>
        <w:t>Deryng</w:t>
      </w:r>
      <w:proofErr w:type="spellEnd"/>
      <w:r>
        <w:t xml:space="preserve">, J. Elliott, et al. 2014. “Climate Change Effects on Agriculture: Economic Responses to Biophysical Shocks.” </w:t>
      </w:r>
      <w:r>
        <w:rPr>
          <w:i/>
          <w:iCs/>
        </w:rPr>
        <w:t xml:space="preserve">Proceedings of the National Academy of Sciences </w:t>
      </w:r>
      <w:r>
        <w:t>111(9): 3274–3279. doi:</w:t>
      </w:r>
      <w:r w:rsidRPr="007916D0">
        <w:t>10.1073/pnas.1222465110</w:t>
      </w:r>
      <w:r>
        <w:t>.</w:t>
      </w:r>
    </w:p>
    <w:p w14:paraId="11C09E31" w14:textId="77777777" w:rsidR="00CC2622" w:rsidRDefault="00CC2622" w:rsidP="00CC2622">
      <w:pPr>
        <w:pStyle w:val="References"/>
      </w:pPr>
      <w:r>
        <w:t xml:space="preserve">Ning, X., D. </w:t>
      </w:r>
      <w:proofErr w:type="spellStart"/>
      <w:r>
        <w:t>Yim</w:t>
      </w:r>
      <w:proofErr w:type="spellEnd"/>
      <w:r>
        <w:t xml:space="preserve">, and J. </w:t>
      </w:r>
      <w:proofErr w:type="spellStart"/>
      <w:r>
        <w:t>Khuntia</w:t>
      </w:r>
      <w:proofErr w:type="spellEnd"/>
      <w:r>
        <w:t xml:space="preserve">. 2021. “Online Sustainability Reporting and Firm Performance: Lessons Learned from Text Mining.” </w:t>
      </w:r>
      <w:r>
        <w:rPr>
          <w:i/>
          <w:iCs/>
        </w:rPr>
        <w:t>Sustainability</w:t>
      </w:r>
      <w:r>
        <w:t xml:space="preserve"> 13(3): 1069. doi:10.3390/su13031069.</w:t>
      </w:r>
    </w:p>
    <w:p w14:paraId="258170D4" w14:textId="77777777" w:rsidR="00CC2622" w:rsidRPr="00562BA3" w:rsidRDefault="00CC2622" w:rsidP="00CC2622">
      <w:pPr>
        <w:pStyle w:val="References"/>
      </w:pPr>
      <w:r>
        <w:lastRenderedPageBreak/>
        <w:t xml:space="preserve">No. 239, 274 F.R. 66495 (proposed December 15, 2009). </w:t>
      </w:r>
      <w:hyperlink r:id="rId20" w:history="1">
        <w:r>
          <w:rPr>
            <w:rStyle w:val="Hyperlink"/>
          </w:rPr>
          <w:t>https://www.govinfo.gov/content/pkg/FR-2009-12-15/pdf/E9-29537.pdf</w:t>
        </w:r>
      </w:hyperlink>
    </w:p>
    <w:p w14:paraId="71D2433D" w14:textId="77777777" w:rsidR="00CC2622" w:rsidRDefault="00CC2622" w:rsidP="00CC2622">
      <w:pPr>
        <w:pStyle w:val="References"/>
      </w:pPr>
      <w:proofErr w:type="spellStart"/>
      <w:r>
        <w:t>Palanichamy</w:t>
      </w:r>
      <w:proofErr w:type="spellEnd"/>
      <w:r>
        <w:t xml:space="preserve">, Y., M. </w:t>
      </w:r>
      <w:proofErr w:type="spellStart"/>
      <w:r>
        <w:t>Kargar</w:t>
      </w:r>
      <w:proofErr w:type="spellEnd"/>
      <w:r>
        <w:t xml:space="preserve">, and H. </w:t>
      </w:r>
      <w:proofErr w:type="spellStart"/>
      <w:r>
        <w:t>Zolfagharinia</w:t>
      </w:r>
      <w:proofErr w:type="spellEnd"/>
      <w:r>
        <w:t xml:space="preserve">. 2021. “Unearthing Trends in Environmental Science and Engineering Research: Insights from a Probabilistic Topic </w:t>
      </w:r>
      <w:proofErr w:type="spellStart"/>
      <w:r>
        <w:t>Modeling</w:t>
      </w:r>
      <w:proofErr w:type="spellEnd"/>
      <w:r>
        <w:t xml:space="preserve"> Literature Analysis.” </w:t>
      </w:r>
      <w:r>
        <w:rPr>
          <w:i/>
          <w:iCs/>
        </w:rPr>
        <w:t xml:space="preserve">Journal of Cleaner Production </w:t>
      </w:r>
      <w:r>
        <w:t xml:space="preserve">317: 128322. </w:t>
      </w:r>
      <w:proofErr w:type="gramStart"/>
      <w:r>
        <w:t>doi:</w:t>
      </w:r>
      <w:r w:rsidRPr="007916D0">
        <w:t>10.1016/j.jclepro</w:t>
      </w:r>
      <w:proofErr w:type="gramEnd"/>
      <w:r w:rsidRPr="007916D0">
        <w:t>.2021.128322</w:t>
      </w:r>
      <w:r>
        <w:t>.</w:t>
      </w:r>
    </w:p>
    <w:p w14:paraId="2A6A6D47" w14:textId="77777777" w:rsidR="00CC2622" w:rsidRDefault="00CC2622" w:rsidP="00CC2622">
      <w:pPr>
        <w:pStyle w:val="References"/>
      </w:pPr>
      <w:r>
        <w:t xml:space="preserve">Province of British Columbia. n.d. “British Columbia's Carbon Tax.” </w:t>
      </w:r>
      <w:hyperlink r:id="rId21" w:history="1">
        <w:r>
          <w:rPr>
            <w:rStyle w:val="Hyperlink"/>
          </w:rPr>
          <w:t>https://www2.gov.bc.ca/gov/content/environment/climate-change/clean-economy/carbon-tax</w:t>
        </w:r>
      </w:hyperlink>
    </w:p>
    <w:p w14:paraId="4FEF08D8" w14:textId="77777777" w:rsidR="00CC2622" w:rsidRDefault="00CC2622" w:rsidP="00CC2622">
      <w:pPr>
        <w:pStyle w:val="References"/>
      </w:pPr>
      <w:r>
        <w:t xml:space="preserve">Rankin, M., C. Windsor, and D. </w:t>
      </w:r>
      <w:proofErr w:type="spellStart"/>
      <w:r>
        <w:t>Wahyuni</w:t>
      </w:r>
      <w:proofErr w:type="spellEnd"/>
      <w:r>
        <w:t xml:space="preserve">. 2011. “An Investigation of Voluntary Corporate Greenhouse Gas Emissions Reporting in a Market Governance System: Australian Evidence.” </w:t>
      </w:r>
      <w:r>
        <w:rPr>
          <w:i/>
          <w:iCs/>
        </w:rPr>
        <w:t xml:space="preserve">Accounting, Auditing &amp; Accountability Journal </w:t>
      </w:r>
      <w:r>
        <w:t>24(8): 1037–1070. doi:</w:t>
      </w:r>
      <w:r w:rsidRPr="007916D0">
        <w:t>10.1108/09513571111184751</w:t>
      </w:r>
      <w:r>
        <w:t>.</w:t>
      </w:r>
    </w:p>
    <w:p w14:paraId="20332E52" w14:textId="77777777" w:rsidR="00CC2622" w:rsidRDefault="00CC2622" w:rsidP="00CC2622">
      <w:pPr>
        <w:pStyle w:val="References"/>
      </w:pPr>
      <w:proofErr w:type="spellStart"/>
      <w:r>
        <w:t>Rell</w:t>
      </w:r>
      <w:proofErr w:type="spellEnd"/>
      <w:r>
        <w:t xml:space="preserve">, J., R. A. </w:t>
      </w:r>
      <w:proofErr w:type="spellStart"/>
      <w:r>
        <w:t>Minner</w:t>
      </w:r>
      <w:proofErr w:type="spellEnd"/>
      <w:r>
        <w:t xml:space="preserve">, J. E. Baldacci, J. Lynch, R. Codey, G. E. Pataki, and J. Douglas. 2005. “Regional Greenhouse Gas Initiative Memorandum of Understanding.” </w:t>
      </w:r>
      <w:hyperlink r:id="rId22" w:history="1">
        <w:r>
          <w:rPr>
            <w:rStyle w:val="Hyperlink"/>
          </w:rPr>
          <w:t>https://www.rggi.org/sites/default/files/Uploads/Design-Archive/MOU/MOU_12_20_05.pdf</w:t>
        </w:r>
      </w:hyperlink>
    </w:p>
    <w:p w14:paraId="6684D02F" w14:textId="77777777" w:rsidR="00CC2622" w:rsidRDefault="00CC2622" w:rsidP="00CC2622">
      <w:pPr>
        <w:pStyle w:val="References"/>
      </w:pPr>
      <w:r>
        <w:t xml:space="preserve">RGGI, Inc. n.d. “Elements of RGGI.” </w:t>
      </w:r>
      <w:hyperlink r:id="rId23" w:history="1">
        <w:r>
          <w:rPr>
            <w:rStyle w:val="Hyperlink"/>
          </w:rPr>
          <w:t>https://www.rggi.org/program-overview-and-design/elements</w:t>
        </w:r>
      </w:hyperlink>
    </w:p>
    <w:p w14:paraId="10339775" w14:textId="77777777" w:rsidR="00CC2622" w:rsidRDefault="00CC2622" w:rsidP="00CC2622">
      <w:pPr>
        <w:pStyle w:val="References"/>
        <w:rPr>
          <w:rStyle w:val="Hyperlink"/>
          <w:color w:val="000000" w:themeColor="text1"/>
        </w:rPr>
      </w:pPr>
      <w:r>
        <w:t xml:space="preserve">The World Bank. 2021. “State and Trends of Carbon Pricing 2021.” </w:t>
      </w:r>
      <w:hyperlink r:id="rId24" w:history="1">
        <w:r>
          <w:rPr>
            <w:rStyle w:val="Hyperlink"/>
          </w:rPr>
          <w:t>https://openknowledge.worldbank.org/handle/10986/35620</w:t>
        </w:r>
      </w:hyperlink>
    </w:p>
    <w:p w14:paraId="26462B10" w14:textId="77777777" w:rsidR="00CC2622" w:rsidRDefault="00CC2622" w:rsidP="00CC2622">
      <w:pPr>
        <w:pStyle w:val="References"/>
      </w:pPr>
      <w:r>
        <w:t xml:space="preserve">U.K. Statutory Instrument 2020 No. 1265. “The Greenhouse Gas Emissions Trading Scheme Order 2020.” The Queen’s Most Excellent Majesty in Council. </w:t>
      </w:r>
      <w:hyperlink r:id="rId25" w:history="1">
        <w:r>
          <w:rPr>
            <w:rStyle w:val="Hyperlink"/>
          </w:rPr>
          <w:t>https://www.legislation.gov.uk/uksi/2020/1265/contents/made</w:t>
        </w:r>
      </w:hyperlink>
    </w:p>
    <w:p w14:paraId="6CEECA32" w14:textId="5A9B87BB" w:rsidR="00CC2622" w:rsidRDefault="00CC2622" w:rsidP="00CC2622">
      <w:pPr>
        <w:pStyle w:val="References"/>
      </w:pPr>
      <w:r>
        <w:t xml:space="preserve">UNFCCC. </w:t>
      </w:r>
      <w:proofErr w:type="spellStart"/>
      <w:r>
        <w:t>n.d.</w:t>
      </w:r>
      <w:r>
        <w:t>a.</w:t>
      </w:r>
      <w:proofErr w:type="spellEnd"/>
      <w:r>
        <w:t xml:space="preserve"> “The Doha Amendment.” </w:t>
      </w:r>
      <w:hyperlink r:id="rId26" w:history="1">
        <w:r>
          <w:rPr>
            <w:rStyle w:val="Hyperlink"/>
          </w:rPr>
          <w:t>https://unfccc.int/process/the-kyoto-protocol/the-doha-amendment</w:t>
        </w:r>
      </w:hyperlink>
    </w:p>
    <w:p w14:paraId="1FCFC1A6" w14:textId="3B3E7015" w:rsidR="00CC2622" w:rsidRDefault="00CC2622" w:rsidP="00CC2622">
      <w:pPr>
        <w:pStyle w:val="References"/>
      </w:pPr>
      <w:r>
        <w:t xml:space="preserve">UNFCCC. </w:t>
      </w:r>
      <w:proofErr w:type="spellStart"/>
      <w:r>
        <w:t>n.d.</w:t>
      </w:r>
      <w:r>
        <w:t>b</w:t>
      </w:r>
      <w:proofErr w:type="spellEnd"/>
      <w:r>
        <w:t>.</w:t>
      </w:r>
      <w:r>
        <w:t xml:space="preserve"> “The Paris Agreement.” </w:t>
      </w:r>
      <w:hyperlink r:id="rId27" w:history="1">
        <w:r>
          <w:rPr>
            <w:rStyle w:val="Hyperlink"/>
          </w:rPr>
          <w:t>https://unfccc.int/process-and-meetings/the-paris-agreement/the-paris-agreement</w:t>
        </w:r>
      </w:hyperlink>
    </w:p>
    <w:p w14:paraId="0044BCEC" w14:textId="7D0E19CC" w:rsidR="00CC2622" w:rsidRDefault="00CC2622" w:rsidP="00CC2622">
      <w:pPr>
        <w:pStyle w:val="References"/>
      </w:pPr>
      <w:r>
        <w:t xml:space="preserve">UNFCCC. </w:t>
      </w:r>
      <w:proofErr w:type="spellStart"/>
      <w:r>
        <w:t>n.d.</w:t>
      </w:r>
      <w:r>
        <w:t>c</w:t>
      </w:r>
      <w:proofErr w:type="spellEnd"/>
      <w:r>
        <w:t>.</w:t>
      </w:r>
      <w:r>
        <w:t xml:space="preserve"> “What is the Kyoto Protocol?” </w:t>
      </w:r>
      <w:hyperlink r:id="rId28" w:history="1">
        <w:r>
          <w:rPr>
            <w:rStyle w:val="Hyperlink"/>
          </w:rPr>
          <w:t>https://unfccc.int/kyoto_protocol</w:t>
        </w:r>
      </w:hyperlink>
    </w:p>
    <w:p w14:paraId="68106560" w14:textId="2EEC1329" w:rsidR="00CC2622" w:rsidRDefault="00CC2622" w:rsidP="00CC2622">
      <w:pPr>
        <w:pStyle w:val="References"/>
      </w:pPr>
      <w:r>
        <w:t xml:space="preserve">UNFCCC. </w:t>
      </w:r>
      <w:proofErr w:type="spellStart"/>
      <w:r>
        <w:t>n.d.</w:t>
      </w:r>
      <w:r>
        <w:t>d</w:t>
      </w:r>
      <w:proofErr w:type="spellEnd"/>
      <w:r>
        <w:t>.</w:t>
      </w:r>
      <w:r>
        <w:t xml:space="preserve"> “What is the United Nations Framework Convention on Climate Change?” </w:t>
      </w:r>
      <w:hyperlink r:id="rId29" w:history="1">
        <w:r>
          <w:rPr>
            <w:rStyle w:val="Hyperlink"/>
          </w:rPr>
          <w:t>https://unfccc.int/process-and-meetings/the-convention/what-is-the-united-nations-framework-convention-on-climate-change</w:t>
        </w:r>
      </w:hyperlink>
    </w:p>
    <w:p w14:paraId="580E0431" w14:textId="0CB00251" w:rsidR="00CC2622" w:rsidRDefault="00CC2622" w:rsidP="00CC2622">
      <w:pPr>
        <w:pStyle w:val="References"/>
      </w:pPr>
      <w:r>
        <w:lastRenderedPageBreak/>
        <w:t xml:space="preserve">United Nations Treaty Collection. </w:t>
      </w:r>
      <w:proofErr w:type="spellStart"/>
      <w:r>
        <w:t>n.d.</w:t>
      </w:r>
      <w:r>
        <w:t>a.</w:t>
      </w:r>
      <w:proofErr w:type="spellEnd"/>
      <w:r>
        <w:t xml:space="preserve"> “7. d Paris Agreement.” </w:t>
      </w:r>
      <w:hyperlink r:id="rId30" w:history="1">
        <w:r>
          <w:rPr>
            <w:rStyle w:val="Hyperlink"/>
          </w:rPr>
          <w:t>https://treaties.un.org/Pages/ViewDetails.aspx?src=TREATY&amp;mtdsg_no=XXVII-7-d&amp;chapter=27&amp;clang=_en</w:t>
        </w:r>
      </w:hyperlink>
    </w:p>
    <w:p w14:paraId="2CC3BEBE" w14:textId="068B37C7" w:rsidR="00CC2622" w:rsidRDefault="00CC2622" w:rsidP="00CC2622">
      <w:pPr>
        <w:pStyle w:val="References"/>
      </w:pPr>
      <w:r>
        <w:t xml:space="preserve">United Nations Treaty Collection. </w:t>
      </w:r>
      <w:proofErr w:type="spellStart"/>
      <w:r>
        <w:t>n.d.</w:t>
      </w:r>
      <w:r>
        <w:t>b</w:t>
      </w:r>
      <w:proofErr w:type="spellEnd"/>
      <w:r>
        <w:t>.</w:t>
      </w:r>
      <w:r>
        <w:t xml:space="preserve"> “7. United Nations Framework Convention on Climate Change.” </w:t>
      </w:r>
      <w:hyperlink r:id="rId31" w:history="1">
        <w:r>
          <w:rPr>
            <w:rStyle w:val="Hyperlink"/>
          </w:rPr>
          <w:t>https://treaties.un.org/Pages/ViewDetailsIII.aspx?src=TREATY&amp;mtdsg_no=XXVII-7&amp;chapter=27&amp;Temp=mtdsg3&amp;clang=_en</w:t>
        </w:r>
      </w:hyperlink>
    </w:p>
    <w:p w14:paraId="6C794AEC" w14:textId="77777777" w:rsidR="00CC2622" w:rsidRDefault="00CC2622" w:rsidP="00CC2622">
      <w:pPr>
        <w:pStyle w:val="References"/>
      </w:pPr>
      <w:r>
        <w:t xml:space="preserve">United Nations. 1992. “United Nations Framework Convention on Climate Change [including amendments to Annexes I and II].” </w:t>
      </w:r>
      <w:hyperlink r:id="rId32" w:history="1">
        <w:r>
          <w:rPr>
            <w:rStyle w:val="Hyperlink"/>
          </w:rPr>
          <w:t>https://unfccc.int/sites/default/files/convention_text_with_annexes_english_for_posting.pdf</w:t>
        </w:r>
      </w:hyperlink>
    </w:p>
    <w:p w14:paraId="043C4004" w14:textId="77777777" w:rsidR="00CC2622" w:rsidRDefault="00CC2622" w:rsidP="00CC2622">
      <w:pPr>
        <w:pStyle w:val="References"/>
      </w:pPr>
      <w:r>
        <w:t xml:space="preserve">United Nations. 2015. “Paris Agreement.” </w:t>
      </w:r>
      <w:hyperlink r:id="rId33" w:history="1">
        <w:r>
          <w:rPr>
            <w:rStyle w:val="Hyperlink"/>
          </w:rPr>
          <w:t>https://unfccc.int/sites/default/files/english_paris_agreement.pdf</w:t>
        </w:r>
      </w:hyperlink>
    </w:p>
    <w:p w14:paraId="16708BBC" w14:textId="77777777" w:rsidR="00CC2622" w:rsidRDefault="00CC2622" w:rsidP="00CC2622">
      <w:pPr>
        <w:pStyle w:val="References"/>
      </w:pPr>
      <w:r>
        <w:t xml:space="preserve">United States Environmental Protection Agency. </w:t>
      </w:r>
      <w:proofErr w:type="spellStart"/>
      <w:r>
        <w:t>n.d.a.</w:t>
      </w:r>
      <w:proofErr w:type="spellEnd"/>
      <w:r>
        <w:t xml:space="preserve"> “Clean Air Act Permitting for Greenhouse Gases.” </w:t>
      </w:r>
      <w:hyperlink r:id="rId34" w:history="1">
        <w:r>
          <w:rPr>
            <w:rStyle w:val="Hyperlink"/>
          </w:rPr>
          <w:t>https://www.epa.gov/nsr/clean-air-act-permitting-greenhouse-gases</w:t>
        </w:r>
      </w:hyperlink>
    </w:p>
    <w:p w14:paraId="76AD5A33" w14:textId="77777777" w:rsidR="00CC2622" w:rsidRDefault="00CC2622" w:rsidP="00CC2622">
      <w:pPr>
        <w:pStyle w:val="References"/>
      </w:pPr>
      <w:r>
        <w:t xml:space="preserve">United States Environmental Protection Agency. </w:t>
      </w:r>
      <w:proofErr w:type="spellStart"/>
      <w:r>
        <w:t>n.d.b</w:t>
      </w:r>
      <w:proofErr w:type="spellEnd"/>
      <w:r>
        <w:t xml:space="preserve">. “Endangerment and Cause or Contribute Findings for Greenhouse Gases Under Section 202(a) of the Clean Air Act.” </w:t>
      </w:r>
      <w:hyperlink r:id="rId35" w:history="1">
        <w:r>
          <w:rPr>
            <w:rStyle w:val="Hyperlink"/>
          </w:rPr>
          <w:t>https://www.epa.gov/climate-change/endangerment-and-cause-or-contribute-findings-greenhouse-gases-under-section-202a</w:t>
        </w:r>
      </w:hyperlink>
    </w:p>
    <w:p w14:paraId="736A4B7D" w14:textId="77777777" w:rsidR="00CC2622" w:rsidRDefault="00CC2622" w:rsidP="00CC2622">
      <w:pPr>
        <w:pStyle w:val="References"/>
      </w:pPr>
      <w:r>
        <w:t xml:space="preserve">United States Environmental Protection Agency. </w:t>
      </w:r>
      <w:proofErr w:type="spellStart"/>
      <w:r>
        <w:t>n.d.c</w:t>
      </w:r>
      <w:proofErr w:type="spellEnd"/>
      <w:r>
        <w:t xml:space="preserve">. “NAAQS Table.” </w:t>
      </w:r>
      <w:hyperlink r:id="rId36" w:history="1">
        <w:r>
          <w:rPr>
            <w:rStyle w:val="Hyperlink"/>
          </w:rPr>
          <w:t>https://www.epa.gov/criteria-air-pollutants/naaqs-table</w:t>
        </w:r>
      </w:hyperlink>
    </w:p>
    <w:p w14:paraId="4FDEE914" w14:textId="77777777" w:rsidR="00CC2622" w:rsidRDefault="00CC2622" w:rsidP="00CC2622">
      <w:pPr>
        <w:pStyle w:val="References"/>
      </w:pPr>
      <w:r>
        <w:t xml:space="preserve">United States Environmental Protection Agency. </w:t>
      </w:r>
      <w:proofErr w:type="spellStart"/>
      <w:r>
        <w:t>n.d.d</w:t>
      </w:r>
      <w:proofErr w:type="spellEnd"/>
      <w:r>
        <w:t xml:space="preserve">. “Regulations for Greenhouse Gas Emissions from Commercial Trucks &amp; Buses.” </w:t>
      </w:r>
      <w:hyperlink r:id="rId37" w:history="1">
        <w:r>
          <w:rPr>
            <w:rStyle w:val="Hyperlink"/>
          </w:rPr>
          <w:t>https://www.epa.gov/regulations-emissions-vehicles-and-engines/regulations-greenhouse-gas-emissions-commercial-trucks</w:t>
        </w:r>
      </w:hyperlink>
    </w:p>
    <w:p w14:paraId="35A0890C" w14:textId="77777777" w:rsidR="00CC2622" w:rsidRPr="003401E5" w:rsidRDefault="00CC2622" w:rsidP="00CC2622">
      <w:pPr>
        <w:pStyle w:val="References"/>
      </w:pPr>
      <w:r>
        <w:t xml:space="preserve">United States Environmental Protection Agency. </w:t>
      </w:r>
      <w:proofErr w:type="spellStart"/>
      <w:r>
        <w:t>n.d.e</w:t>
      </w:r>
      <w:proofErr w:type="spellEnd"/>
      <w:r>
        <w:t xml:space="preserve">. “Summary of the Clean Air Act.” </w:t>
      </w:r>
      <w:hyperlink r:id="rId38" w:history="1">
        <w:r>
          <w:rPr>
            <w:rStyle w:val="Hyperlink"/>
          </w:rPr>
          <w:t>https://www.epa.gov/laws-regulations/summary-clean-air-act</w:t>
        </w:r>
      </w:hyperlink>
    </w:p>
    <w:p w14:paraId="6AB65099" w14:textId="3671A1B2" w:rsidR="00CC2622" w:rsidRDefault="00CC2622" w:rsidP="00CC2622">
      <w:pPr>
        <w:pStyle w:val="References"/>
      </w:pPr>
      <w:r>
        <w:t xml:space="preserve">Wang, S-H., Y. Ding, W. Zhao, Y-H. Huang, R. Perkins, W. Zou, and J. J. Chen. 2016. “Text Mining for Identifying Topics in the Literatures About Adolescent Substance Use and Depression.” </w:t>
      </w:r>
      <w:r>
        <w:rPr>
          <w:i/>
          <w:iCs/>
        </w:rPr>
        <w:t xml:space="preserve">BMC Public Health </w:t>
      </w:r>
      <w:r>
        <w:t>16: 279. doi:</w:t>
      </w:r>
      <w:r w:rsidRPr="007916D0">
        <w:t>10.1186/s12889-016-2932-1</w:t>
      </w:r>
      <w:r>
        <w:t>.</w:t>
      </w:r>
    </w:p>
    <w:p w14:paraId="405504A1" w14:textId="189F5B99" w:rsidR="00E068C6" w:rsidRDefault="00E068C6" w:rsidP="00CC2622">
      <w:pPr>
        <w:pStyle w:val="References"/>
      </w:pPr>
    </w:p>
    <w:p w14:paraId="3489BE85" w14:textId="235EC82A" w:rsidR="00E068C6" w:rsidRDefault="00E068C6" w:rsidP="00CC2622">
      <w:pPr>
        <w:pStyle w:val="References"/>
      </w:pPr>
    </w:p>
    <w:p w14:paraId="22A220AF" w14:textId="77777777" w:rsidR="00783B99" w:rsidRDefault="00783B99" w:rsidP="00783B99">
      <w:pPr>
        <w:pStyle w:val="Heading1"/>
        <w:rPr>
          <w:rFonts w:eastAsiaTheme="minorEastAsia"/>
        </w:rPr>
      </w:pPr>
      <w:r>
        <w:rPr>
          <w:rFonts w:eastAsiaTheme="minorEastAsia"/>
        </w:rPr>
        <w:lastRenderedPageBreak/>
        <w:t>Climate Change Topics in Industries by the two-digit SIC Groups</w:t>
      </w:r>
    </w:p>
    <w:p w14:paraId="40CC961E" w14:textId="77777777" w:rsidR="00783B99" w:rsidRDefault="00783B99" w:rsidP="00783B99">
      <w:pPr>
        <w:pStyle w:val="Paragraph"/>
      </w:pPr>
      <w:r>
        <w:t xml:space="preserve">In this study, we conduct the LDA topic analysis at two levels: the pooled risk disclosures of all the public companies listed in the U.S. that include our pre-defined keywords, as well as the risk disclosures by industry, categorized with the first two digits of the SIC code. The analyses to pooled disclosures are presented and discussed in the paper, and this supplemental material file presents the analyses of the disclosures by industry. Not all the industries include at least one of the keywords in their 10-K risk factor disclosures, and we only present the ones whose businesses are relevant. There are 61 industries included in this industry-specific analysis. </w:t>
      </w:r>
    </w:p>
    <w:p w14:paraId="03A7CDC0" w14:textId="77777777" w:rsidR="00783B99" w:rsidRDefault="00783B99" w:rsidP="00783B99">
      <w:pPr>
        <w:pStyle w:val="Heading2"/>
        <w:rPr>
          <w:rFonts w:eastAsiaTheme="majorEastAsia"/>
        </w:rPr>
      </w:pPr>
      <w:r>
        <w:t>SIC 01 (Agricultural Production-crops) (NAICS Report 11):</w:t>
      </w:r>
    </w:p>
    <w:p w14:paraId="578CF1DA" w14:textId="77777777" w:rsidR="00783B99" w:rsidRDefault="00783B99" w:rsidP="00783B99">
      <w:pPr>
        <w:pStyle w:val="Paragraph"/>
      </w:pPr>
      <w:r>
        <w:t>Topics 2 and 3 in this industry’s word clouds reflect the especially significant impacts that climate change could have on business operations, in the form of weather conditions impacting the health of crops. This is not reflected in the entire dataset’s word clouds, which do not mention direct effects on crops or agriculture. Overall, climate change may be a major source of concern in this industry and a notable threat on agriculture in the U.S.</w:t>
      </w:r>
    </w:p>
    <w:p w14:paraId="55270D63" w14:textId="77777777" w:rsidR="00783B99" w:rsidRDefault="00783B99" w:rsidP="007F5502">
      <w:pPr>
        <w:pStyle w:val="Heading2"/>
      </w:pPr>
      <w:r>
        <w:t>SIC 07 (Agricultural Services) (NAICS Report 11):</w:t>
      </w:r>
    </w:p>
    <w:p w14:paraId="56397CF5" w14:textId="77777777" w:rsidR="00783B99" w:rsidRDefault="00783B99" w:rsidP="00783B99">
      <w:pPr>
        <w:pStyle w:val="Paragraph"/>
      </w:pPr>
      <w:r>
        <w:t>The word clouds in this industry do not focus on threats to crops like those in SIC 01, but Topic 1 and Topic 7 reflect possible weather-related impacts, particularly in terms of effects on water and the water supply. Unlike in the entire dataset’s word clouds, there are no discussions of specific climate change regulatory initiatives, but there are still general disclosures of regulatory risks. Also, Topics 4, 6, and 8 contain mentions of other production risks that are likely related to climate change.</w:t>
      </w:r>
    </w:p>
    <w:p w14:paraId="767BB5B7" w14:textId="77777777" w:rsidR="00783B99" w:rsidRDefault="00783B99" w:rsidP="007F5502">
      <w:pPr>
        <w:pStyle w:val="Heading2"/>
      </w:pPr>
      <w:r>
        <w:lastRenderedPageBreak/>
        <w:t>SIC 10 (Metal mining; Gold and silver ores; Miscellaneous metal ores) (NAICS Report 21222):</w:t>
      </w:r>
    </w:p>
    <w:p w14:paraId="02F73135" w14:textId="77777777" w:rsidR="00783B99" w:rsidRDefault="00783B99" w:rsidP="00783B99">
      <w:pPr>
        <w:pStyle w:val="Paragraph"/>
      </w:pPr>
      <w:r>
        <w:t xml:space="preserve">The word clouds generated for the metal mining industry appear </w:t>
      </w:r>
      <w:proofErr w:type="gramStart"/>
      <w:r>
        <w:t>similar to</w:t>
      </w:r>
      <w:proofErr w:type="gramEnd"/>
      <w:r>
        <w:t xml:space="preserve"> those of the economy-wide data, likely because industries like mining are subject to greater emissions regulations than are most other industries. This results in a large amount of relevant data for the LDA model to categorize. An exception to this similarity is Topic 8, which instead contains industry-specific mentions of licensing and regulatory concerns that could be related to climate risk disclosures, including terms like “mining activities,” “reduce emissions,” and “regulatory compliance.” EPA regulations are a significant influence on mining operations in the U.S., and fines or litigation related to environmental contamination caused by mining efforts can bring negative impacts to the firms in this industry financially.</w:t>
      </w:r>
    </w:p>
    <w:p w14:paraId="60277E51" w14:textId="77777777" w:rsidR="00783B99" w:rsidRDefault="00783B99" w:rsidP="007F5502">
      <w:pPr>
        <w:pStyle w:val="Heading2"/>
      </w:pPr>
      <w:r>
        <w:t>SIC 12 (Bituminous coal &amp; lignite mining; Bituminous coal &amp; lignite surface mining) (NAICS Report 21211):</w:t>
      </w:r>
    </w:p>
    <w:p w14:paraId="6625CEE1" w14:textId="77777777" w:rsidR="00783B99" w:rsidRDefault="00783B99" w:rsidP="00783B99">
      <w:pPr>
        <w:pStyle w:val="Paragraph"/>
      </w:pPr>
      <w:r>
        <w:t>The word clouds generated for the coal industry focus heavily on both GHG emissions and regulatory efforts made to limit emissions, particularly in Topics 3 and 7. Unlike in the economy-wide word clouds, the word clouds for SIC 12 do not mention possible adverse weather conditions caused by climate change. The coal industry is subject to heavy regulation in the U.S., and it competes with natural gas and renewable energy sources. This, combined with the high volatility of revenue, makes the industry very financially vulnerable to new regulatory efforts targeting climate change.</w:t>
      </w:r>
    </w:p>
    <w:p w14:paraId="537E7C55" w14:textId="77777777" w:rsidR="00783B99" w:rsidRDefault="00783B99" w:rsidP="007F5502">
      <w:pPr>
        <w:pStyle w:val="Heading2"/>
      </w:pPr>
      <w:r>
        <w:t xml:space="preserve">SIC 13 (Crude petroleum &amp; natural gas; Drilling oil &amp; gas wells; Oil &amp; gas field services, </w:t>
      </w:r>
      <w:proofErr w:type="spellStart"/>
      <w:r>
        <w:t>nec</w:t>
      </w:r>
      <w:proofErr w:type="spellEnd"/>
      <w:r>
        <w:t>) (NAICS Report 21111):</w:t>
      </w:r>
    </w:p>
    <w:p w14:paraId="3674A69D" w14:textId="77777777" w:rsidR="00783B99" w:rsidRDefault="00783B99" w:rsidP="00783B99">
      <w:pPr>
        <w:pStyle w:val="Paragraph"/>
      </w:pPr>
      <w:r>
        <w:t xml:space="preserve">The U.S. oil industry’s word clouds reflect a similar collection of data to those of the </w:t>
      </w:r>
      <w:r>
        <w:lastRenderedPageBreak/>
        <w:t>coal industry. Unlike the coal industry’s word clouds, the physical effects of climate change are acknowledged in Topic 2 of the word clouds. Furthermore, emissions from hydraulic fracturing are mentioned in Topic 7: these bigrams are likely sourced from a standard risk disclosure on the environmental impacts of hydraulic fracturing, which was used widely in the annual reports of firms across this industry. Due to its significant impact on emissions, the oil industry is subject to heavy regulation in the U.S. However, the world’s reliance on petroleum means that it is generally less vulnerable than the coal industry to external threats. Nevertheless, competition with renewable energy sources and other clean energy solutions is a major threat and source of pressure to firms in the hydrocarbon industry.</w:t>
      </w:r>
    </w:p>
    <w:p w14:paraId="3428B7CB" w14:textId="14D5937E" w:rsidR="00783B99" w:rsidRDefault="00783B99" w:rsidP="007F5502">
      <w:pPr>
        <w:pStyle w:val="Heading2"/>
      </w:pPr>
      <w:r>
        <w:t xml:space="preserve">SIC 14 (Mining &amp; quarrying of </w:t>
      </w:r>
      <w:proofErr w:type="spellStart"/>
      <w:r>
        <w:t>nonmetallic</w:t>
      </w:r>
      <w:proofErr w:type="spellEnd"/>
      <w:r>
        <w:t xml:space="preserve"> minerals [no fuels]) (NAICS Report 21239):</w:t>
      </w:r>
    </w:p>
    <w:p w14:paraId="191FA9A9" w14:textId="77777777" w:rsidR="00783B99" w:rsidRDefault="00783B99" w:rsidP="00783B99">
      <w:pPr>
        <w:pStyle w:val="Paragraph"/>
      </w:pPr>
      <w:r>
        <w:t>The resource mining industry’s word clouds reflect a focus on greenhouse gas emissions and related regulations, and the physical impacts of climate change are also acknowledged in these word clouds, like in Topics 1 and 2. Unlike the economy-wide word clouds, this industry’s topics do not focus much on international efforts to regulate climate change and emissions. Instead, it focuses on domestic efforts like the Clean Air Act and Title V. Due to the environmental pollution that mining can cause, the resource mining industry is subject to heavy environmental regulation in the U.S., including air quality requirements. These requirements are reflected in these word clouds, particularly regarding greenhouse gasses emissions produced by mining operations.</w:t>
      </w:r>
    </w:p>
    <w:p w14:paraId="6EBC73BC" w14:textId="77777777" w:rsidR="00783B99" w:rsidRDefault="00783B99" w:rsidP="007F5502">
      <w:pPr>
        <w:pStyle w:val="Heading2"/>
      </w:pPr>
      <w:r>
        <w:t xml:space="preserve">SIC 15 (General </w:t>
      </w:r>
      <w:proofErr w:type="spellStart"/>
      <w:r>
        <w:t>bldg</w:t>
      </w:r>
      <w:proofErr w:type="spellEnd"/>
      <w:r>
        <w:t xml:space="preserve"> contractors - residential </w:t>
      </w:r>
      <w:proofErr w:type="spellStart"/>
      <w:r>
        <w:t>bldgs</w:t>
      </w:r>
      <w:proofErr w:type="spellEnd"/>
      <w:r>
        <w:t xml:space="preserve">; Operative builders; General </w:t>
      </w:r>
      <w:proofErr w:type="spellStart"/>
      <w:r>
        <w:t>bldg</w:t>
      </w:r>
      <w:proofErr w:type="spellEnd"/>
      <w:r>
        <w:t xml:space="preserve"> contractors - </w:t>
      </w:r>
      <w:proofErr w:type="spellStart"/>
      <w:r>
        <w:t>nonresidential</w:t>
      </w:r>
      <w:proofErr w:type="spellEnd"/>
      <w:r>
        <w:t xml:space="preserve"> </w:t>
      </w:r>
      <w:proofErr w:type="spellStart"/>
      <w:r>
        <w:t>bldgs</w:t>
      </w:r>
      <w:proofErr w:type="spellEnd"/>
      <w:r>
        <w:t>) (NAICS Report 23):</w:t>
      </w:r>
    </w:p>
    <w:p w14:paraId="4EB0EE1B" w14:textId="77777777" w:rsidR="00783B99" w:rsidRDefault="00783B99" w:rsidP="00783B99">
      <w:pPr>
        <w:pStyle w:val="Paragraph"/>
      </w:pPr>
      <w:r>
        <w:t xml:space="preserve">The word clouds for building contracting firms seem to show that the industry’s </w:t>
      </w:r>
      <w:r>
        <w:lastRenderedPageBreak/>
        <w:t xml:space="preserve">climate-related risks stem from both climate change regulations and the physical effects of climate change. The construction industry is subject to regulations aimed at controlling pollution from buildings and promoting energy efficiency. In addition, the growing strength and prevalence of natural disasters have increased demand for new housing. </w:t>
      </w:r>
      <w:proofErr w:type="gramStart"/>
      <w:r>
        <w:t>Both of these</w:t>
      </w:r>
      <w:proofErr w:type="gramEnd"/>
      <w:r>
        <w:t xml:space="preserve"> factors are influenced by the threats posed by climate change. Topics 2 and 7 seem to point to climate change impacting the prices or availability of construction materials and land available for development. In addition, Topic 6 appears to include information about firms’ concrete efforts to fight climate change, as indicated by bigrams like “sustainability commitment” and “environmental concerns.” </w:t>
      </w:r>
    </w:p>
    <w:p w14:paraId="74AB508E" w14:textId="77777777" w:rsidR="00783B99" w:rsidRDefault="00783B99" w:rsidP="007F5502">
      <w:pPr>
        <w:pStyle w:val="Heading2"/>
      </w:pPr>
      <w:r>
        <w:t xml:space="preserve">SIC 16 (Heavy construction other than </w:t>
      </w:r>
      <w:proofErr w:type="spellStart"/>
      <w:r>
        <w:t>bldg</w:t>
      </w:r>
      <w:proofErr w:type="spellEnd"/>
      <w:r>
        <w:t xml:space="preserve"> </w:t>
      </w:r>
      <w:proofErr w:type="spellStart"/>
      <w:r>
        <w:t>const</w:t>
      </w:r>
      <w:proofErr w:type="spellEnd"/>
      <w:r>
        <w:t xml:space="preserve"> - contractors; water, sewer, pipeline, comm &amp; power line construction) (NAICS Report 23):</w:t>
      </w:r>
    </w:p>
    <w:p w14:paraId="6B3E541D" w14:textId="77777777" w:rsidR="00783B99" w:rsidRDefault="00783B99" w:rsidP="00783B99">
      <w:pPr>
        <w:pStyle w:val="Paragraph"/>
      </w:pPr>
      <w:r>
        <w:t>The word clouds for SIC 16 firms appear to have much less of a focus on material cost concerns than do SIC 15 firms, but they do focus on regulations and the possible impacts that climate change could have on financial operations. This is particularly clear in Topics 2 and 4, the former including bigrams like “material adverse” and “impact business,” and the latter being dominated by the bigrams “laws regulations” and “environmental laws.” The word cloud for Topic 2 of SIC 16 firms has similar bigrams to the word cloud generated for Topic 1 in the economy-wide LDA analysis, showing that these climate risk disclosures for the construction industry are likely similar to those of various other industries in terms of focus and diction.</w:t>
      </w:r>
    </w:p>
    <w:p w14:paraId="512DD88A" w14:textId="77777777" w:rsidR="00783B99" w:rsidRDefault="00783B99" w:rsidP="007F5502">
      <w:pPr>
        <w:pStyle w:val="Heading2"/>
      </w:pPr>
      <w:r>
        <w:t>SIC 17 (Construction - special trade contractors; Electrical work) (NAICS Report 23):</w:t>
      </w:r>
    </w:p>
    <w:p w14:paraId="66D917A6" w14:textId="77777777" w:rsidR="00783B99" w:rsidRDefault="00783B99" w:rsidP="00783B99">
      <w:pPr>
        <w:pStyle w:val="Paragraph"/>
      </w:pPr>
      <w:r>
        <w:t xml:space="preserve">The word clouds cover similar topics to those of SIC 15 and SIC 16 firms regarding the effects of both climate change and climate change regulation. However, they are </w:t>
      </w:r>
      <w:r>
        <w:lastRenderedPageBreak/>
        <w:t>noticeably different because of Topics 4, 6, 7, and 8. Topics 4 and 8 appear to be drawn from the discussion of power generation, with Topic 4 focusing on bigrams like “power plants” and “coal-fired power,” and Topic 8 being dominated by mentions of renewable energy and the Clean Air Act. The reason for this focus is that this SIC category includes firms involved in electrical work, which may include discussions of electricity in their annual reports. Similarly, Topic 7 appears to be drawn from discussions of adherence to air conditioner regulation, as indicated by terms like “requirements handling,” “HVAC systems,” and references to CFCs. As a result of including these topics in this model, the word clouds for SIC 17 appear significantly different from those for the economy-wide analysis. On the other hand, Topic 6 focuses directly on extreme weather conditions and how the physical effects of climate change could impact business operations, a common theme among climate risk disclosures, as evidenced by Topic 5 in the economy-wide word clouds.</w:t>
      </w:r>
    </w:p>
    <w:p w14:paraId="316D1C43" w14:textId="77777777" w:rsidR="00783B99" w:rsidRDefault="00783B99" w:rsidP="007F5502">
      <w:pPr>
        <w:pStyle w:val="Heading2"/>
      </w:pPr>
      <w:r>
        <w:t>SIC 20 (Food industries) (NAICS Report 31161):</w:t>
      </w:r>
    </w:p>
    <w:p w14:paraId="41E211D4" w14:textId="77777777" w:rsidR="00783B99" w:rsidRDefault="00783B99" w:rsidP="00783B99">
      <w:pPr>
        <w:pStyle w:val="Paragraph"/>
      </w:pPr>
      <w:r>
        <w:t>Unlike the economy-wide word clouds, the topics generated by the food industry analysis seem to show that the industry is focused significantly more on the effects of climate change itself than it is on the impacts of regulations. Only Topic 6 appears to focus significantly on laws and regulations, and even within that topic, there are not many mentions of bigrams relating to emissions regulations. By contrast, the effects of climate change itself are mentioned throughout all the word clouds, including mentions of high-frequency bigrams like “supply chain” in Topic 2 and “natural disasters” in Topic 5. Despite this, climate change impacts are not viewed as a major risk factor to the food industry at this time.</w:t>
      </w:r>
    </w:p>
    <w:p w14:paraId="18D2C38A" w14:textId="77777777" w:rsidR="00783B99" w:rsidRDefault="00783B99" w:rsidP="007F5502">
      <w:pPr>
        <w:pStyle w:val="Heading2"/>
      </w:pPr>
      <w:r>
        <w:lastRenderedPageBreak/>
        <w:t>SIC 21 (Tobacco products; Cigarettes) (NAICS Report 31222):</w:t>
      </w:r>
    </w:p>
    <w:p w14:paraId="68A45095" w14:textId="77777777" w:rsidR="00783B99" w:rsidRDefault="00783B99" w:rsidP="00783B99">
      <w:pPr>
        <w:pStyle w:val="Paragraph"/>
      </w:pPr>
      <w:r>
        <w:t>The word clouds generated for the tobacco industry are not clustered in the same way as those of the economy-wide analysis, likely because of the small size of the dataset used in this analysis. The initial data sorting found only 34 relevant data points to be included in this dataset. As a result, the word clouds are difficult to interpret. However, it is clear from the highest-frequency bigrams in Topic 6 that the industry has some disclosures relating to environmental regulation and firms’ carbon footprints. Overall, climate change impacts are not viewed as a major risk factor to this industry at the current moment.</w:t>
      </w:r>
    </w:p>
    <w:p w14:paraId="02B460F7" w14:textId="77777777" w:rsidR="00783B99" w:rsidRPr="00953A4A" w:rsidRDefault="00783B99" w:rsidP="00953A4A">
      <w:pPr>
        <w:pStyle w:val="Heading2"/>
      </w:pPr>
      <w:r w:rsidRPr="00953A4A">
        <w:t>SIC 22 (Fabric and textile producers) (NAICS Report 31310):</w:t>
      </w:r>
    </w:p>
    <w:p w14:paraId="5CF8885E" w14:textId="77777777" w:rsidR="00783B99" w:rsidRDefault="00783B99" w:rsidP="00783B99">
      <w:pPr>
        <w:pStyle w:val="Paragraph"/>
      </w:pPr>
      <w:r>
        <w:t>In the textile production industry’s word clouds, Topics 1 through 5 all appear to be focused on climate change-related laws and regulations, and not on the physical effects of climate change. By contrast, Topic 6 focuses on environmental impacts made by companies, as indicated by bigrams like “company’s commitment” or “million pounds,” which refers to quantities of CO2 emissions. Finally, Topics 7 and 8 seem irrelevant to both climate change and emissions concerns, possibly because of the impacts of the small dataset size on the LDA model. Purchases made by firms in this industry, many of which are natural materials needed to manufacture textiles, account for about 63% of the industry’s revenue. If climate change influences the price or availability of critical crops such as cotton, the textile industry could be put in a vulnerable position.</w:t>
      </w:r>
    </w:p>
    <w:p w14:paraId="45947789" w14:textId="77777777" w:rsidR="00783B99" w:rsidRDefault="00783B99" w:rsidP="00953A4A">
      <w:pPr>
        <w:pStyle w:val="Heading2"/>
      </w:pPr>
      <w:r>
        <w:t>SIC 23 (Apparel and textile products) (NAICS Report 31519):</w:t>
      </w:r>
    </w:p>
    <w:p w14:paraId="6BBA9723" w14:textId="77777777" w:rsidR="00783B99" w:rsidRDefault="00783B99" w:rsidP="00783B99">
      <w:pPr>
        <w:pStyle w:val="Paragraph"/>
      </w:pPr>
      <w:r>
        <w:t xml:space="preserve">The small dataset used for the LDA analysis of SIC 23 results in word clouds describes a variety of different climate-related risks. For instance, Topic 5 draws from discussions of how demand for different types of apparel could be influenced by weather changes, </w:t>
      </w:r>
      <w:r>
        <w:lastRenderedPageBreak/>
        <w:t>while Topic 2 draws from risk disclosures regarding the prices of raw materials, which could be influenced by climate change. In addition, there are concerns of greenhouse gasses and of climate regulations, indicated most clearly by Topics 3 and 7. The apparel industry operates with tight profit margins, which puts it at high risk of changing cotton prices like the textile industry in SIC 22. This could be a motivation for the industry to include risk disclosures like those in Topic 2.</w:t>
      </w:r>
    </w:p>
    <w:p w14:paraId="704507C8" w14:textId="77777777" w:rsidR="00783B99" w:rsidRDefault="00783B99" w:rsidP="00953A4A">
      <w:pPr>
        <w:pStyle w:val="Heading2"/>
      </w:pPr>
      <w:r>
        <w:t>SIC 24 (Various industries relating to wood and wooden buildings) (NAICS Report 32111):</w:t>
      </w:r>
    </w:p>
    <w:p w14:paraId="23487D6B" w14:textId="77777777" w:rsidR="00783B99" w:rsidRDefault="00783B99" w:rsidP="00783B99">
      <w:pPr>
        <w:pStyle w:val="Paragraph"/>
      </w:pPr>
      <w:r>
        <w:t xml:space="preserve">The word clouds for the wood production industry include topics that are focused on emissions regulation, but there is not the same degree of focus on the physical impacts of climate change. An exception is Topic 2, which is more clearly clustered than the other word clouds and includes among its highest-frequency bigrams the terms “climate change,” “weather conditions,” and “financial results.” Based on this word cloud’s most prominent bigrams, we conclude that Topic 2 reflects concerns over how the physical effects of climate change could affect business operations. Topics 1, 3, 4, and 5 include extensive mentions of specific regulatory efforts, including the Kyoto Protocol, the Clean Power Plan, the Paris Agreement, and emissions allowance programs. The wood production industry in the U.S. is currently subject to emissions regulation under the Clean Air. Despite the industry’s detailed acknowledgments of these regulatory risks, climate change regulation is not an inordinately significant influence on business operations </w:t>
      </w:r>
      <w:proofErr w:type="gramStart"/>
      <w:r>
        <w:t>at this time</w:t>
      </w:r>
      <w:proofErr w:type="gramEnd"/>
      <w:r>
        <w:t>.</w:t>
      </w:r>
    </w:p>
    <w:p w14:paraId="2F002BCB" w14:textId="77777777" w:rsidR="00783B99" w:rsidRDefault="00783B99" w:rsidP="00953A4A">
      <w:pPr>
        <w:pStyle w:val="Heading2"/>
      </w:pPr>
      <w:r>
        <w:t>SIC 25 (Furniture industry) (NAICS Report 33721):</w:t>
      </w:r>
    </w:p>
    <w:p w14:paraId="349CCDE2" w14:textId="77777777" w:rsidR="00783B99" w:rsidRDefault="00783B99" w:rsidP="00783B99">
      <w:pPr>
        <w:pStyle w:val="Paragraph"/>
      </w:pPr>
      <w:r>
        <w:t xml:space="preserve">The word clouds for the furniture industry do not appear to focus on specific climate change-related Topics. Topics 4, 7, and 8 appear to be the only word clouds that discuss </w:t>
      </w:r>
      <w:r>
        <w:lastRenderedPageBreak/>
        <w:t>climate change or greenhouse gas emissions. The most relevant of these topics is Topic 7, which includes high-frequency bigrams like “climate change,” “negatively impact,” and “capital expenditures,” suggesting that this topic’s data is from disclosures of how climate change could result in higher costs for furniture firms. Climate change is not recognized as a significant risk factor for the furniture industry; the environmental regulations the industry faces do not pertain to carbon emissions or climate change, though climate change could impact the industry in terms of demand for office furniture. Revenue volatility in this industry is high because the demand for office furniture is correlated with general economic success, implying that adverse climate-related impacts on the rest of the economy could significantly harm demand for furniture.</w:t>
      </w:r>
    </w:p>
    <w:p w14:paraId="7E932759" w14:textId="77777777" w:rsidR="00783B99" w:rsidRDefault="00783B99" w:rsidP="00953A4A">
      <w:pPr>
        <w:pStyle w:val="Heading2"/>
      </w:pPr>
      <w:r>
        <w:t>SIC 26 (Various paper products) (NAICS Report 32212):</w:t>
      </w:r>
    </w:p>
    <w:p w14:paraId="6E596FC6" w14:textId="77777777" w:rsidR="00783B99" w:rsidRDefault="00783B99" w:rsidP="00783B99">
      <w:pPr>
        <w:pStyle w:val="Paragraph"/>
      </w:pPr>
      <w:r>
        <w:t xml:space="preserve">Within the LDA analysis of the U.S. paper production industries, the word clouds are well-clustered like those of the economy-wide analysis. In addition, they also include some industry-specific terms that are not included in the economy-wide word clouds, like “wood residuals,” “German mills,” and “black liquor.” Most of the topics appear to be focused on regulations, as indicated by bigrams like “laws regulations” in Topic 1 and “change legislation” in Topic 7. An exception is Topic 4, which appears to be drawn from typical climate risk disclosures that discuss possible material adverse impacts from climate change; this word cloud is quite </w:t>
      </w:r>
      <w:proofErr w:type="gramStart"/>
      <w:r>
        <w:t>similar to</w:t>
      </w:r>
      <w:proofErr w:type="gramEnd"/>
      <w:r>
        <w:t xml:space="preserve"> that of Topic 8 in the economy-wide analysis. However, climate change is likely not a concern to this industry at this time, because significant competition from electronic substitutes is a much more prominent threat to the industry that will likely be the primary focus of paper producers.</w:t>
      </w:r>
    </w:p>
    <w:p w14:paraId="7821F53D" w14:textId="77777777" w:rsidR="00783B99" w:rsidRDefault="00783B99" w:rsidP="00953A4A">
      <w:pPr>
        <w:pStyle w:val="Heading2"/>
      </w:pPr>
      <w:r>
        <w:lastRenderedPageBreak/>
        <w:t>SIC 27 (Newspapers, publishing, and other paper products) (NAICS Report 51113):</w:t>
      </w:r>
    </w:p>
    <w:p w14:paraId="49CA1E2B" w14:textId="77777777" w:rsidR="00783B99" w:rsidRDefault="00783B99" w:rsidP="00783B99">
      <w:pPr>
        <w:pStyle w:val="Paragraph"/>
      </w:pPr>
      <w:r>
        <w:t>In the word clouds generated for SIC 27, Topic 7 shows a direct focus on the physical risks from climate change and GHG emissions, as indicated by bigrams like “natural disasters,” “storm severity,” and “increased storm.” However, the other word clouds are not clustered with nearly the same cohesiveness as that of Topic 7. The bigrams from the other word clouds reveal discussions of environmental regulations and other related environmental concerns. For instance, Topic 1 includes bigrams like “carbon emissions” and “Protection Agency” (referring to the EPA). In addition, Topic 8 includes bigrams like “socially responsible” and “protection carbon,” indicating the inclusion of some ESG-related disclosures in the dataset. Despite the high use of paper in the publishing industry, concerns over climate change and its effect on natural resources do not currently appear to be a notable concern in the industry.</w:t>
      </w:r>
    </w:p>
    <w:p w14:paraId="69F43EF2" w14:textId="77777777" w:rsidR="00783B99" w:rsidRDefault="00783B99" w:rsidP="00953A4A">
      <w:pPr>
        <w:pStyle w:val="Heading2"/>
      </w:pPr>
      <w:r>
        <w:t>SIC 28 (Chemical products, pharmaceuticals, cleaning products, cosmetics, and similar industries) (NAICS Report 32599):</w:t>
      </w:r>
    </w:p>
    <w:p w14:paraId="5A1FB642" w14:textId="77777777" w:rsidR="00783B99" w:rsidRDefault="00783B99" w:rsidP="00783B99">
      <w:pPr>
        <w:pStyle w:val="Paragraph"/>
      </w:pPr>
      <w:r>
        <w:t xml:space="preserve">The word clouds generated for SIC 28 are detailed and well-clustered. They are </w:t>
      </w:r>
      <w:proofErr w:type="gramStart"/>
      <w:r>
        <w:t>similar to</w:t>
      </w:r>
      <w:proofErr w:type="gramEnd"/>
      <w:r>
        <w:t xml:space="preserve"> those of the economy-wide data in that they contain many of the same bigrams without including many industry-specific terms. For instance, Topic 1 contains high-frequency bigrams like “climate change,” “adverse effect,” and “results operations,” all of which are found across many industries within typical climate risk disclosures. There are also mentions of domestic emissions regulations in Topic 5, as indicated by mentions of the Clean Air Act and the EPA, as well as international regulatory efforts like the Paris Agreement and the Kyoto Protocol in Topic 6, much like Topic 6 and Topic 7 in the economy-wide data. Due to the diversity of firms that fall within the SIC 28 category, it is difficult to make a general assessment of the greatest impacts that </w:t>
      </w:r>
      <w:r>
        <w:lastRenderedPageBreak/>
        <w:t>climate change could have on this industry. However, the price of crude oil is a significant influence on the chemical manufacturing industry, implying that climate change’s impacts on the supply and demand of petroleum could impact chemical manufacturers as well.</w:t>
      </w:r>
    </w:p>
    <w:p w14:paraId="0D9FF4D8" w14:textId="77777777" w:rsidR="00783B99" w:rsidRDefault="00783B99" w:rsidP="00953A4A">
      <w:pPr>
        <w:pStyle w:val="Heading2"/>
      </w:pPr>
      <w:r>
        <w:t>SIC 29 (Petroleum refining; Asphalt paving &amp; roofing materials; Miscellaneous products of petroleum &amp; coal) (NAICS Report 32411):</w:t>
      </w:r>
    </w:p>
    <w:p w14:paraId="4C80C767" w14:textId="77777777" w:rsidR="00783B99" w:rsidRDefault="00783B99" w:rsidP="00783B99">
      <w:pPr>
        <w:pStyle w:val="Paragraph"/>
      </w:pPr>
      <w:r>
        <w:t>The firms in SIC 29 are heavily regulated in the U.S. due to their involvement in the petroleum industry. As a result, their focus within their climate risk disclosures lies on regulations instead of the physical impacts of climate change. Every topic in the LDA analysis for SIC 29 is focused on some form of regulations, and any bigrams that are possibly related to climate change’s physical effects are of comparatively low frequency in the data. Because of the low diversity of content in these industry’s word clouds, it is difficult to compare these results to that of the economy-wide data analysis. However, the focus on regulations in the petroleum products industry’s climate risk disclosures points to this industry being a major contributor to the contents of the economy-wide word clouds.</w:t>
      </w:r>
    </w:p>
    <w:p w14:paraId="036E9875" w14:textId="77777777" w:rsidR="00783B99" w:rsidRDefault="00783B99" w:rsidP="00953A4A">
      <w:pPr>
        <w:pStyle w:val="Heading2"/>
      </w:pPr>
      <w:r>
        <w:t>SIC 30 (Rubber and plastic products) (NAICS Report 42461):</w:t>
      </w:r>
    </w:p>
    <w:p w14:paraId="44DB7268" w14:textId="77777777" w:rsidR="00783B99" w:rsidRDefault="00783B99" w:rsidP="00783B99">
      <w:pPr>
        <w:pStyle w:val="Paragraph"/>
      </w:pPr>
      <w:r>
        <w:t xml:space="preserve">The word clouds in this industry are not well-clustered around climate change-related terms, likely because the risk disclosures for the industry often do not contain detailed discussion of climate change or emissions. These topics appear to be sourced from typical, and often vague, risk disclosures that are common throughout many industries in the U.S., and Topics 6, 7, and 8 do not appear to be related to climate change at all. The inclusion of high-frequency bigrams like “NIKE products,” “footwear apparel,” and “apparel equipment” indicate that firms in the fashion industry may account for a </w:t>
      </w:r>
      <w:r>
        <w:lastRenderedPageBreak/>
        <w:t>large percentage of all of the climate risk disclosures published within the SIC 30 industry category.</w:t>
      </w:r>
    </w:p>
    <w:p w14:paraId="31C0D893" w14:textId="77777777" w:rsidR="00783B99" w:rsidRDefault="00783B99" w:rsidP="00953A4A">
      <w:pPr>
        <w:pStyle w:val="Heading2"/>
      </w:pPr>
      <w:r>
        <w:t>SIC 31 (Leather &amp; leather products; Footwear, [no rubber]) (NAICS Report 31691):</w:t>
      </w:r>
    </w:p>
    <w:p w14:paraId="4E413C3E" w14:textId="77777777" w:rsidR="00783B99" w:rsidRDefault="00783B99" w:rsidP="00783B99">
      <w:pPr>
        <w:pStyle w:val="Paragraph"/>
      </w:pPr>
      <w:r>
        <w:t xml:space="preserve">Within the SIC </w:t>
      </w:r>
      <w:proofErr w:type="gramStart"/>
      <w:r>
        <w:t>31 word</w:t>
      </w:r>
      <w:proofErr w:type="gramEnd"/>
      <w:r>
        <w:t xml:space="preserve"> clouds, only Topics 1, 4, 5, and 6 appear to be directly related to climate change or emissions. However, Topics 4, 5, and 6 are not clustered around any high-frequency bigrams. This can likely be attributed to both the small size of the dataset, and the presence of a variety of general risk disclosures in place of disclosures that focus only on climate risks. Topic 7 focuses on ESG matters, as indicated by bigrams like “social responsibility” and “commitment effort,” but this single word cloud does not indicate how common ESG-related disclosures are present in the raw data for SIC 31. Environmental regulations, although relevant to the leather products industry, are not as significant a concern as regulations like those related to occupational health and safety, explaining the limited focus on climate risks in these risk disclosures.</w:t>
      </w:r>
    </w:p>
    <w:p w14:paraId="37B1033F" w14:textId="77777777" w:rsidR="00783B99" w:rsidRDefault="00783B99" w:rsidP="00953A4A">
      <w:pPr>
        <w:pStyle w:val="Heading2"/>
      </w:pPr>
      <w:r>
        <w:t xml:space="preserve">SIC 32 (Glass products, cement and concrete products, clay products, stone products, and other </w:t>
      </w:r>
      <w:proofErr w:type="spellStart"/>
      <w:r>
        <w:t>nonmetallic</w:t>
      </w:r>
      <w:proofErr w:type="spellEnd"/>
      <w:r>
        <w:t xml:space="preserve"> mineral products) (NAICS Report 42332):</w:t>
      </w:r>
    </w:p>
    <w:p w14:paraId="1CD650DF" w14:textId="77777777" w:rsidR="00783B99" w:rsidRDefault="00783B99" w:rsidP="00783B99">
      <w:pPr>
        <w:pStyle w:val="Paragraph"/>
      </w:pPr>
      <w:r>
        <w:t xml:space="preserve">The word clouds for the industry sectors within SIC 32 show a clear focus on greenhouse gas emissions, as indicated by Topics 3, 5, and 7. These word clouds contain references both to greenhouse emissions themselves and to regulatory influences like the Clean Power Plan and the EPA, showing that the industry is affected by emissions regulations. There is also evidence in Topic 2 of general risk disclosures relating to laws and regulations being present in the data, resulting in a similar word cloud to that of Topic 4 in the economy-wide data. In addition, Topic 4 includes mentions of air quality regulations targeting “particulate matter,” which is another </w:t>
      </w:r>
      <w:r>
        <w:lastRenderedPageBreak/>
        <w:t>common theme in risk disclosures across various industries. In this set of word clouds, there appears to be few mentions of the physical effects of climate change, but there are mentions in Topic 8 of efforts to reduce emissions, as indicated by bigrams like “environmentally friendly” and “LEED credits.”</w:t>
      </w:r>
    </w:p>
    <w:p w14:paraId="64E92B57" w14:textId="77777777" w:rsidR="00783B99" w:rsidRDefault="00783B99" w:rsidP="00953A4A">
      <w:pPr>
        <w:pStyle w:val="Heading2"/>
      </w:pPr>
      <w:r>
        <w:t xml:space="preserve">SIC 33 (Steel production, iron production, </w:t>
      </w:r>
      <w:proofErr w:type="spellStart"/>
      <w:r>
        <w:t>aluminum</w:t>
      </w:r>
      <w:proofErr w:type="spellEnd"/>
      <w:r>
        <w:t xml:space="preserve"> production, wire production, and other refining services and metal production) (NAICS Report 33111):</w:t>
      </w:r>
    </w:p>
    <w:p w14:paraId="60308883" w14:textId="77777777" w:rsidR="00783B99" w:rsidRDefault="00783B99" w:rsidP="00783B99">
      <w:pPr>
        <w:pStyle w:val="Paragraph"/>
      </w:pPr>
      <w:r>
        <w:t>As is common in industries related to natural resources, the word clouds generated for the metal production industries show a clear focus on greenhouse gasses, climate change, and environmental regulations. The focus on regulatory efforts appears to be primarily on domestic regulatory efforts instead of international laws: there are mentions of the EPA, Title V, and the Clean Air Act within Topic 5, for instance, but any bigrams relating to regulations like the Kyoto Protocol are of much lower frequency across these word clouds. In the U.S., the iron and steel manufacturing industries are subject to significant environmental regulations from all levels of government. These regulations will become more stringent in the future, meaning that the risks mentioned in these disclosures are likely a major concern for these firms’ shareholders.</w:t>
      </w:r>
    </w:p>
    <w:p w14:paraId="40F1F69C" w14:textId="77777777" w:rsidR="00783B99" w:rsidRDefault="00783B99" w:rsidP="00953A4A">
      <w:pPr>
        <w:pStyle w:val="Heading2"/>
      </w:pPr>
      <w:r>
        <w:t>SIC 34 (A wide variety of metal product industries, including fabricated metal buildings, hand tools, metal cans, and ordnance) (NAICS Report 33231):</w:t>
      </w:r>
    </w:p>
    <w:p w14:paraId="1D8EA387" w14:textId="77777777" w:rsidR="00783B99" w:rsidRDefault="00783B99" w:rsidP="00783B99">
      <w:pPr>
        <w:pStyle w:val="Paragraph"/>
      </w:pPr>
      <w:r>
        <w:t xml:space="preserve">The word clouds generated for the metal products industry are focused on climate change itself, greenhouse gas emissions, and regulatory influences. For instance, Topic 3 is likely sourced from disclosures of GHG emissions regulations based on the presence of bigrams like “EPA adopted” and “emissions GHGs,” while the content of Topic 2 is drawn from disclosures discussing how laws and regulations (including those </w:t>
      </w:r>
      <w:r>
        <w:lastRenderedPageBreak/>
        <w:t>targeted at climate change) can affect a firm’s financial condition. Topic 5 focuses on how greenhouse gas emissions could impact the environment, as indicated by bigrams like “severe weather” and “potential physical” (referring to the physical impacts of climate change).</w:t>
      </w:r>
    </w:p>
    <w:p w14:paraId="04243841" w14:textId="77777777" w:rsidR="00783B99" w:rsidRDefault="00783B99" w:rsidP="00953A4A">
      <w:pPr>
        <w:pStyle w:val="Heading2"/>
      </w:pPr>
      <w:r>
        <w:t>SIC 35 (Various industrial machinery, computers, office equipment and related electronics, as well as air conditioning and refrigeration) (NAICS Report 33312):</w:t>
      </w:r>
    </w:p>
    <w:p w14:paraId="7C8ED0A7" w14:textId="77777777" w:rsidR="00783B99" w:rsidRDefault="00783B99" w:rsidP="00783B99">
      <w:pPr>
        <w:pStyle w:val="Paragraph"/>
      </w:pPr>
      <w:r>
        <w:t xml:space="preserve">The word clouds generated for SIC 35 are like those of the economy-wide data in that they focus on general topics, particularly regulatory efforts, rather than industry-specific topics. This is likely due to the sizable dataset and the diversity of firms in this category. Most of these </w:t>
      </w:r>
      <w:proofErr w:type="gramStart"/>
      <w:r>
        <w:t>topics</w:t>
      </w:r>
      <w:proofErr w:type="gramEnd"/>
      <w:r>
        <w:t xml:space="preserve"> focus on emissions regulations. This is indicated by bigrams like “legislative regulatory” in Topic 1 and “environmental laws” in Topic 3, which are typical in word clouds across various industries. By contrast, Topic 6 appears to be drawn from discussions of the physical effects of climate change, as indicated by the high-frequency bigram “weather conditions.” </w:t>
      </w:r>
    </w:p>
    <w:p w14:paraId="0DE79BF8" w14:textId="77777777" w:rsidR="00783B99" w:rsidRDefault="00783B99" w:rsidP="00953A4A">
      <w:pPr>
        <w:pStyle w:val="Heading2"/>
      </w:pPr>
      <w:r>
        <w:t>SIC 36 (Electrical equipment, household appliances, audio and video equipment, electrical components, semiconductors, and similar products) (NAICS Report 42369):</w:t>
      </w:r>
    </w:p>
    <w:p w14:paraId="095731F8" w14:textId="77777777" w:rsidR="00783B99" w:rsidRDefault="00783B99" w:rsidP="00783B99">
      <w:pPr>
        <w:pStyle w:val="Paragraph"/>
      </w:pPr>
      <w:r>
        <w:t xml:space="preserve">Like the LDA word clouds for SIC 35 firms, those generated for SIC 36 are not unique. Much of the focus appears to be on regulatory risk disclosures, particularly in Topic 4, which is dominated by legal terms like “environmental laws” and “health safety.” In addition, there are mentions of the physical impacts of climate change within Topic 5, as indicated by a variety of terms like “natural disasters” and “physical impacts.” This is </w:t>
      </w:r>
      <w:proofErr w:type="gramStart"/>
      <w:r>
        <w:t>similar to</w:t>
      </w:r>
      <w:proofErr w:type="gramEnd"/>
      <w:r>
        <w:t xml:space="preserve"> the bigrams in Topic 5 of the economy-wide data, but with a focus on climate change and its impacts.</w:t>
      </w:r>
    </w:p>
    <w:p w14:paraId="7124A566" w14:textId="77777777" w:rsidR="00783B99" w:rsidRDefault="00783B99" w:rsidP="00953A4A">
      <w:pPr>
        <w:pStyle w:val="Heading2"/>
      </w:pPr>
      <w:r>
        <w:lastRenderedPageBreak/>
        <w:t>SIC 37 (Motor vehicles, aircraft, ships and boats, guided missiles and space vehicles, and other transportation equipment) (NAICS Report 33611A):</w:t>
      </w:r>
    </w:p>
    <w:p w14:paraId="25EA1DA3" w14:textId="77777777" w:rsidR="00783B99" w:rsidRDefault="00783B99" w:rsidP="00783B99">
      <w:pPr>
        <w:pStyle w:val="Paragraph"/>
      </w:pPr>
      <w:r>
        <w:t xml:space="preserve">A significant number of these industries’ risk disclosures are focused on vehicle emissions due to the presence of vehicle manufacturers. This is most obvious in Topic 1, which contains bigrams like “fuel economy,” “emissions standards,” and “model year,” the latter of which is likely referring to the automotive industry. There is also a focus on domestic emission standards in these results, particularly in Topic 5, which contains references to domestic regulations through bigrams like “The United States,” “2010 EPA,” and “Clean Air” (referring to the Clean Air Act). These bigrams are </w:t>
      </w:r>
      <w:proofErr w:type="gramStart"/>
      <w:r>
        <w:t>similar to</w:t>
      </w:r>
      <w:proofErr w:type="gramEnd"/>
      <w:r>
        <w:t xml:space="preserve"> Topic 7 of the economy-wide analysis, indicating that this industry’s risk disclosures could have similar content to other industries. Cars and trucks are large emitters of greenhouse gasses, accounting for a quarter of all GHG emissions in the U.S. Therefore, the regulation of vehicle manufacturers in the U.S. can increase over time.</w:t>
      </w:r>
    </w:p>
    <w:p w14:paraId="217FB921" w14:textId="77777777" w:rsidR="00783B99" w:rsidRDefault="00783B99" w:rsidP="00953A4A">
      <w:pPr>
        <w:pStyle w:val="Heading2"/>
      </w:pPr>
      <w:r>
        <w:t xml:space="preserve">SIC 38 (Various devices and instruments, including laboratory instruments, optical </w:t>
      </w:r>
      <w:proofErr w:type="gramStart"/>
      <w:r>
        <w:t>instruments</w:t>
      </w:r>
      <w:proofErr w:type="gramEnd"/>
      <w:r>
        <w:t xml:space="preserve"> and lenses, electromedical apparatuses, photographic equipment, and timepieces) (NAICS Report 33451B):</w:t>
      </w:r>
    </w:p>
    <w:p w14:paraId="3BEDE255" w14:textId="77777777" w:rsidR="00783B99" w:rsidRDefault="00783B99" w:rsidP="00783B99">
      <w:pPr>
        <w:pStyle w:val="Paragraph"/>
      </w:pPr>
      <w:r>
        <w:t xml:space="preserve">SIC 38 contains firms in a variety of small industry sectors, particularly those involving the manufacturing of devices and instruments. The word clouds clustered around bigrams like “climate change” and “greenhouse gasses” contain a variety of commonly used or vague terms, so it is difficult to draw conclusions about the meanings of these topics. Nevertheless, it can be concluded that SIC 38 firms are concerned with both the possible effects that climate change impacts could have on business, as well as the impacts from regulations. Some of the word clouds are focused on regulatory efforts at all levels of government, including Topics 4 and 5, as indicated by bigrams like </w:t>
      </w:r>
      <w:r>
        <w:lastRenderedPageBreak/>
        <w:t xml:space="preserve">“environmental laws” and “local international.” There are also mentions of the impacts of climate change itself in Topic 2, which includes bigrams like “material adverse” and “results operations.” </w:t>
      </w:r>
    </w:p>
    <w:p w14:paraId="3010AB53" w14:textId="77777777" w:rsidR="00783B99" w:rsidRDefault="00783B99" w:rsidP="00953A4A">
      <w:pPr>
        <w:pStyle w:val="Heading2"/>
      </w:pPr>
      <w:r>
        <w:t xml:space="preserve">SIC 39 (Miscellaneous manufactured goods, including </w:t>
      </w:r>
      <w:proofErr w:type="spellStart"/>
      <w:r>
        <w:t>jewelry</w:t>
      </w:r>
      <w:proofErr w:type="spellEnd"/>
      <w:r>
        <w:t>, musical instruments, toys, sporting goods, and art supplies) (NAICS Report 45112):</w:t>
      </w:r>
    </w:p>
    <w:p w14:paraId="0A895DD5" w14:textId="77777777" w:rsidR="00783B99" w:rsidRDefault="00783B99" w:rsidP="00783B99">
      <w:pPr>
        <w:pStyle w:val="Paragraph"/>
      </w:pPr>
      <w:r>
        <w:t>The firms within SIC 39 have little to do with each other except that they are all involved with manufacturing. It is clear from the words used in these word clouds that these firms included disclosures about regulation and about climate change’s physical effects. For instance, Topic 5 includes bigrams like “legislative regulatory” and “emissions climate” alongside mentions of climate change and greenhouse gas emissions, and Topic 2 includes typical bigrams like “operations financial” and “adverse impacts” in reference to climate change’s impacts. Topic 3 includes unique risk disclosures from the golfing industry that discuss how climate change-related weather changes could impact the golf season.</w:t>
      </w:r>
    </w:p>
    <w:p w14:paraId="52E15D37" w14:textId="77777777" w:rsidR="00783B99" w:rsidRDefault="00783B99" w:rsidP="00953A4A">
      <w:pPr>
        <w:pStyle w:val="Heading2"/>
      </w:pPr>
      <w:r>
        <w:t>SIC 40 (Railroads, line-haul operating; Railroad switching &amp; terminal establishments) (NAICS Report 48211):</w:t>
      </w:r>
    </w:p>
    <w:p w14:paraId="2AC1E099" w14:textId="77777777" w:rsidR="00783B99" w:rsidRDefault="00783B99" w:rsidP="00783B99">
      <w:pPr>
        <w:pStyle w:val="Paragraph"/>
      </w:pPr>
      <w:r>
        <w:t xml:space="preserve">The railroad industry’s climate risk disclosures show a clear focus on GHG emissions and emissions regulations, particularly domestic regulations. Topics 3, 4, and 5 are all clustered around high-frequency bigrams that mention GHG emissions. Domestic emission regulations are discussed in Topic 6, which includes mentions of major regulatory influences such as Clean Power Act, Title V, and the EPA, using some of the same terms as used in Topic 7 of the economy-wide data. There are vague climate risk disclosures as evidenced by the bigrams in Topic 1, many of which are included across a variety of industries’ risk disclosures, as well as disclosures about the possible costs of </w:t>
      </w:r>
      <w:r>
        <w:lastRenderedPageBreak/>
        <w:t>carbon taxation, as shown in Topic 8. The latter of these risks is important to the rail transportation industry in the U.S. because of the threat of the increasing price of diesel fuel, which could be worsened by heavier carbon taxation.</w:t>
      </w:r>
    </w:p>
    <w:p w14:paraId="6AD20A59" w14:textId="77777777" w:rsidR="00783B99" w:rsidRDefault="00783B99" w:rsidP="00953A4A">
      <w:pPr>
        <w:pStyle w:val="Heading2"/>
      </w:pPr>
      <w:r>
        <w:t>SIC 42 (Trucking &amp; courier services [no air]; Trucking [no local]; Public warehousing &amp; storage; Terminal maintenance facilities for motor freight transport) (NAICS Report 48412):</w:t>
      </w:r>
    </w:p>
    <w:p w14:paraId="16E3DE16" w14:textId="77777777" w:rsidR="00783B99" w:rsidRDefault="00783B99" w:rsidP="00783B99">
      <w:pPr>
        <w:pStyle w:val="Paragraph"/>
      </w:pPr>
      <w:r>
        <w:t>The climate risk disclosures for the motor freight industry are partially focused on vehicle emissions, which are most mentioned in Topic 4. The text in Topic 4 indicates discussions of fuel efficiency and emission regulations that are not apparent in the economy-wide word clouds due to their industry-specific nature: these include bigrams such as “efficiency standards,” “heavy duty vehicles,” and “EPA NHTSA.” Some of the content in the other word clouds also appears to show a focus on vehicle emissions, though not in such a clear way as in Topic 4. For instance, Topic 5 includes bigrams like “carbon emissions” and “limits carbon” alongside higher-frequency bigrams like “diesel engines” and “increase costs,” which implies that carbon emissions regulations are being discussed in the context of diesel engine emissions. The regulatory trend in the freight trucking industry in the U.S. is that regulation will increase over time, including the possibility of new environmental regulation, which explains why these firms are concerned about vehicle emissions regulations.</w:t>
      </w:r>
    </w:p>
    <w:p w14:paraId="3ECBBF3E" w14:textId="77777777" w:rsidR="00783B99" w:rsidRDefault="00783B99" w:rsidP="00953A4A">
      <w:pPr>
        <w:pStyle w:val="Heading2"/>
      </w:pPr>
      <w:r>
        <w:t>SIC 44 (Water transportation; Deep sea foreign transportation of freight) (NAICS Report 48311):</w:t>
      </w:r>
    </w:p>
    <w:p w14:paraId="297491C7" w14:textId="77777777" w:rsidR="00783B99" w:rsidRDefault="00783B99" w:rsidP="00783B99">
      <w:pPr>
        <w:pStyle w:val="Paragraph"/>
      </w:pPr>
      <w:r>
        <w:t xml:space="preserve">The word clouds generated for this industry indicate that the climate risk disclosures in SIC 44 focus almost entirely on regulatory efforts. This is clearest in Topic 1, which includes bigrams like “United Nations,” “Kyoto Protocol,” and “Paris Agreement,” </w:t>
      </w:r>
      <w:r>
        <w:lastRenderedPageBreak/>
        <w:t>showing a focus on international climate regulations. In addition to regulatory concerns, the dataset also contains more general climate-risk disclosures as shown in Topic 3, which resembles the word cloud for Topic 1 of the economy-wide data concerning their highest-frequency bigrams. There are also terms found in the other word clouds that are evidence of risk disclosures discussing fuel economy and emissions caused by fuel usage, such as “GHG emission,” “fuel prices,” and “monitoring reporting” in Topic 6, as well as “ship fuel” and “emission rate” in Topic 8. Changes in fuel prices are not necessarily harmful to these firms: if climate legislation leads to an increase in fuel prices, it may benefit the water transportation industry, in which fuel surcharges are an important source of revenue for transportation firms.</w:t>
      </w:r>
    </w:p>
    <w:p w14:paraId="78095A7A" w14:textId="77777777" w:rsidR="00783B99" w:rsidRDefault="00783B99" w:rsidP="00953A4A">
      <w:pPr>
        <w:pStyle w:val="Heading2"/>
      </w:pPr>
      <w:r>
        <w:t xml:space="preserve">SIC 45 (Air transportation, scheduled; Air courier services; Air transportation, </w:t>
      </w:r>
      <w:proofErr w:type="spellStart"/>
      <w:r>
        <w:t>nonscheduled</w:t>
      </w:r>
      <w:proofErr w:type="spellEnd"/>
      <w:r>
        <w:t>; Airports, flying fields &amp; airport terminal services) (NAICS Report 48111B):</w:t>
      </w:r>
    </w:p>
    <w:p w14:paraId="19E0FCB3" w14:textId="77777777" w:rsidR="00783B99" w:rsidRDefault="00783B99" w:rsidP="00783B99">
      <w:pPr>
        <w:pStyle w:val="Paragraph"/>
      </w:pPr>
      <w:r>
        <w:t>The word clouds for SIC 45 firms appear different from those of SIC 44 firms, despite their primary focus on emissions. This is because air transportation firms are subject to different regulations, and this is hinted at by some of the bigrams included in these word clouds, particularly terms like “Scheme International” and “ICAO Assembly” in Topic 2 or “Scheme ETS” in Topic 8. This collection of word clouds appears quite different from that of the economy-wide data, which focuses more clearly on the physical effects of climate change. Due to the influence that emissions could cause on air transportation in the long term, the domestic airline’s industry outlook will likely be threatened by emissions regulation or by changing fuel costs in the short term.</w:t>
      </w:r>
    </w:p>
    <w:p w14:paraId="674B1499" w14:textId="77777777" w:rsidR="00783B99" w:rsidRDefault="00783B99" w:rsidP="00953A4A">
      <w:pPr>
        <w:pStyle w:val="Heading2"/>
      </w:pPr>
      <w:r>
        <w:t>SIC 46 (</w:t>
      </w:r>
      <w:proofErr w:type="gramStart"/>
      <w:r>
        <w:t>Pipe lines</w:t>
      </w:r>
      <w:proofErr w:type="gramEnd"/>
      <w:r>
        <w:t xml:space="preserve"> [no natural gas]) (NAICS Report 48611):</w:t>
      </w:r>
    </w:p>
    <w:p w14:paraId="46622CEA" w14:textId="77777777" w:rsidR="00783B99" w:rsidRDefault="00783B99" w:rsidP="00783B99">
      <w:pPr>
        <w:pStyle w:val="Paragraph"/>
      </w:pPr>
      <w:r>
        <w:t xml:space="preserve">The climate risk disclosures for the pipeline industry contain extensive mentions of </w:t>
      </w:r>
      <w:r>
        <w:lastRenderedPageBreak/>
        <w:t>greenhouse gas emissions; variations of the term “greenhouse gas” or “GHG emissions” can be seen in all of the word clouds except for Topics 3 and 7. This is likely because pipelines are commonly used to transport crude oil, a major source of greenhouse gas emissions, meaning that pipelines are also subject to significant environmental regulation themselves. However, because most of these word clouds are not mutually exclusive in terms of content, it is difficult to conclude the specific topics discussed in these risk disclosures.</w:t>
      </w:r>
    </w:p>
    <w:p w14:paraId="3F61E619" w14:textId="77777777" w:rsidR="00783B99" w:rsidRDefault="00783B99" w:rsidP="00953A4A">
      <w:pPr>
        <w:pStyle w:val="Heading2"/>
      </w:pPr>
      <w:r>
        <w:t>SIC 47 (Transportation services; Arrangement of transportation of freight &amp; cargo) (NAICS Report 48851):</w:t>
      </w:r>
    </w:p>
    <w:p w14:paraId="29C525CC" w14:textId="77777777" w:rsidR="00783B99" w:rsidRDefault="00783B99" w:rsidP="00783B99">
      <w:pPr>
        <w:pStyle w:val="Paragraph"/>
      </w:pPr>
      <w:r>
        <w:t>The word clouds generated for the transportation services industry are not well-clustered compared to those of many other industries, which is likely due to the relatively small size of the dataset. It is still clear from the bigrams included in these word clouds that vehicle emissions are a significant point of discussion. For instance, Topic 7 includes terms like “efficiency standards” and “EPA NHTSA,” while Topic 6 prominently includes the terms “model year” and “gas emissions,” all of which likely refer in some way to emissions produced by vehicles used for transporting freight and cargo. Environmental regulation is a major concern for this industry at this time, and the changes in fuel prices caused by carbon regulations could influence transportation costs for these firms.</w:t>
      </w:r>
    </w:p>
    <w:p w14:paraId="0B47DF5A" w14:textId="77777777" w:rsidR="00783B99" w:rsidRDefault="00783B99" w:rsidP="00953A4A">
      <w:pPr>
        <w:pStyle w:val="Heading2"/>
      </w:pPr>
      <w:r>
        <w:t>SIC 48 (Telephone communications, radio and television stations, and other communication services) (NAICS Report 51721):</w:t>
      </w:r>
    </w:p>
    <w:p w14:paraId="5F5023CF" w14:textId="77777777" w:rsidR="00783B99" w:rsidRDefault="00783B99" w:rsidP="00783B99">
      <w:pPr>
        <w:pStyle w:val="Paragraph"/>
      </w:pPr>
      <w:r>
        <w:t xml:space="preserve">The word clouds for SIC 48 firms show evidence of discussions of climate change in Topics 1, 2, and 6. These topics include high-frequency bigrams like “climate change,” “physical impacts,” “greenhouse gas,” and “changes weather,” all of which are drawn </w:t>
      </w:r>
      <w:r>
        <w:lastRenderedPageBreak/>
        <w:t>from discussions of the possible effects climate change could have on weather and the environment. However, the remaining word clouds are scattered among less relevant topics, indicating that this industry is not significantly concerned with climate change risks.</w:t>
      </w:r>
    </w:p>
    <w:p w14:paraId="207AAB2C" w14:textId="77777777" w:rsidR="00783B99" w:rsidRDefault="00783B99" w:rsidP="00953A4A">
      <w:pPr>
        <w:pStyle w:val="Heading2"/>
      </w:pPr>
      <w:r>
        <w:t>SIC 49 (Electric, natural gas, water, sanitary, and refuse services, as well as steam &amp; air-conditioning supply) (NAICS Report 22):</w:t>
      </w:r>
    </w:p>
    <w:p w14:paraId="1D056AD6" w14:textId="77777777" w:rsidR="00783B99" w:rsidRDefault="00783B99" w:rsidP="00783B99">
      <w:pPr>
        <w:pStyle w:val="Paragraph"/>
      </w:pPr>
      <w:r>
        <w:t xml:space="preserve">As indicated by their word clouds, the utility services firms in SIC 49 included extensive discussions of greenhouse gas emissions and climate change, which is unsurprising due to the heavy use of energy and natural resources in these industry sectors. Due to the sizable dataset, the word clouds generated in this analysis are </w:t>
      </w:r>
      <w:proofErr w:type="gramStart"/>
      <w:r>
        <w:t>similar to</w:t>
      </w:r>
      <w:proofErr w:type="gramEnd"/>
      <w:r>
        <w:t xml:space="preserve"> those of the economy-wide dataset: they are both well-clustered and contain many of the same highest-frequency bigrams. There is a focus on regulatory efforts aimed at reducing pollutions: this is most visible in Topics 3 and 4, both of which include various mentions of specific regulatory influences like the Clean Power Plan, the EPA, Title V, the Tailoring Rule, and court issues involving the Supreme Court. Climate change and environmental concerns are some of the largest influences on utilities in the U.S. and could threaten firms that are unprepared for changes. Increased concerns over climate change could lead to more regulations and clean energy initiatives from the government, and decreased energy usage due to improving household energy efficiency could threaten revenue for electric utilities.</w:t>
      </w:r>
    </w:p>
    <w:p w14:paraId="73E061E4" w14:textId="77777777" w:rsidR="00783B99" w:rsidRDefault="00783B99" w:rsidP="00953A4A">
      <w:pPr>
        <w:pStyle w:val="Heading2"/>
      </w:pPr>
      <w:r>
        <w:t>SIC 50 (Wholesale of various goods, including, but not limited to: motor vehicles and vehicle parts, furniture, lumber, computers and other professional equipment, electronics, and miscellaneous durable goods) (NAICS Report 42):</w:t>
      </w:r>
    </w:p>
    <w:p w14:paraId="021852FB" w14:textId="77777777" w:rsidR="00783B99" w:rsidRDefault="00783B99" w:rsidP="00783B99">
      <w:pPr>
        <w:pStyle w:val="Paragraph"/>
      </w:pPr>
      <w:r>
        <w:t xml:space="preserve">Despite the diversity of wholesale industries that are included in the SIC 50 data, the </w:t>
      </w:r>
      <w:r>
        <w:lastRenderedPageBreak/>
        <w:t>word clouds generated for this dataset include more high-frequency industry-specific bigrams than would be expected for such a varied set of industries. For instance, Topics 7 and 8 include the bigram “scrap metal” as the highest-frequency term in both the word clouds; Topic 4 focuses primarily on “HFC refrigerants,” contributors to climate change. Nevertheless, there are still references to more general risk disclosures in these word clouds, like the mentions of environmental laws and greenhouse gasses in Topic 2, or the inclusion of bigrams like “weather conditions” and “rising sea” in Topic 7 that are drawn from discussions of climate change’s physical impacts. However, due to the diverse nature of the firms in SIC 50, these word clouds do not provide enough information for a general conclusion about these industries’ most significant climate-related risks.</w:t>
      </w:r>
    </w:p>
    <w:p w14:paraId="7A341111" w14:textId="77777777" w:rsidR="00783B99" w:rsidRDefault="00783B99" w:rsidP="00953A4A">
      <w:pPr>
        <w:pStyle w:val="Heading2"/>
      </w:pPr>
      <w:r>
        <w:t>SIC 51 (Wholesale of various goods, including, but not limited to: paper and paper products, drugs and chemical products, petroleum and petroleum products, groceries, and apparel) (NAICS Report 42):</w:t>
      </w:r>
    </w:p>
    <w:p w14:paraId="3A7FA7A0" w14:textId="77777777" w:rsidR="00783B99" w:rsidRDefault="00783B99" w:rsidP="00783B99">
      <w:pPr>
        <w:pStyle w:val="Paragraph"/>
      </w:pPr>
      <w:r>
        <w:t xml:space="preserve">Compared with the wholesalers in SIC 50, the firms in SIC 51 do not include as many industry-specific terms among the highest-frequency bigrams in their word clouds. However, the fact that SIC 51 includes firms in the petroleum industry is evident. For example, Topic 2 includes terms like “petroleum products” and “refined petroleum.” The word clouds resemble those of the economy-wide data, at least in part, particularly in the case of Topics 1 and 6 from SIC 51. In Topic 1, bigrams like “results operations” and “financial condition” are also found in Topic 1 of the economy-wide data, as both are likely drawn from general climate-risk disclosures that are published by many firms in our study. Furthermore, Topic 6 covers the same material as Topic 7 of the economy-wide data. They both contain extensive mentions of greenhouse gas regulations because both were likely drawn from risk disclosures published by firms in the hydrocarbon </w:t>
      </w:r>
      <w:r>
        <w:lastRenderedPageBreak/>
        <w:t>industries.</w:t>
      </w:r>
    </w:p>
    <w:p w14:paraId="4E4E65A3" w14:textId="77777777" w:rsidR="00783B99" w:rsidRDefault="00783B99" w:rsidP="00953A4A">
      <w:pPr>
        <w:pStyle w:val="Heading2"/>
      </w:pPr>
      <w:r>
        <w:t>SIC 52 (Retail-building materials, hardware, garden supply; Retail-lumber &amp; other building materials dealers; Retail-mobile home dealers) (NAICS Report 44411):</w:t>
      </w:r>
    </w:p>
    <w:p w14:paraId="309E071E" w14:textId="77777777" w:rsidR="00783B99" w:rsidRDefault="00783B99" w:rsidP="00783B99">
      <w:pPr>
        <w:pStyle w:val="Paragraph"/>
      </w:pPr>
      <w:r>
        <w:t xml:space="preserve">The word clouds generated for these industries are not as well-clustered as those of many other industries, likely because of a relative lack of climate change-related bigrams in the data. However, there is still clear evidence of climate risk disclosures that are similar to those of many other industries, particularly in Topics 2, 4, 5, and 7. For instance, there are bigrams like “financial condition,” “adversely affect,” and “natural disasters,” all of which are common across many climate risk disclosures. In addition, there are many terms relating to regulation, like “laws regulations” and “Agency EPA,” though environmental regulation is not viewed as a significant concern for hardware stores in the U.S. at this time. The most intriguing topic relates to efforts aimed at reducing emissions, an uncommon theme across this study’s other industry analyses and one that is not evident in the economy-wide word clouds. Most notably, Topic 1 includes prominent bigrams like “carbon footprint” and “Carbon Disclosure” (referring to the Carbon Disclosure Project) that are evidence of firms’ plans towards reducing carbon emissions, as well as terms like “energy efficiency” and “ENERGY STAR” that relate to energy efficiency. </w:t>
      </w:r>
    </w:p>
    <w:p w14:paraId="3983C8C4" w14:textId="77777777" w:rsidR="00783B99" w:rsidRDefault="00783B99" w:rsidP="00953A4A">
      <w:pPr>
        <w:pStyle w:val="Heading2"/>
      </w:pPr>
      <w:r>
        <w:t>SIC 53 (Retail-department stores; Retail-variety stores; Retail-</w:t>
      </w:r>
      <w:proofErr w:type="spellStart"/>
      <w:r>
        <w:t>misc</w:t>
      </w:r>
      <w:proofErr w:type="spellEnd"/>
      <w:r>
        <w:t xml:space="preserve"> general merchandise stores) (NAICS Report 45211):</w:t>
      </w:r>
    </w:p>
    <w:p w14:paraId="0FB9C9E5" w14:textId="77777777" w:rsidR="00783B99" w:rsidRDefault="00783B99" w:rsidP="00783B99">
      <w:pPr>
        <w:pStyle w:val="Paragraph"/>
      </w:pPr>
      <w:r>
        <w:t xml:space="preserve">Within the word clouds generated for these retail industry sectors, only Topics 6 and 7 contain prominent mentions of laws or regulations, whereas the remaining word clouds are primarily concerned with the physical effects of climate change. Regulation in the </w:t>
      </w:r>
      <w:r>
        <w:lastRenderedPageBreak/>
        <w:t>department store industry, for instance, is light regarding environmental impacts and emissions and is likely a low priority for these firms, particularly compared to the threat of declining revenues due to competition with online shopping. These word clouds are not as well-clustered as those of many other industries. In addition, the fact that the most prominent bigrams are not shown as having a particularly high frequency indicates that much of the data was likely drawn from general risk disclosures that contain little discussion of climate change.</w:t>
      </w:r>
    </w:p>
    <w:p w14:paraId="6582FCA1" w14:textId="77777777" w:rsidR="00783B99" w:rsidRDefault="00783B99" w:rsidP="00953A4A">
      <w:pPr>
        <w:pStyle w:val="Heading2"/>
      </w:pPr>
      <w:r>
        <w:t>SIC 54 (Retail-food stores; Retail-grocery stores; Retail-convenience stores) (NAICS Report 44511):</w:t>
      </w:r>
    </w:p>
    <w:p w14:paraId="6D228D4B" w14:textId="77777777" w:rsidR="00783B99" w:rsidRDefault="00783B99" w:rsidP="00783B99">
      <w:pPr>
        <w:pStyle w:val="Paragraph"/>
      </w:pPr>
      <w:r>
        <w:t>Much like the word clouds generated for SIC 53, those generated for the firms in SIC 54 do not appear to focus on emissions regulations, and instead appear to focus on the physical effects of climate change, on efforts to reduce emissions, and on energy costs. For example, Topic 2 contains commonly found bigrams like “weather conditions” and “financial performance” that indicates discussion of the physical risks of climate change, whereas Topic 4 includes terms like “sustainability strategy” and “green design” that are drawn from firms’ discussions of ESG efforts aimed at benefiting the environment. The presence of discussions of firms’ efforts to improve their environmental impacts is not evident in the economy-wide word clouds, which demonstrates how uncommon such discussions are compared to most other types of climate-risk disclosures. Discussions of the physical effects of climate change are unsurprising: supermarkets and grocery stores are greatly affected by the prices of agricultural goods, which makes them vulnerable to climate change’s impacts on crops and other natural resources. In addition, the presence of the bigrams “reduce energy” and “energy costs” in Topic 2 are not widespread across this study’s industry-specific word clouds.</w:t>
      </w:r>
    </w:p>
    <w:p w14:paraId="61936A29" w14:textId="77777777" w:rsidR="00783B99" w:rsidRDefault="00783B99" w:rsidP="00953A4A">
      <w:pPr>
        <w:pStyle w:val="Heading2"/>
      </w:pPr>
      <w:r>
        <w:lastRenderedPageBreak/>
        <w:t>SIC 55 (Retail-auto dealers &amp; gasoline stations; Retail-auto &amp; home supply stores) (NAICS Report 44131):</w:t>
      </w:r>
    </w:p>
    <w:p w14:paraId="6F5C80BB" w14:textId="77777777" w:rsidR="00783B99" w:rsidRDefault="00783B99" w:rsidP="00783B99">
      <w:pPr>
        <w:pStyle w:val="Paragraph"/>
      </w:pPr>
      <w:r>
        <w:t>The word clouds generated for SIC 55 are visibly clustered more clearly than those of SIC 54 and SIC 53, possibly because of some of these firms’ involvement in the automobile industry and the presence of more climate risk disclosures regarding vehicle emissions. This is evidenced by the inclusion of various industry-specific bigrams within these word clouds, such as “fuel efficiency” and “model year” in Topic 5 or “National Highway” and “diesel fuel” in Topic 2. Overall, the content of these word clouds is primarily focused on greenhouse gas emissions, although there are mentions of climate change and its “material adverse effects” in Topic 1. It is difficult to generalize the climate risks facing these firms due to the presence of both car and home supply firms in SIC 55, as the climate risk disclosures from home supply stores may be overshadowed by the other industries’ contributions to the collection of bigrams in the SIC 55 word clouds.</w:t>
      </w:r>
    </w:p>
    <w:p w14:paraId="4AC37DF8" w14:textId="77777777" w:rsidR="00783B99" w:rsidRDefault="00783B99" w:rsidP="00953A4A">
      <w:pPr>
        <w:pStyle w:val="Heading2"/>
      </w:pPr>
      <w:r>
        <w:t>SIC 56 (Retailers of apparel, shoes, and accessories) (NAICS Report 44814):</w:t>
      </w:r>
    </w:p>
    <w:p w14:paraId="48C46CA2" w14:textId="77777777" w:rsidR="00783B99" w:rsidRDefault="00783B99" w:rsidP="00783B99">
      <w:pPr>
        <w:pStyle w:val="Paragraph"/>
      </w:pPr>
      <w:r>
        <w:t>The price of cotton is a key economic factor influencing apparel stores, meaning that climate change’s influence on cotton production could be a future threat to the firms in SIC 56. This relationship is evident in the word clouds generated for these industry sectors, particularly by the inclusion of the prominent bigram “raw materials” in both Topics 2 and 6, as well as the bigrams “weather patterns” and “prices raw” in Topic 2. The word clouds for Topics 4 and 5 include mentions of greenhouse gas emissions, but the other bigrams do not make it clear what the exact focuses are of these two topics. Topic 1 appears to be drawn from more general climate risk disclosures, giving it a similar appearance and content as the word cloud for Topic 1 of the economy-wide data.</w:t>
      </w:r>
    </w:p>
    <w:p w14:paraId="32885F04" w14:textId="77777777" w:rsidR="00783B99" w:rsidRDefault="00783B99" w:rsidP="00953A4A">
      <w:pPr>
        <w:pStyle w:val="Heading2"/>
      </w:pPr>
      <w:r>
        <w:lastRenderedPageBreak/>
        <w:t>SIC 57 (Retailers of furnishings, consumer electronics, computers and software, and record stores) (NAICS Report 44311):</w:t>
      </w:r>
    </w:p>
    <w:p w14:paraId="34B1DFF7" w14:textId="77777777" w:rsidR="00783B99" w:rsidRDefault="00783B99" w:rsidP="00783B99">
      <w:pPr>
        <w:pStyle w:val="Paragraph"/>
      </w:pPr>
      <w:r>
        <w:t>Only Topics 6 and 7 in these industries’ word clouds contain prominent mentions of climate change, and most of the other word clouds are not discussing specific climate risks, the only exceptions arguably being Topics 1 and 3. The word cloud for Topic 1 is dominated by the terms “carbon emissions” and “adversely affect,” and the inclusion of the bigram “compliance costs” is a hint that these bigrams may be sourced from firms’ discussions of the possible financial impacts of carbon regulations. By contrast, the focus of Topic 3 is not as clear, but the inclusion of the high-frequency bigram “natural disasters” implies that some of the data in Topic 3 are related to the physical effects of climate change. Even Topics 6 and 7 are not easy to interpret, although the inclusion of terms like “negatively affect” and “regional risks” in these word clouds indicates discussions of some form of adverse climate-related risks.</w:t>
      </w:r>
    </w:p>
    <w:p w14:paraId="26E9D375" w14:textId="77777777" w:rsidR="00783B99" w:rsidRDefault="00783B99" w:rsidP="00953A4A">
      <w:pPr>
        <w:pStyle w:val="Heading2"/>
      </w:pPr>
      <w:r>
        <w:t>SIC 58 (Retail-eating &amp; drinking places; Retail-eating places) (NAICS Report 72221A):</w:t>
      </w:r>
    </w:p>
    <w:p w14:paraId="73620957" w14:textId="77777777" w:rsidR="00783B99" w:rsidRDefault="00783B99" w:rsidP="00783B99">
      <w:pPr>
        <w:pStyle w:val="Paragraph"/>
      </w:pPr>
      <w:r>
        <w:t xml:space="preserve">In the restaurant industry, suppliers of ingredients like bread and sugar are key influences on business operations; these ingredients are often crafted from natural resources, placing them and these suppliers under the influence of climate change-related impacts on agriculture. This relationship appears to be acknowledged in the word clouds generated for SIC 58 firms, like by the inclusion of the bigrams “climate change,” “weather conditions,” and “prices ingredients” in Topic 4. Most of these word clouds appear to focus more on the physical risks associated with climate change and not on regulatory risks. An example is Topic 7, which includes the terms “climate change,” “adverse weather,” and “financial performance.” All terms are typically included in disclosures of the business risks posed by a changing climate. Nevertheless, </w:t>
      </w:r>
      <w:r>
        <w:lastRenderedPageBreak/>
        <w:t>there are still some mentions within these word clouds of growing regulatory efforts targeting climate change, such as in Topic 1, which contains bigrams like “climate change,” “increased focus,” and “directed regulating.”</w:t>
      </w:r>
    </w:p>
    <w:p w14:paraId="130D46A5" w14:textId="77777777" w:rsidR="00783B99" w:rsidRDefault="00783B99" w:rsidP="00953A4A">
      <w:pPr>
        <w:pStyle w:val="Heading2"/>
      </w:pPr>
      <w:r>
        <w:t xml:space="preserve">SIC 59 (Miscellaneous retailers, including drug stores, </w:t>
      </w:r>
      <w:proofErr w:type="spellStart"/>
      <w:r>
        <w:t>jewelry</w:t>
      </w:r>
      <w:proofErr w:type="spellEnd"/>
      <w:r>
        <w:t xml:space="preserve"> stores, toy and game stores, and mail-order retailers) (NAICS Report 44-45):</w:t>
      </w:r>
    </w:p>
    <w:p w14:paraId="7F5BDB1D" w14:textId="77777777" w:rsidR="00783B99" w:rsidRDefault="00783B99" w:rsidP="00783B99">
      <w:pPr>
        <w:pStyle w:val="Paragraph"/>
      </w:pPr>
      <w:r>
        <w:t>The category SIC 59 contains a diverse collection of industry sectors. As a result, the word clouds generated for SIC 59 contain few industry-specific terms and more general terminology. Topic 2, for instance, contains many terms that are typical of climate risk disclosures like “change legislation” and “reduce emissions.” There are also mentions of domestic greenhouse gas emissions concentrated in Topic 6, including many terms relating to the EPA; the resemblance of this word cloud to that of Topic 7 from the economy-wide analysis suggests that they are drawn from similarly-worded risk disclosures. The dataset for SIC 59 is relatively small considering the variety of industries contained in this category, which likely explains why the word clouds for SIC 59 are not clustered as cleanly as those of many larger industry categories.</w:t>
      </w:r>
    </w:p>
    <w:p w14:paraId="01F1EA10" w14:textId="77777777" w:rsidR="00783B99" w:rsidRDefault="00783B99" w:rsidP="00953A4A">
      <w:pPr>
        <w:pStyle w:val="Heading2"/>
      </w:pPr>
      <w:r>
        <w:t>SIC 60 (Commercial banks, savings institutions, and “functions related to depository banking”) (NAICS Report 52211):</w:t>
      </w:r>
    </w:p>
    <w:p w14:paraId="38AD2B79" w14:textId="77777777" w:rsidR="00783B99" w:rsidRDefault="00783B99" w:rsidP="00783B99">
      <w:pPr>
        <w:pStyle w:val="Paragraph"/>
      </w:pPr>
      <w:r>
        <w:t xml:space="preserve">While banks in the U.S. are subject to heavy financial regulation, they are not subject to significant environmental regulation, which explains why the word clouds generated for SIC 60 do not focus at all on climate regulation. Interestingly, the weather effects from climate change are visibly mentioned in every topic except for in Topic 7, as evidenced by terminology related to natural disasters and other severe weather conditions influenced by climate change. However, not all of the highest-frequency bigrams in these word clouds are related to weather conditions, and the variety of bigrams included </w:t>
      </w:r>
      <w:r>
        <w:lastRenderedPageBreak/>
        <w:t>in some of these word clouds suggests that the dataset for SIC 60 contains a large number of general risk disclosures, some of which discuss risks unrelated to climate change. For instance, Topic 6 contains prominent terms “economic conditions” and “public health,” while the highest-frequency bigram in Topic 7 is “computer systems.” These two topics mention climate risks but in conjunction with other business risks.</w:t>
      </w:r>
    </w:p>
    <w:p w14:paraId="66699B9F" w14:textId="77777777" w:rsidR="00783B99" w:rsidRDefault="00783B99" w:rsidP="00953A4A">
      <w:pPr>
        <w:pStyle w:val="Heading2"/>
      </w:pPr>
      <w:r>
        <w:t>SIC 61 (Credit agencies and institutions, business credit institutions, mortgage bankers &amp; loan correspondents, loan brokers, finance lessors, other finance services, and asset-backed securities) (NAICS Report 52):</w:t>
      </w:r>
    </w:p>
    <w:p w14:paraId="7C840B5C" w14:textId="77777777" w:rsidR="00783B99" w:rsidRDefault="00783B99" w:rsidP="00783B99">
      <w:pPr>
        <w:pStyle w:val="Paragraph"/>
      </w:pPr>
      <w:r>
        <w:t>The word clouds for SIC 61 are noticeably more scattered than those of the commercial banks, likely because there are fewer climate risk disclosures in this dataset than there are in SIC 60. Unlike the word clouds generated for the commercial banks, this set of word clouds contains prominent mentions of regulations in four of the eight-word clouds. In addition to these mentions of regulatory risks, there are various mentions of the impacts of climate change itself, including prominent mentions of the bigram “natural disasters” in Topics 6 and 7. The extensive mentions of this term in the raw data caused Topic 7 to be focused entirely around the term “natural disasters,” with the other bigrams being of much lower frequency; a similar type of word cloud clustering is seen in Topic 8 of the economy-wide data. Topic 5 includes terms like “raw materials” and “weather events,” implying a connection between weather conditions and the cost or availability of raw materials. It is an uncommon inclusion in the word clouds for firms relating to a service-based industry like finance.</w:t>
      </w:r>
    </w:p>
    <w:p w14:paraId="70B4B823" w14:textId="77777777" w:rsidR="00783B99" w:rsidRDefault="00783B99" w:rsidP="00953A4A">
      <w:pPr>
        <w:pStyle w:val="Heading2"/>
      </w:pPr>
      <w:r>
        <w:t>SIC 62 (Security &amp; commodity brokers, dealers, exchanges &amp; services; Security brokers, dealers &amp; flotation companies; Commodity contracts brokers &amp; dealers; Investment advice) (NAICS Report 52):</w:t>
      </w:r>
    </w:p>
    <w:p w14:paraId="60091052" w14:textId="77777777" w:rsidR="00783B99" w:rsidRDefault="00783B99" w:rsidP="00783B99">
      <w:pPr>
        <w:pStyle w:val="Paragraph"/>
      </w:pPr>
      <w:r>
        <w:t xml:space="preserve">The word clouds for SIC 62 are particularly interesting because of the involvement </w:t>
      </w:r>
      <w:r>
        <w:lastRenderedPageBreak/>
        <w:t>these firms have in the markets for energy and carbon allowances, both of which are closely related to climate change. Topic 2 shows this through the inclusion of bigrams like “power derivatives,” “carbon exchanges,” and “derivatives carbon.” These word clouds also include more typical climate risk terms like “weather conditions” and “significant damage” (referring to damage from storms), as well as terms relating to climate regulations. Unlike most industries, which will likely disclose the adverse impacts they experience from regulations, the inclusion of bigrams like “laws regulations” in these word clouds could be referring to how climate regulations increase demand for carbon markets and benefit these firms. Topic 7 has perhaps the clearest clustering of any of these word clouds: the term “climate change” is shown as the only high-frequency bigram in this word cloud. Bigrams mentioning the Norwegian Ministry of Finance in this word cloud are important: based on the context, it can be speculated that these terms relate to some efforts made by Norway to fight climate change.</w:t>
      </w:r>
    </w:p>
    <w:p w14:paraId="56C4127F" w14:textId="77777777" w:rsidR="00783B99" w:rsidRDefault="00783B99" w:rsidP="00953A4A">
      <w:pPr>
        <w:pStyle w:val="Heading2"/>
      </w:pPr>
      <w:r>
        <w:t>SIC 63 (Insurance industries) (NAICS Report 52412):</w:t>
      </w:r>
    </w:p>
    <w:p w14:paraId="3B0683E1" w14:textId="77777777" w:rsidR="00783B99" w:rsidRDefault="00783B99" w:rsidP="00783B99">
      <w:pPr>
        <w:pStyle w:val="Paragraph"/>
      </w:pPr>
      <w:r>
        <w:t xml:space="preserve">For property, casualty, and direct insurance firms in the U.S., the threat of natural disasters is one of the strongest influences on the industry and is considered a key business opportunity for many insurance companies. This is conveyed by the word clouds generated for SIC 63: every word cloud in the set includes mentions of natural disasters, catastrophes, or other weather conditions that could impact firms. For example, the word cloud for Topic 6 includes the bigrams “hurricanes earthquakes” and “severity frequency” alongside the most prominent term, “climate change,” discussing how climate change can increase the threat of adverse natural events in the future. The threats posed by rising sea levels caused by climate change are also addressed in these word clouds, as evidenced by terms like “sea levels” in Topic 2 and “coastal areas” in Topic 4. While it is clear from these word clouds what many insurance firms focused on </w:t>
      </w:r>
      <w:r>
        <w:lastRenderedPageBreak/>
        <w:t>in their climate risk disclosures, it is difficult to determine how many of these disclosures discussed the positive financial benefits of climate risks in the form of higher demand for insurance, versus the adverse effect it could have for insurance firms in terms of the number of claims filed. Furthermore, while insurance companies made many mentions of climate risks in the raw data, their climate risk disclosures are often short and limited in detail. In addition, these property-related risk disclosures likely overshadow the disclosures of other insurance industries, like health insurance and life insurance, whose climate risk discussions may not be visible in these word clouds.</w:t>
      </w:r>
    </w:p>
    <w:p w14:paraId="03FE1E3E" w14:textId="77777777" w:rsidR="00783B99" w:rsidRDefault="00783B99" w:rsidP="00953A4A">
      <w:pPr>
        <w:pStyle w:val="Heading2"/>
      </w:pPr>
      <w:r>
        <w:t>SIC 64 (Insurance agents, brokers &amp; service) (NAICS Report 52421):</w:t>
      </w:r>
    </w:p>
    <w:p w14:paraId="46DAD949" w14:textId="77777777" w:rsidR="00783B99" w:rsidRDefault="00783B99" w:rsidP="00783B99">
      <w:pPr>
        <w:pStyle w:val="Paragraph"/>
      </w:pPr>
      <w:proofErr w:type="gramStart"/>
      <w:r>
        <w:t>Despite the fact that</w:t>
      </w:r>
      <w:proofErr w:type="gramEnd"/>
      <w:r>
        <w:t xml:space="preserve"> natural disasters and their perceived threats are a significant impact on insurance brokers and agencies as they are for SIC 63 firms, the word clouds for SIC 64 firms appear completely different from those of SIC 63 firms. In addition to the difference in content, the word clouds generated for these firms are poorly clustered compared to those of SIC 63, likely because the climate risk disclosures were less prevalent or less focused than those of property insurance firms. Rather than focusing entirely on the physical impacts of climate change, these topics focus on vague environmental concerns and regulations: only Topics 5 and 7 prominently include the term “climate change,” and many of the word clouds are dominated by terms like “results operations” and “financial condition” that do not appear to be specific to climate risk disclosures. The only conclusion that can safely be drawn from these messy word clouds is that climate risks are not a particularly significant concern for SIC 64 firms.</w:t>
      </w:r>
    </w:p>
    <w:p w14:paraId="54CE982A" w14:textId="77777777" w:rsidR="00783B99" w:rsidRDefault="00783B99" w:rsidP="00953A4A">
      <w:pPr>
        <w:pStyle w:val="Heading2"/>
      </w:pPr>
      <w:r>
        <w:t>SIC 65 (Various real estate industries) (NAICS Report 53):</w:t>
      </w:r>
    </w:p>
    <w:p w14:paraId="14B06A83" w14:textId="77777777" w:rsidR="00783B99" w:rsidRDefault="00783B99" w:rsidP="00783B99">
      <w:pPr>
        <w:pStyle w:val="Paragraph"/>
      </w:pPr>
      <w:r>
        <w:t xml:space="preserve">The word clouds generated for real estate firms reflect climate risk disclosures that are </w:t>
      </w:r>
      <w:r>
        <w:lastRenderedPageBreak/>
        <w:t xml:space="preserve">focused primarily on the adverse effects of climate change itself, and on environmental regulations that could impact firms. References to the physical effects of climate change are perhaps clearest in Topic 1, which includes bigrams like “results operations” and “severe weather” that is typical of climate risk disclosures. Topic 7 is noteworthy because of its especially strong focus on impacts from weather conditions: the three largest bigrams in the word cloud are “adverse effect,” “material adverse,” and “natural disasters.” Environmental regulations are not a significant economic factor for real estate firms in the U.S., and as a result, climate change regulations are not mentioned as clearly in these word clouds as they are in the economy-wide data. In Topic 2, for instance, the prominent bigram “laws regulations” shows that this topic is drawn from regulatory disclosures, except for the bigram “carbon emissions.” </w:t>
      </w:r>
    </w:p>
    <w:p w14:paraId="4EF2E29B" w14:textId="77777777" w:rsidR="00783B99" w:rsidRDefault="00783B99" w:rsidP="00953A4A">
      <w:pPr>
        <w:pStyle w:val="Heading2"/>
      </w:pPr>
      <w:r>
        <w:t xml:space="preserve">SIC 67 (Blank checks; Oil royalty traders; Patent owners &amp; lessors; Mineral royalty traders; Real estate investment trusts; Investors, </w:t>
      </w:r>
      <w:proofErr w:type="spellStart"/>
      <w:r>
        <w:t>nec</w:t>
      </w:r>
      <w:proofErr w:type="spellEnd"/>
      <w:r>
        <w:t>) (NAICS Report 53):</w:t>
      </w:r>
    </w:p>
    <w:p w14:paraId="56EC24EE" w14:textId="77777777" w:rsidR="00783B99" w:rsidRDefault="00783B99" w:rsidP="00783B99">
      <w:pPr>
        <w:pStyle w:val="Paragraph"/>
      </w:pPr>
      <w:r>
        <w:t xml:space="preserve">SIC 67 consists of various industry sectors relating to properties. As a result, the word clouds for these industries reflect similar focuses as those of the real estate industries in SIC 65. Some of the word clouds focus specifically on the effects of climate change itself: Topic 1 focuses on the physical impacts of climate change and includes terms like “severe weather,” “natural disasters,” and “financial condition.” There is also a focus on regulations related to climate and emissions, particularly in Topics 6 and 8, although these word clouds offer more detail on regulatory concerns than those of SIC 65 firms. For instance, Topic 6 includes multiple mentions of the EPA and the Clean Air Act, showing that some of these risk disclosures discussed specific regulatory influences instead of only including generalizations. Finally, Topic 5 includes discussions of energy costs amidst these climate risk disclosures: this word cloud hints at these topics </w:t>
      </w:r>
      <w:r>
        <w:lastRenderedPageBreak/>
        <w:t xml:space="preserve">with the inclusion of terms like “data </w:t>
      </w:r>
      <w:proofErr w:type="spellStart"/>
      <w:r>
        <w:t>centers</w:t>
      </w:r>
      <w:proofErr w:type="spellEnd"/>
      <w:r>
        <w:t>,” “energy efficiency,” and “climate change.”</w:t>
      </w:r>
    </w:p>
    <w:p w14:paraId="3C51A962" w14:textId="77777777" w:rsidR="00783B99" w:rsidRDefault="00783B99" w:rsidP="00953A4A">
      <w:pPr>
        <w:pStyle w:val="Heading2"/>
      </w:pPr>
      <w:r>
        <w:t>SIC 70 (Hotels, rooming houses, camps &amp; other lodging places; hotels &amp; motels) (NAICS Report 72111):</w:t>
      </w:r>
    </w:p>
    <w:p w14:paraId="23DBF629" w14:textId="77777777" w:rsidR="00783B99" w:rsidRDefault="00783B99" w:rsidP="00783B99">
      <w:pPr>
        <w:pStyle w:val="Paragraph"/>
      </w:pPr>
      <w:r>
        <w:t>Only Topic 1 in this set of word clouds is specifically focused on the discussion of the physical effects of climate change and contains terms like “extreme weather,” adverse effect,” and “financial condition” that are typical of many climate risk disclosures. The seven other word clouds focus on regulatory concerns, including laws specifically targeting climate change as well as more general environmental regulation. For instance, Topic 5 includes the terms “Paris Agreement,” “carbon dioxide,” and “emissions intensity,” while Topic 3 mentions more general environmental protection through bigrams like “toxic substances” and “toxic hazardous.” Compared to other areas of regulation, environmental regulation is not a significant influence on hotels and motels in the U.S.</w:t>
      </w:r>
    </w:p>
    <w:p w14:paraId="487F4967" w14:textId="77777777" w:rsidR="00783B99" w:rsidRDefault="00783B99" w:rsidP="00953A4A">
      <w:pPr>
        <w:pStyle w:val="Heading2"/>
      </w:pPr>
      <w:r>
        <w:t>SIC 73 (A wide variety of service industries, including advertising, equipment rental and leasing, computer programming, computer systems design, and business services) (NAICS Report 54):</w:t>
      </w:r>
    </w:p>
    <w:p w14:paraId="562FCB55" w14:textId="40AEE46C" w:rsidR="00783B99" w:rsidRDefault="00783B99" w:rsidP="00783B99">
      <w:pPr>
        <w:pStyle w:val="Paragraph"/>
      </w:pPr>
      <w:r>
        <w:t xml:space="preserve">Topics 1 through 6 in the SIC </w:t>
      </w:r>
      <w:proofErr w:type="gramStart"/>
      <w:r>
        <w:t>73 word</w:t>
      </w:r>
      <w:proofErr w:type="gramEnd"/>
      <w:r>
        <w:t xml:space="preserve"> clouds appear to contain various discussions relating to both the physical effects of climate change and the effects of regulation. Mentions of regulatory risks are clearest in Topic 1, which includes prominent bigrams like “environmental laws” and “regulations related” alongside the term “climate change.” The other word clouds contain many of the terms commonly used in climate risk disclosures, including “natural disasters,” “material adverse,” and “financial condition.” In Topic 6, the terms “greenhouse gas” and “gas emissions” are of </w:t>
      </w:r>
      <w:r>
        <w:lastRenderedPageBreak/>
        <w:t xml:space="preserve">especially high frequency, but the other bigrams in the word cloud are of much lower frequency. In addition to the inclusion of many typical climate-related terms in these word clouds, there are also instances of industry-specific terminology in Topic 7 and Topic 8. The prominent bigram “data </w:t>
      </w:r>
      <w:proofErr w:type="spellStart"/>
      <w:r>
        <w:t>centers</w:t>
      </w:r>
      <w:proofErr w:type="spellEnd"/>
      <w:r>
        <w:t xml:space="preserve">” in Topic 7 likely relates to high energy usage in company data </w:t>
      </w:r>
      <w:r w:rsidR="00CE673D">
        <w:t>centres</w:t>
      </w:r>
      <w:r>
        <w:t xml:space="preserve"> and the related environmental disclosures. Similarly, Topic 8 includes the term “refrigerated containers,” which is likely drawn from greenhouse gas emissions disclosures related to the use of refrigerants.</w:t>
      </w:r>
    </w:p>
    <w:p w14:paraId="029870B2" w14:textId="77777777" w:rsidR="00783B99" w:rsidRDefault="00783B99" w:rsidP="00953A4A">
      <w:pPr>
        <w:pStyle w:val="Heading2"/>
      </w:pPr>
      <w:r>
        <w:t>SIC 75 (Services-automotive repair, services &amp; parking; Services-auto rental &amp; leasing [no drivers]) (NAICS Report 81111):</w:t>
      </w:r>
    </w:p>
    <w:p w14:paraId="2D2816F6" w14:textId="77777777" w:rsidR="00783B99" w:rsidRDefault="00783B99" w:rsidP="00783B99">
      <w:pPr>
        <w:pStyle w:val="Paragraph"/>
      </w:pPr>
      <w:r>
        <w:t>The business operations of firms in SIC 75 are all related to automobile usage, which is why the word clouds for these industry sectors contain extensive mentions of carbon emissions and greenhouse gasses. Environmental regulation in the auto repair industry (one of the major industries in SIC 75) is currently limited for U.S. firms, but concerns over emissions mean that environmental regulation is expected to increase. The sorted data for these firms is small compared to that of many other industries, which is likely why these word clouds appear particularly messy, but the LDA model was still able to generate meaningful results. For instance, bigrams like “Agency EPA” and “exhaust emissions” in Topic 4 make it clear that the topic focuses on vehicle emissions regulations. Topic 2 is focused entirely on mentions of U.S. regulatory agencies like the EPA and the Department of Transportation. The word cloud set for SIC 75 is one of the few in this study that mentions firms’ efforts at reducing emissions and fighting climate change; Topics 5 and 6 include multiple mentions of the Carbon Disclosure Project and terms like “environment objectives” and “corporate sustainability.”</w:t>
      </w:r>
    </w:p>
    <w:p w14:paraId="76059AFB" w14:textId="77777777" w:rsidR="00783B99" w:rsidRDefault="00783B99" w:rsidP="00953A4A">
      <w:pPr>
        <w:pStyle w:val="Heading2"/>
      </w:pPr>
      <w:r>
        <w:lastRenderedPageBreak/>
        <w:t>SIC 78 (Movie and video related industries, including both production and distribution) (NAICS Report 51211A):</w:t>
      </w:r>
    </w:p>
    <w:p w14:paraId="50178831" w14:textId="77777777" w:rsidR="00783B99" w:rsidRDefault="00783B99" w:rsidP="00783B99">
      <w:pPr>
        <w:pStyle w:val="Paragraph"/>
      </w:pPr>
      <w:r>
        <w:t>The dataset for SIC 78 only consists of small risk disclosures from two firms, so analysis of the word clouds has little value. However, it can be inferred from the inclusion of bigrams like “environmental zoning” and “zoning land use” in these word clouds that some firms in the movie and video industries could be concerned about climate change’s possible impacts on property value or property damages.</w:t>
      </w:r>
    </w:p>
    <w:p w14:paraId="31D0A721" w14:textId="77777777" w:rsidR="00783B99" w:rsidRDefault="00783B99" w:rsidP="00953A4A">
      <w:pPr>
        <w:pStyle w:val="Heading2"/>
      </w:pPr>
      <w:r>
        <w:t>SIC 79 (Recreational organizations) (NAICS Report 71311):</w:t>
      </w:r>
    </w:p>
    <w:p w14:paraId="2CA862F9" w14:textId="5E465981" w:rsidR="00783B99" w:rsidRDefault="00783B99" w:rsidP="00783B99">
      <w:pPr>
        <w:pStyle w:val="Paragraph"/>
      </w:pPr>
      <w:r>
        <w:t xml:space="preserve">This industry category contains some outdoor amusement parks and similar businesses, and because these firms are likely affected greatly by seasonal business changes, changing weather conditions are a significant concern in this industry. The word clouds generated for SIC 79 convey this concern, particularly in Topics 2 and 3, which are both focused on weather. Topics 2 and 3 are </w:t>
      </w:r>
      <w:r w:rsidR="00CE673D">
        <w:t>centred</w:t>
      </w:r>
      <w:r>
        <w:t xml:space="preserve"> around the terms “weather conditions” and “weather patterns,” respectively, although neither of these word clouds contains a prominent mention of climate change or greenhouse gasses despite their influence on weather conditions. There are also numerous terms included in Topics 1, 6, and 7 that relate to firms’ efforts to protect the environment, including “zero net” (likely referring to zero net carbon emissions), “ecosystems healthy,” and “minimize footprint.”</w:t>
      </w:r>
    </w:p>
    <w:p w14:paraId="52E9B6F5" w14:textId="77777777" w:rsidR="00783B99" w:rsidRDefault="00783B99" w:rsidP="00953A4A">
      <w:pPr>
        <w:pStyle w:val="Heading2"/>
      </w:pPr>
      <w:r>
        <w:t>SIC 80 (Health care services industries) (NAICS Report 62):</w:t>
      </w:r>
    </w:p>
    <w:p w14:paraId="6B1CC04D" w14:textId="19D993D7" w:rsidR="00783B99" w:rsidRDefault="00783B99" w:rsidP="00783B99">
      <w:pPr>
        <w:pStyle w:val="Paragraph"/>
      </w:pPr>
      <w:r>
        <w:t xml:space="preserve">Like most industries, the word clouds for SIC 80 reflect a concern for both the impacts of environmental regulation and the physical effects of climate change itself. Mentions of regulatory influences are particularly clear in Topic 5, which includes bigrams like “local environmental,” “regulatory framework,” and “adverse effect” alongside the highest-frequency bigram, “climate change.” Despite the presence of these risk </w:t>
      </w:r>
      <w:r>
        <w:lastRenderedPageBreak/>
        <w:t xml:space="preserve">disclosures, environmental regulation is not currently a significant regulatory concern in the U.S. health care industry. The discussions of the physical effects of climate change include terms that appear to mention both the financial costs of climate change and even possible safety concerns. Topic 1 discusses the financial impacts of climate change, as indicated by bigrams like “costs material” and “financial condition” that are clustered around the bigram “climate change” in the </w:t>
      </w:r>
      <w:r w:rsidR="00CE673D">
        <w:t>centre</w:t>
      </w:r>
      <w:r>
        <w:t xml:space="preserve"> of the word cloud. Climate change’s possible impact on safety is implied by some of the terms in Topic 4: the topic discusses risks facing senior living communities and includes bigrams like “sea levels” and “weather climate related” alongside terms relating to health and safety.</w:t>
      </w:r>
    </w:p>
    <w:p w14:paraId="490A2802" w14:textId="77777777" w:rsidR="00783B99" w:rsidRDefault="00783B99" w:rsidP="00953A4A">
      <w:pPr>
        <w:pStyle w:val="Heading2"/>
      </w:pPr>
      <w:r>
        <w:t>SIC 87 (Engineering services, scientific research and testing services, management services, and accounting services) (NAICS Report 54):</w:t>
      </w:r>
    </w:p>
    <w:p w14:paraId="0631B08E" w14:textId="2E7FA861" w:rsidR="00E068C6" w:rsidRPr="00783B99" w:rsidRDefault="00783B99" w:rsidP="00783B99">
      <w:pPr>
        <w:pStyle w:val="Paragraph"/>
        <w:rPr>
          <w:rFonts w:eastAsiaTheme="minorEastAsia"/>
        </w:rPr>
      </w:pPr>
      <w:r>
        <w:t xml:space="preserve">The word clouds generated for SIC 87 firms are interesting because of their widespread mentions of energy sources. In addition to mentions of fossil fuels, which are seen in other industries’ word clouds and are evident in Topics 3 and 6 of the economy-wide word clouds, Topic 6 in SIC 87’s word clouds </w:t>
      </w:r>
      <w:proofErr w:type="gramStart"/>
      <w:r>
        <w:t>is</w:t>
      </w:r>
      <w:proofErr w:type="gramEnd"/>
      <w:r>
        <w:t xml:space="preserve"> focused specifically on nuclear energy. Energy concerns are indicated in the other word clouds, as evidenced by bigrams like “sources energy” in Topic 2 and “renewable energy” in Topic 5, although any discussion of specific types of renewable energy sources in these risk disclosures is not clear from the content of these word clouds. The diverse collection of firms in SIC 87 makes it difficult to judge which industry sectors may account for the content of these word clouds, but the focus on energy sources suggests that scientific research and engineering firms may be large contributors to these word clouds.</w:t>
      </w:r>
    </w:p>
    <w:sectPr w:rsidR="00E068C6" w:rsidRPr="00783B99" w:rsidSect="00074B81">
      <w:headerReference w:type="even" r:id="rId39"/>
      <w:headerReference w:type="default" r:id="rId40"/>
      <w:footerReference w:type="even" r:id="rId41"/>
      <w:footerReference w:type="default" r:id="rId42"/>
      <w:headerReference w:type="first" r:id="rId43"/>
      <w:footerReference w:type="first" r:id="rId44"/>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E065B" w14:textId="77777777" w:rsidR="00E44027" w:rsidRDefault="00E44027" w:rsidP="00AF2C92">
      <w:r>
        <w:separator/>
      </w:r>
    </w:p>
  </w:endnote>
  <w:endnote w:type="continuationSeparator" w:id="0">
    <w:p w14:paraId="4326AE0E" w14:textId="77777777" w:rsidR="00E44027" w:rsidRDefault="00E44027"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3C3F1" w14:textId="77777777" w:rsidR="002211DD" w:rsidRDefault="00221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B6298" w14:textId="77777777" w:rsidR="002211DD" w:rsidRDefault="00221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DF8DD" w14:textId="77777777" w:rsidR="002211DD" w:rsidRDefault="0022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D927F" w14:textId="77777777" w:rsidR="00E44027" w:rsidRDefault="00E44027" w:rsidP="00AF2C92">
      <w:r>
        <w:separator/>
      </w:r>
    </w:p>
  </w:footnote>
  <w:footnote w:type="continuationSeparator" w:id="0">
    <w:p w14:paraId="2E0CD530" w14:textId="77777777" w:rsidR="00E44027" w:rsidRDefault="00E44027"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F2F73" w14:textId="77777777" w:rsidR="002211DD" w:rsidRDefault="00221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1F77E" w14:textId="77777777" w:rsidR="002211DD" w:rsidRDefault="00221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3C16B" w14:textId="77777777" w:rsidR="002211DD" w:rsidRDefault="00221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19B"/>
    <w:rsid w:val="00001899"/>
    <w:rsid w:val="000049AD"/>
    <w:rsid w:val="0000681B"/>
    <w:rsid w:val="000133C0"/>
    <w:rsid w:val="00014C4E"/>
    <w:rsid w:val="00017107"/>
    <w:rsid w:val="000202E2"/>
    <w:rsid w:val="00022441"/>
    <w:rsid w:val="0002261E"/>
    <w:rsid w:val="00024839"/>
    <w:rsid w:val="00026871"/>
    <w:rsid w:val="00032D8F"/>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D7AF0"/>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11DD"/>
    <w:rsid w:val="00236F4B"/>
    <w:rsid w:val="00242B0D"/>
    <w:rsid w:val="002467C6"/>
    <w:rsid w:val="0024692A"/>
    <w:rsid w:val="00252BBA"/>
    <w:rsid w:val="00253123"/>
    <w:rsid w:val="00264001"/>
    <w:rsid w:val="00266354"/>
    <w:rsid w:val="00267A18"/>
    <w:rsid w:val="00273462"/>
    <w:rsid w:val="0027395B"/>
    <w:rsid w:val="00275854"/>
    <w:rsid w:val="00283B41"/>
    <w:rsid w:val="00285F28"/>
    <w:rsid w:val="00286398"/>
    <w:rsid w:val="00296F7C"/>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3935"/>
    <w:rsid w:val="002F4EDB"/>
    <w:rsid w:val="002F6054"/>
    <w:rsid w:val="00310E13"/>
    <w:rsid w:val="00315713"/>
    <w:rsid w:val="0031686C"/>
    <w:rsid w:val="00316FE0"/>
    <w:rsid w:val="003204D2"/>
    <w:rsid w:val="0032605E"/>
    <w:rsid w:val="003275D1"/>
    <w:rsid w:val="00330B2A"/>
    <w:rsid w:val="00331E17"/>
    <w:rsid w:val="00332A4E"/>
    <w:rsid w:val="00333063"/>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87"/>
    <w:rsid w:val="003B62C9"/>
    <w:rsid w:val="003C7176"/>
    <w:rsid w:val="003D0929"/>
    <w:rsid w:val="003D4729"/>
    <w:rsid w:val="003D6B10"/>
    <w:rsid w:val="003D7DD6"/>
    <w:rsid w:val="003E5AAF"/>
    <w:rsid w:val="003E600D"/>
    <w:rsid w:val="003E64DF"/>
    <w:rsid w:val="003E6A5D"/>
    <w:rsid w:val="003F193A"/>
    <w:rsid w:val="003F4207"/>
    <w:rsid w:val="003F5C46"/>
    <w:rsid w:val="003F7CBB"/>
    <w:rsid w:val="003F7D34"/>
    <w:rsid w:val="00412C8E"/>
    <w:rsid w:val="0041518D"/>
    <w:rsid w:val="00415CDB"/>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7A97"/>
    <w:rsid w:val="00481343"/>
    <w:rsid w:val="0048549E"/>
    <w:rsid w:val="004930C6"/>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1D1C"/>
    <w:rsid w:val="004F3B55"/>
    <w:rsid w:val="004F428E"/>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335E"/>
    <w:rsid w:val="005476FA"/>
    <w:rsid w:val="0055595E"/>
    <w:rsid w:val="00557988"/>
    <w:rsid w:val="00562C49"/>
    <w:rsid w:val="00562DEF"/>
    <w:rsid w:val="0056321A"/>
    <w:rsid w:val="00563A35"/>
    <w:rsid w:val="00566596"/>
    <w:rsid w:val="005741E9"/>
    <w:rsid w:val="005748CF"/>
    <w:rsid w:val="00584270"/>
    <w:rsid w:val="00584738"/>
    <w:rsid w:val="005920B0"/>
    <w:rsid w:val="0059380D"/>
    <w:rsid w:val="00595A8F"/>
    <w:rsid w:val="00596DEE"/>
    <w:rsid w:val="005977C2"/>
    <w:rsid w:val="00597BF2"/>
    <w:rsid w:val="005A1F54"/>
    <w:rsid w:val="005A3020"/>
    <w:rsid w:val="005B134E"/>
    <w:rsid w:val="005B2039"/>
    <w:rsid w:val="005B344F"/>
    <w:rsid w:val="005B3FBA"/>
    <w:rsid w:val="005B4A1D"/>
    <w:rsid w:val="005B674D"/>
    <w:rsid w:val="005C056D"/>
    <w:rsid w:val="005C0CBE"/>
    <w:rsid w:val="005C1FCF"/>
    <w:rsid w:val="005C3F41"/>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4782B"/>
    <w:rsid w:val="0065293D"/>
    <w:rsid w:val="00653EFC"/>
    <w:rsid w:val="00654021"/>
    <w:rsid w:val="00661045"/>
    <w:rsid w:val="006653BD"/>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4409"/>
    <w:rsid w:val="006C5BB8"/>
    <w:rsid w:val="006C6936"/>
    <w:rsid w:val="006C7B01"/>
    <w:rsid w:val="006D0FE8"/>
    <w:rsid w:val="006D4B2B"/>
    <w:rsid w:val="006D4F3C"/>
    <w:rsid w:val="006D5C66"/>
    <w:rsid w:val="006D7002"/>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090B"/>
    <w:rsid w:val="0074164E"/>
    <w:rsid w:val="00742D1F"/>
    <w:rsid w:val="00743EBA"/>
    <w:rsid w:val="00744C8E"/>
    <w:rsid w:val="0074707E"/>
    <w:rsid w:val="007516DC"/>
    <w:rsid w:val="00752E58"/>
    <w:rsid w:val="00754B80"/>
    <w:rsid w:val="00761918"/>
    <w:rsid w:val="00762F03"/>
    <w:rsid w:val="0076413B"/>
    <w:rsid w:val="007648AE"/>
    <w:rsid w:val="00764BF8"/>
    <w:rsid w:val="0076514D"/>
    <w:rsid w:val="00773D59"/>
    <w:rsid w:val="00781003"/>
    <w:rsid w:val="00783B99"/>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5502"/>
    <w:rsid w:val="007F737D"/>
    <w:rsid w:val="0080308E"/>
    <w:rsid w:val="00805303"/>
    <w:rsid w:val="00806705"/>
    <w:rsid w:val="00806738"/>
    <w:rsid w:val="008216D5"/>
    <w:rsid w:val="008249CE"/>
    <w:rsid w:val="00831A50"/>
    <w:rsid w:val="00831B3C"/>
    <w:rsid w:val="00831C89"/>
    <w:rsid w:val="00832114"/>
    <w:rsid w:val="00834C46"/>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4EF3"/>
    <w:rsid w:val="00896E9D"/>
    <w:rsid w:val="00896F11"/>
    <w:rsid w:val="0089715D"/>
    <w:rsid w:val="008A1049"/>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755D"/>
    <w:rsid w:val="008F7A39"/>
    <w:rsid w:val="009021E8"/>
    <w:rsid w:val="00904677"/>
    <w:rsid w:val="00905EE2"/>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53A4A"/>
    <w:rsid w:val="009673E8"/>
    <w:rsid w:val="00974DB8"/>
    <w:rsid w:val="00980661"/>
    <w:rsid w:val="0098093B"/>
    <w:rsid w:val="009876D4"/>
    <w:rsid w:val="009914A5"/>
    <w:rsid w:val="0099548E"/>
    <w:rsid w:val="00996456"/>
    <w:rsid w:val="00996A12"/>
    <w:rsid w:val="00997B0F"/>
    <w:rsid w:val="009A0CC3"/>
    <w:rsid w:val="009A1CAD"/>
    <w:rsid w:val="009A3440"/>
    <w:rsid w:val="009A5832"/>
    <w:rsid w:val="009A6838"/>
    <w:rsid w:val="009B24B5"/>
    <w:rsid w:val="009B4EBC"/>
    <w:rsid w:val="009B5ABB"/>
    <w:rsid w:val="009B73CE"/>
    <w:rsid w:val="009C2461"/>
    <w:rsid w:val="009C5A15"/>
    <w:rsid w:val="009C6FE2"/>
    <w:rsid w:val="009C7674"/>
    <w:rsid w:val="009D004A"/>
    <w:rsid w:val="009D5880"/>
    <w:rsid w:val="009E1FD4"/>
    <w:rsid w:val="009E3B07"/>
    <w:rsid w:val="009E4969"/>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06DF"/>
    <w:rsid w:val="00A51EA5"/>
    <w:rsid w:val="00A53742"/>
    <w:rsid w:val="00A557A1"/>
    <w:rsid w:val="00A63059"/>
    <w:rsid w:val="00A63AE3"/>
    <w:rsid w:val="00A651A4"/>
    <w:rsid w:val="00A71361"/>
    <w:rsid w:val="00A746E2"/>
    <w:rsid w:val="00A81FF2"/>
    <w:rsid w:val="00A83904"/>
    <w:rsid w:val="00A90A79"/>
    <w:rsid w:val="00A96B30"/>
    <w:rsid w:val="00AA18E5"/>
    <w:rsid w:val="00AA442D"/>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DBE"/>
    <w:rsid w:val="00B61990"/>
    <w:rsid w:val="00B62999"/>
    <w:rsid w:val="00B63BE3"/>
    <w:rsid w:val="00B64885"/>
    <w:rsid w:val="00B64FA3"/>
    <w:rsid w:val="00B66810"/>
    <w:rsid w:val="00B72BE3"/>
    <w:rsid w:val="00B73B80"/>
    <w:rsid w:val="00B770C7"/>
    <w:rsid w:val="00B80F26"/>
    <w:rsid w:val="00B822BD"/>
    <w:rsid w:val="00B842F4"/>
    <w:rsid w:val="00B91A7B"/>
    <w:rsid w:val="00B929DD"/>
    <w:rsid w:val="00B93AF6"/>
    <w:rsid w:val="00B95405"/>
    <w:rsid w:val="00B963F1"/>
    <w:rsid w:val="00BA020A"/>
    <w:rsid w:val="00BB025A"/>
    <w:rsid w:val="00BB02A4"/>
    <w:rsid w:val="00BB1270"/>
    <w:rsid w:val="00BB1E44"/>
    <w:rsid w:val="00BB5267"/>
    <w:rsid w:val="00BB52B8"/>
    <w:rsid w:val="00BB59D8"/>
    <w:rsid w:val="00BB7E69"/>
    <w:rsid w:val="00BC0E51"/>
    <w:rsid w:val="00BC3C1F"/>
    <w:rsid w:val="00BC7CE7"/>
    <w:rsid w:val="00BD295E"/>
    <w:rsid w:val="00BD4664"/>
    <w:rsid w:val="00BD74C9"/>
    <w:rsid w:val="00BE1193"/>
    <w:rsid w:val="00BF1B30"/>
    <w:rsid w:val="00BF4849"/>
    <w:rsid w:val="00BF4EA7"/>
    <w:rsid w:val="00BF6525"/>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A1A"/>
    <w:rsid w:val="00CC1E75"/>
    <w:rsid w:val="00CC2622"/>
    <w:rsid w:val="00CC2E0E"/>
    <w:rsid w:val="00CC361C"/>
    <w:rsid w:val="00CC474B"/>
    <w:rsid w:val="00CC639B"/>
    <w:rsid w:val="00CC658C"/>
    <w:rsid w:val="00CC67BF"/>
    <w:rsid w:val="00CD0843"/>
    <w:rsid w:val="00CD4E31"/>
    <w:rsid w:val="00CD5A78"/>
    <w:rsid w:val="00CD7345"/>
    <w:rsid w:val="00CE372E"/>
    <w:rsid w:val="00CE673D"/>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90A5E"/>
    <w:rsid w:val="00D91A68"/>
    <w:rsid w:val="00D9519B"/>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7BEA"/>
    <w:rsid w:val="00DF5B84"/>
    <w:rsid w:val="00DF6D5B"/>
    <w:rsid w:val="00DF771B"/>
    <w:rsid w:val="00DF7EE2"/>
    <w:rsid w:val="00E01BAA"/>
    <w:rsid w:val="00E0282A"/>
    <w:rsid w:val="00E02F9B"/>
    <w:rsid w:val="00E068C6"/>
    <w:rsid w:val="00E07E14"/>
    <w:rsid w:val="00E14F94"/>
    <w:rsid w:val="00E17336"/>
    <w:rsid w:val="00E17D15"/>
    <w:rsid w:val="00E22B95"/>
    <w:rsid w:val="00E30331"/>
    <w:rsid w:val="00E30BB8"/>
    <w:rsid w:val="00E31F9C"/>
    <w:rsid w:val="00E40488"/>
    <w:rsid w:val="00E40BF4"/>
    <w:rsid w:val="00E44027"/>
    <w:rsid w:val="00E50367"/>
    <w:rsid w:val="00E51ABA"/>
    <w:rsid w:val="00E524CB"/>
    <w:rsid w:val="00E65456"/>
    <w:rsid w:val="00E65A91"/>
    <w:rsid w:val="00E66188"/>
    <w:rsid w:val="00E664FB"/>
    <w:rsid w:val="00E672F0"/>
    <w:rsid w:val="00E70373"/>
    <w:rsid w:val="00E72E40"/>
    <w:rsid w:val="00E73665"/>
    <w:rsid w:val="00E73999"/>
    <w:rsid w:val="00E73BDC"/>
    <w:rsid w:val="00E73E9E"/>
    <w:rsid w:val="00E747A2"/>
    <w:rsid w:val="00E81660"/>
    <w:rsid w:val="00E854FE"/>
    <w:rsid w:val="00E906CC"/>
    <w:rsid w:val="00E939A0"/>
    <w:rsid w:val="00E97E4E"/>
    <w:rsid w:val="00EA1CC2"/>
    <w:rsid w:val="00EA2D76"/>
    <w:rsid w:val="00EA4644"/>
    <w:rsid w:val="00EA758A"/>
    <w:rsid w:val="00EB096F"/>
    <w:rsid w:val="00EB199F"/>
    <w:rsid w:val="00EB21A4"/>
    <w:rsid w:val="00EB27C4"/>
    <w:rsid w:val="00EB5387"/>
    <w:rsid w:val="00EB5C10"/>
    <w:rsid w:val="00EB7322"/>
    <w:rsid w:val="00EC0FE9"/>
    <w:rsid w:val="00EC198B"/>
    <w:rsid w:val="00EC426D"/>
    <w:rsid w:val="00EC571B"/>
    <w:rsid w:val="00EC57D7"/>
    <w:rsid w:val="00EC6385"/>
    <w:rsid w:val="00ED1DE9"/>
    <w:rsid w:val="00ED23D4"/>
    <w:rsid w:val="00ED5E0B"/>
    <w:rsid w:val="00EE37B6"/>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83973"/>
    <w:rsid w:val="00F87FA3"/>
    <w:rsid w:val="00F93D8C"/>
    <w:rsid w:val="00FA3102"/>
    <w:rsid w:val="00FA48D4"/>
    <w:rsid w:val="00FA54FA"/>
    <w:rsid w:val="00FA6D39"/>
    <w:rsid w:val="00FB227E"/>
    <w:rsid w:val="00FB3D61"/>
    <w:rsid w:val="00FB44CE"/>
    <w:rsid w:val="00FB5009"/>
    <w:rsid w:val="00FB76AB"/>
    <w:rsid w:val="00FD03FE"/>
    <w:rsid w:val="00FD126E"/>
    <w:rsid w:val="00FD3C36"/>
    <w:rsid w:val="00FD4D81"/>
    <w:rsid w:val="00FD7498"/>
    <w:rsid w:val="00FD7B34"/>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BE567"/>
  <w14:defaultImageDpi w14:val="330"/>
  <w15:docId w15:val="{52071085-84BC-4971-89E1-E194D0CC8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990"/>
    <w:pPr>
      <w:spacing w:after="160" w:line="256" w:lineRule="auto"/>
    </w:pPr>
    <w:rPr>
      <w:rFonts w:asciiTheme="minorHAnsi" w:eastAsiaTheme="minorEastAsia" w:hAnsiTheme="minorHAnsi" w:cstheme="minorBidi"/>
      <w:sz w:val="22"/>
      <w:szCs w:val="22"/>
      <w:lang w:val="en-US" w:eastAsia="en-US"/>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ascii="Times New Roman" w:eastAsia="Times New Roman" w:hAnsi="Times New Roman" w:cs="Arial"/>
      <w:b/>
      <w:bCs/>
      <w:i/>
      <w:iCs/>
      <w:sz w:val="24"/>
      <w:szCs w:val="28"/>
      <w:lang w:val="en-GB" w:eastAsia="en-GB"/>
    </w:rPr>
  </w:style>
  <w:style w:type="paragraph" w:styleId="Heading3">
    <w:name w:val="heading 3"/>
    <w:basedOn w:val="Normal"/>
    <w:next w:val="Paragraph"/>
    <w:link w:val="Heading3Char"/>
    <w:uiPriority w:val="9"/>
    <w:qFormat/>
    <w:rsid w:val="00DF7EE2"/>
    <w:pPr>
      <w:keepNext/>
      <w:spacing w:before="360" w:after="60" w:line="360" w:lineRule="auto"/>
      <w:ind w:right="567"/>
      <w:contextualSpacing/>
      <w:outlineLvl w:val="2"/>
    </w:pPr>
    <w:rPr>
      <w:rFonts w:ascii="Times New Roman" w:eastAsia="Times New Roman" w:hAnsi="Times New Roman" w:cs="Arial"/>
      <w:bCs/>
      <w:i/>
      <w:sz w:val="24"/>
      <w:szCs w:val="26"/>
      <w:lang w:val="en-GB" w:eastAsia="en-GB"/>
    </w:rPr>
  </w:style>
  <w:style w:type="paragraph" w:styleId="Heading4">
    <w:name w:val="heading 4"/>
    <w:basedOn w:val="Paragraph"/>
    <w:next w:val="Newparagraph"/>
    <w:link w:val="Heading4Char"/>
    <w:uiPriority w:val="9"/>
    <w:qFormat/>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F04900"/>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F04900"/>
    <w:pPr>
      <w:spacing w:before="240" w:after="0" w:line="360" w:lineRule="auto"/>
    </w:pPr>
    <w:rPr>
      <w:rFonts w:ascii="Times New Roman" w:eastAsia="Times New Roman" w:hAnsi="Times New Roman" w:cs="Times New Roman"/>
      <w:i/>
      <w:sz w:val="24"/>
      <w:szCs w:val="24"/>
      <w:lang w:val="en-GB" w:eastAsia="en-GB"/>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rFonts w:ascii="Times New Roman" w:eastAsia="Times New Roman" w:hAnsi="Times New Roman" w:cs="Times New Roman"/>
      <w:szCs w:val="24"/>
      <w:lang w:val="en-GB" w:eastAsia="en-GB"/>
    </w:rPr>
  </w:style>
  <w:style w:type="paragraph" w:customStyle="1" w:styleId="Keywords">
    <w:name w:val="Keywords"/>
    <w:basedOn w:val="Normal"/>
    <w:next w:val="Paragraph"/>
    <w:qFormat/>
    <w:rsid w:val="00BB1270"/>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Correspondencedetails">
    <w:name w:val="Correspondence details"/>
    <w:basedOn w:val="Normal"/>
    <w:qFormat/>
    <w:rsid w:val="00F04900"/>
    <w:pPr>
      <w:spacing w:before="240" w:after="0" w:line="360" w:lineRule="auto"/>
    </w:pPr>
    <w:rPr>
      <w:rFonts w:ascii="Times New Roman" w:eastAsia="Times New Roman" w:hAnsi="Times New Roman" w:cs="Times New Roman"/>
      <w:sz w:val="24"/>
      <w:szCs w:val="24"/>
      <w:lang w:val="en-GB" w:eastAsia="en-GB"/>
    </w:r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Acknowledgements">
    <w:name w:val="Acknowledgements"/>
    <w:basedOn w:val="Normal"/>
    <w:next w:val="Normal"/>
    <w:qFormat/>
    <w:rsid w:val="00D379A3"/>
    <w:pPr>
      <w:spacing w:before="120" w:after="0" w:line="360" w:lineRule="auto"/>
    </w:pPr>
    <w:rPr>
      <w:rFonts w:ascii="Times New Roman" w:eastAsia="Times New Roman" w:hAnsi="Times New Roman" w:cs="Times New Roman"/>
      <w:szCs w:val="24"/>
      <w:lang w:val="en-GB" w:eastAsia="en-GB"/>
    </w:rPr>
  </w:style>
  <w:style w:type="paragraph" w:customStyle="1" w:styleId="Tabletitle">
    <w:name w:val="Table title"/>
    <w:basedOn w:val="Normal"/>
    <w:next w:val="Normal"/>
    <w:qFormat/>
    <w:rsid w:val="0031686C"/>
    <w:pPr>
      <w:spacing w:before="240" w:after="0" w:line="360" w:lineRule="auto"/>
    </w:pPr>
    <w:rPr>
      <w:rFonts w:ascii="Times New Roman" w:eastAsia="Times New Roman" w:hAnsi="Times New Roman" w:cs="Times New Roman"/>
      <w:sz w:val="24"/>
      <w:szCs w:val="24"/>
      <w:lang w:val="en-GB" w:eastAsia="en-GB"/>
    </w:rPr>
  </w:style>
  <w:style w:type="paragraph" w:customStyle="1" w:styleId="Figurecaption">
    <w:name w:val="Figure caption"/>
    <w:basedOn w:val="Normal"/>
    <w:next w:val="Normal"/>
    <w:qFormat/>
    <w:rsid w:val="0031686C"/>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
    <w:qFormat/>
    <w:rsid w:val="006C6936"/>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tesoncontributors">
    <w:name w:val="Notes on contributors"/>
    <w:basedOn w:val="Normal"/>
    <w:qFormat/>
    <w:rsid w:val="00F04900"/>
    <w:pPr>
      <w:spacing w:before="240" w:after="0" w:line="360" w:lineRule="auto"/>
    </w:pPr>
    <w:rPr>
      <w:rFonts w:ascii="Times New Roman" w:eastAsia="Times New Roman" w:hAnsi="Times New Roman" w:cs="Times New Roman"/>
      <w:szCs w:val="24"/>
      <w:lang w:val="en-GB" w:eastAsia="en-GB"/>
    </w:rPr>
  </w:style>
  <w:style w:type="paragraph" w:customStyle="1" w:styleId="Normalparagraphstyle">
    <w:name w:val="Normal paragraph style"/>
    <w:basedOn w:val="Normal"/>
    <w:next w:val="Normal"/>
    <w:rsid w:val="00562DEF"/>
    <w:pPr>
      <w:spacing w:after="0" w:line="48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next w:val="Newparagraph"/>
    <w:qFormat/>
    <w:rsid w:val="001B7681"/>
    <w:pPr>
      <w:widowControl w:val="0"/>
      <w:spacing w:before="240" w:after="0" w:line="48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AE2F8D"/>
    <w:pPr>
      <w:spacing w:after="0" w:line="480" w:lineRule="auto"/>
      <w:ind w:firstLine="720"/>
    </w:pPr>
    <w:rPr>
      <w:rFonts w:ascii="Times New Roman" w:eastAsia="Times New Roman" w:hAnsi="Times New Roman" w:cs="Times New Roman"/>
      <w:sz w:val="24"/>
      <w:szCs w:val="24"/>
      <w:lang w:val="en-GB" w:eastAsia="en-GB"/>
    </w:rPr>
  </w:style>
  <w:style w:type="paragraph" w:styleId="NormalIndent">
    <w:name w:val="Normal Indent"/>
    <w:basedOn w:val="Normal"/>
    <w:rsid w:val="00526454"/>
    <w:pPr>
      <w:spacing w:after="0" w:line="480" w:lineRule="auto"/>
      <w:ind w:left="720"/>
    </w:pPr>
    <w:rPr>
      <w:rFonts w:ascii="Times New Roman" w:eastAsia="Times New Roman" w:hAnsi="Times New Roman" w:cs="Times New Roman"/>
      <w:sz w:val="24"/>
      <w:szCs w:val="24"/>
      <w:lang w:val="en-GB" w:eastAsia="en-GB"/>
    </w:rPr>
  </w:style>
  <w:style w:type="paragraph" w:customStyle="1" w:styleId="References">
    <w:name w:val="References"/>
    <w:basedOn w:val="Normal"/>
    <w:qFormat/>
    <w:rsid w:val="002C53EE"/>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uiPriority w:val="9"/>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uiPriority w:val="99"/>
    <w:rsid w:val="006C19B2"/>
    <w:pPr>
      <w:spacing w:after="0" w:line="480" w:lineRule="auto"/>
      <w:ind w:left="284" w:hanging="284"/>
    </w:pPr>
    <w:rPr>
      <w:rFonts w:ascii="Times New Roman" w:eastAsia="Times New Roman" w:hAnsi="Times New Roman" w:cs="Times New Roman"/>
      <w:szCs w:val="20"/>
      <w:lang w:val="en-GB" w:eastAsia="en-GB"/>
    </w:rPr>
  </w:style>
  <w:style w:type="character" w:customStyle="1" w:styleId="FootnoteTextChar">
    <w:name w:val="Footnote Text Char"/>
    <w:basedOn w:val="DefaultParagraphFont"/>
    <w:link w:val="FootnoteText"/>
    <w:uiPriority w:val="99"/>
    <w:rsid w:val="006C19B2"/>
    <w:rPr>
      <w:sz w:val="22"/>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rsid w:val="006C19B2"/>
    <w:pPr>
      <w:spacing w:after="0" w:line="480" w:lineRule="auto"/>
      <w:ind w:left="284" w:hanging="284"/>
    </w:pPr>
    <w:rPr>
      <w:rFonts w:ascii="Times New Roman" w:eastAsia="Times New Roman" w:hAnsi="Times New Roman" w:cs="Times New Roman"/>
      <w:szCs w:val="20"/>
      <w:lang w:val="en-GB" w:eastAsia="en-GB"/>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uiPriority w:val="9"/>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after="0" w:line="240" w:lineRule="auto"/>
      <w:contextualSpacing/>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iPriority w:val="99"/>
    <w:unhideWhenUsed/>
    <w:rsid w:val="00CC26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007486492">
      <w:bodyDiv w:val="1"/>
      <w:marLeft w:val="0"/>
      <w:marRight w:val="0"/>
      <w:marTop w:val="0"/>
      <w:marBottom w:val="0"/>
      <w:divBdr>
        <w:top w:val="none" w:sz="0" w:space="0" w:color="auto"/>
        <w:left w:val="none" w:sz="0" w:space="0" w:color="auto"/>
        <w:bottom w:val="none" w:sz="0" w:space="0" w:color="auto"/>
        <w:right w:val="none" w:sz="0" w:space="0" w:color="auto"/>
      </w:divBdr>
    </w:div>
    <w:div w:id="1687561698">
      <w:bodyDiv w:val="1"/>
      <w:marLeft w:val="0"/>
      <w:marRight w:val="0"/>
      <w:marTop w:val="0"/>
      <w:marBottom w:val="0"/>
      <w:divBdr>
        <w:top w:val="none" w:sz="0" w:space="0" w:color="auto"/>
        <w:left w:val="none" w:sz="0" w:space="0" w:color="auto"/>
        <w:bottom w:val="none" w:sz="0" w:space="0" w:color="auto"/>
        <w:right w:val="none" w:sz="0" w:space="0" w:color="auto"/>
      </w:divBdr>
    </w:div>
    <w:div w:id="188436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2.arb.ca.gov/sites/default/files/barcu/regact/2010/capandtrade10/capisor.pdf" TargetMode="External"/><Relationship Id="rId13" Type="http://schemas.openxmlformats.org/officeDocument/2006/relationships/hyperlink" Target="https://eur-lex.europa.eu/eli/dir/2N003/87/oj" TargetMode="External"/><Relationship Id="rId18" Type="http://schemas.openxmlformats.org/officeDocument/2006/relationships/hyperlink" Target="https://www.ipcc.ch/site/assets/uploads/2018/02/WGIIAR5-Chap10_FINAL.pdf" TargetMode="External"/><Relationship Id="rId26" Type="http://schemas.openxmlformats.org/officeDocument/2006/relationships/hyperlink" Target="https://unfccc.int/process/the-kyoto-protocol/the-doha-amendment"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2.gov.bc.ca/gov/content/environment/climate-change/clean-economy/carbon-tax" TargetMode="External"/><Relationship Id="rId34" Type="http://schemas.openxmlformats.org/officeDocument/2006/relationships/hyperlink" Target="https://www.epa.gov/nsr/clean-air-act-permitting-greenhouse-gases"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uk/government/publications/participating-in-the-uk-ets/participating-in-the-uk-ets" TargetMode="External"/><Relationship Id="rId17" Type="http://schemas.openxmlformats.org/officeDocument/2006/relationships/hyperlink" Target="https://www.government.se/government-policy/swedens-carbon-tax/swedens-carbon-tax/" TargetMode="External"/><Relationship Id="rId25" Type="http://schemas.openxmlformats.org/officeDocument/2006/relationships/hyperlink" Target="https://www.legislation.gov.uk/uksi/2020/1265/contents/made" TargetMode="External"/><Relationship Id="rId33" Type="http://schemas.openxmlformats.org/officeDocument/2006/relationships/hyperlink" Target="https://unfccc.int/sites/default/files/english_paris_agreement.pdf" TargetMode="External"/><Relationship Id="rId38" Type="http://schemas.openxmlformats.org/officeDocument/2006/relationships/hyperlink" Target="https://www.epa.gov/laws-regulations/summary-clean-air-act"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nada.ca/en/environment-climate-change/services/climate-change/pricing-pollution-how-it-will-work/output-based-pricing-system/review.html" TargetMode="External"/><Relationship Id="rId20" Type="http://schemas.openxmlformats.org/officeDocument/2006/relationships/hyperlink" Target="https://www.govinfo.gov/content/pkg/FR-2009-12-15/pdf/E9-29537.pdf" TargetMode="External"/><Relationship Id="rId29" Type="http://schemas.openxmlformats.org/officeDocument/2006/relationships/hyperlink" Target="https://unfccc.int/process-and-meetings/the-convention/what-is-the-united-nations-framework-convention-on-climate-chang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en/revenue-agency/services/forms-publications/publications/fcn1/general-information-registration-greenhouse-gas-pollution-pricing-act.html" TargetMode="External"/><Relationship Id="rId24" Type="http://schemas.openxmlformats.org/officeDocument/2006/relationships/hyperlink" Target="https://openknowledge.worldbank.org/handle/10986/35620" TargetMode="External"/><Relationship Id="rId32" Type="http://schemas.openxmlformats.org/officeDocument/2006/relationships/hyperlink" Target="https://unfccc.int/sites/default/files/convention_text_with_annexes_english_for_posting.pdf" TargetMode="External"/><Relationship Id="rId37" Type="http://schemas.openxmlformats.org/officeDocument/2006/relationships/hyperlink" Target="https://www.epa.gov/regulations-emissions-vehicles-and-engines/regulations-greenhouse-gas-emissions-commercial-trucks"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nada.ca/en/environment-climate-change/services/climate-change/pricing-pollution-how-it-will-work.html" TargetMode="External"/><Relationship Id="rId23" Type="http://schemas.openxmlformats.org/officeDocument/2006/relationships/hyperlink" Target="https://www.rggi.org/program-overview-and-design/elements" TargetMode="External"/><Relationship Id="rId28" Type="http://schemas.openxmlformats.org/officeDocument/2006/relationships/hyperlink" Target="https://unfccc.int/kyoto_protocol" TargetMode="External"/><Relationship Id="rId36" Type="http://schemas.openxmlformats.org/officeDocument/2006/relationships/hyperlink" Target="https://www.epa.gov/criteria-air-pollutants/naaqs-table" TargetMode="External"/><Relationship Id="rId10" Type="http://schemas.openxmlformats.org/officeDocument/2006/relationships/hyperlink" Target="https://ww2.arb.ca.gov/our-work/programs/cap-and-trade-program/about" TargetMode="External"/><Relationship Id="rId19" Type="http://schemas.openxmlformats.org/officeDocument/2006/relationships/hyperlink" Target="https://www.ipcc.ch/site/assets/uploads/2018/02/SYR_AR5_FINAL_full.pdf" TargetMode="External"/><Relationship Id="rId31" Type="http://schemas.openxmlformats.org/officeDocument/2006/relationships/hyperlink" Target="https://treaties.un.org/Pages/ViewDetailsIII.aspx?src=TREATY&amp;mtdsg_no=XXVII-7&amp;chapter=27&amp;Temp=mtdsg3&amp;clang=_en"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2.arb.ca.gov/sites/default/files/classic/cc/capandtrade/guidance/cap_trade_overview.pdf" TargetMode="External"/><Relationship Id="rId14" Type="http://schemas.openxmlformats.org/officeDocument/2006/relationships/hyperlink" Target="https://ec.europa.eu/clima/policies/ets_en" TargetMode="External"/><Relationship Id="rId22" Type="http://schemas.openxmlformats.org/officeDocument/2006/relationships/hyperlink" Target="https://www.rggi.org/sites/default/files/Uploads/Design-Archive/MOU/MOU_12_20_05.pdf" TargetMode="External"/><Relationship Id="rId27" Type="http://schemas.openxmlformats.org/officeDocument/2006/relationships/hyperlink" Target="https://unfccc.int/process-and-meetings/the-paris-agreement/the-paris-agreement" TargetMode="External"/><Relationship Id="rId30" Type="http://schemas.openxmlformats.org/officeDocument/2006/relationships/hyperlink" Target="https://treaties.un.org/Pages/ViewDetails.aspx?src=TREATY&amp;mtdsg_no=XXVII-7-d&amp;chapter=27&amp;clang=_en" TargetMode="External"/><Relationship Id="rId35" Type="http://schemas.openxmlformats.org/officeDocument/2006/relationships/hyperlink" Target="https://www.epa.gov/climate-change/endangerment-and-cause-or-contribute-findings-greenhouse-gases-under-section-202a" TargetMode="External"/><Relationship Id="rId43"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dan\Documents\Custom%20Office%20Templates\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914E-4C3A-4163-A6C9-332A453E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TF_Template_Word_Windows_2016.dotx</Template>
  <TotalTime>170</TotalTime>
  <Pages>58</Pages>
  <Words>17212</Words>
  <Characters>98110</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115092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Aidan Gough-Major</dc:creator>
  <cp:lastModifiedBy>Aidan Gough-Major</cp:lastModifiedBy>
  <cp:revision>30</cp:revision>
  <cp:lastPrinted>2011-07-22T14:54:00Z</cp:lastPrinted>
  <dcterms:created xsi:type="dcterms:W3CDTF">2022-11-10T17:01:00Z</dcterms:created>
  <dcterms:modified xsi:type="dcterms:W3CDTF">2022-11-10T21:57:00Z</dcterms:modified>
</cp:coreProperties>
</file>