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29323" w14:textId="59604FB0" w:rsidR="00FF569F" w:rsidRPr="00A71133" w:rsidRDefault="00F438A3" w:rsidP="00000C3A">
      <w:pPr>
        <w:spacing w:afterLines="100" w:after="312" w:line="480" w:lineRule="auto"/>
        <w:rPr>
          <w:rFonts w:ascii="Times New Roman" w:hAnsi="Times New Roman" w:cs="Times New Roman"/>
          <w:b/>
          <w:bCs/>
          <w:i/>
          <w:iCs/>
          <w:sz w:val="20"/>
          <w:szCs w:val="20"/>
        </w:rPr>
      </w:pPr>
      <w:r w:rsidRPr="00A71133">
        <w:rPr>
          <w:rFonts w:ascii="Times New Roman" w:hAnsi="Times New Roman" w:cs="Times New Roman"/>
          <w:b/>
          <w:bCs/>
          <w:i/>
          <w:iCs/>
          <w:sz w:val="20"/>
          <w:szCs w:val="20"/>
        </w:rPr>
        <w:t>Supplementary information</w:t>
      </w:r>
    </w:p>
    <w:p w14:paraId="0D49EB66" w14:textId="77777777" w:rsidR="00837CA1" w:rsidRPr="00A71133" w:rsidRDefault="00837CA1" w:rsidP="00000C3A">
      <w:pPr>
        <w:spacing w:afterLines="100" w:after="312" w:line="480" w:lineRule="auto"/>
        <w:rPr>
          <w:rFonts w:ascii="Times New Roman" w:eastAsia="宋体" w:hAnsi="Times New Roman" w:cs="Times New Roman"/>
          <w:b/>
          <w:bCs/>
          <w:color w:val="000000" w:themeColor="text1"/>
          <w:sz w:val="20"/>
          <w:szCs w:val="20"/>
        </w:rPr>
      </w:pPr>
      <w:bookmarkStart w:id="0" w:name="_Hlk109301889"/>
      <w:bookmarkStart w:id="1" w:name="_Hlk114058890"/>
      <w:bookmarkStart w:id="2" w:name="_Hlk109300326"/>
      <w:r w:rsidRPr="00A71133">
        <w:rPr>
          <w:rFonts w:ascii="Times New Roman" w:eastAsia="宋体" w:hAnsi="Times New Roman" w:cs="Times New Roman"/>
          <w:b/>
          <w:bCs/>
          <w:color w:val="000000" w:themeColor="text1"/>
          <w:sz w:val="20"/>
          <w:szCs w:val="20"/>
        </w:rPr>
        <w:t>Growing season temperature and precipitation affect nutrient resorption in herbaceous species through foliar stoichiometric control strateg</w:t>
      </w:r>
      <w:bookmarkEnd w:id="0"/>
      <w:r w:rsidRPr="00A71133">
        <w:rPr>
          <w:rFonts w:ascii="Times New Roman" w:eastAsia="宋体" w:hAnsi="Times New Roman" w:cs="Times New Roman"/>
          <w:b/>
          <w:bCs/>
          <w:color w:val="000000" w:themeColor="text1"/>
          <w:sz w:val="20"/>
          <w:szCs w:val="20"/>
        </w:rPr>
        <w:t>ies</w:t>
      </w:r>
    </w:p>
    <w:p w14:paraId="67D86A10" w14:textId="77777777" w:rsidR="00837CA1" w:rsidRPr="00A71133" w:rsidRDefault="00837CA1" w:rsidP="00000C3A">
      <w:pPr>
        <w:spacing w:line="480" w:lineRule="auto"/>
        <w:rPr>
          <w:rFonts w:ascii="Times New Roman" w:hAnsi="Times New Roman" w:cs="Times New Roman"/>
          <w:color w:val="000000" w:themeColor="text1"/>
          <w:sz w:val="20"/>
          <w:szCs w:val="20"/>
        </w:rPr>
      </w:pPr>
      <w:proofErr w:type="spellStart"/>
      <w:r w:rsidRPr="00A71133">
        <w:rPr>
          <w:rFonts w:ascii="Times New Roman" w:hAnsi="Times New Roman" w:cs="Times New Roman"/>
          <w:color w:val="000000" w:themeColor="text1"/>
          <w:sz w:val="20"/>
          <w:szCs w:val="20"/>
        </w:rPr>
        <w:t>Xiaowei</w:t>
      </w:r>
      <w:proofErr w:type="spellEnd"/>
      <w:r w:rsidRPr="00A71133">
        <w:rPr>
          <w:rFonts w:ascii="Times New Roman" w:hAnsi="Times New Roman" w:cs="Times New Roman"/>
          <w:color w:val="000000" w:themeColor="text1"/>
          <w:sz w:val="20"/>
          <w:szCs w:val="20"/>
        </w:rPr>
        <w:t xml:space="preserve"> </w:t>
      </w:r>
      <w:proofErr w:type="spellStart"/>
      <w:r w:rsidRPr="00A71133">
        <w:rPr>
          <w:rFonts w:ascii="Times New Roman" w:hAnsi="Times New Roman" w:cs="Times New Roman"/>
          <w:color w:val="000000" w:themeColor="text1"/>
          <w:sz w:val="20"/>
          <w:szCs w:val="20"/>
        </w:rPr>
        <w:t>Liu</w:t>
      </w:r>
      <w:r w:rsidRPr="00A71133">
        <w:rPr>
          <w:rFonts w:ascii="Times New Roman" w:hAnsi="Times New Roman" w:cs="Times New Roman"/>
          <w:color w:val="000000" w:themeColor="text1"/>
          <w:sz w:val="20"/>
          <w:szCs w:val="20"/>
          <w:vertAlign w:val="superscript"/>
        </w:rPr>
        <w:t>a</w:t>
      </w:r>
      <w:proofErr w:type="spellEnd"/>
      <w:r w:rsidRPr="00A71133">
        <w:rPr>
          <w:rFonts w:ascii="Times New Roman" w:hAnsi="Times New Roman" w:cs="Times New Roman"/>
          <w:color w:val="000000" w:themeColor="text1"/>
          <w:sz w:val="20"/>
          <w:szCs w:val="20"/>
        </w:rPr>
        <w:t xml:space="preserve">, </w:t>
      </w:r>
      <w:proofErr w:type="spellStart"/>
      <w:r w:rsidRPr="00A71133">
        <w:rPr>
          <w:rFonts w:ascii="Times New Roman" w:hAnsi="Times New Roman" w:cs="Times New Roman"/>
          <w:color w:val="000000" w:themeColor="text1"/>
          <w:sz w:val="20"/>
          <w:szCs w:val="20"/>
        </w:rPr>
        <w:t>Youqi</w:t>
      </w:r>
      <w:proofErr w:type="spellEnd"/>
      <w:r w:rsidRPr="00A71133">
        <w:rPr>
          <w:rFonts w:ascii="Times New Roman" w:hAnsi="Times New Roman" w:cs="Times New Roman"/>
          <w:color w:val="000000" w:themeColor="text1"/>
          <w:sz w:val="20"/>
          <w:szCs w:val="20"/>
        </w:rPr>
        <w:t xml:space="preserve"> </w:t>
      </w:r>
      <w:proofErr w:type="spellStart"/>
      <w:r w:rsidRPr="00A71133">
        <w:rPr>
          <w:rFonts w:ascii="Times New Roman" w:hAnsi="Times New Roman" w:cs="Times New Roman"/>
          <w:color w:val="000000" w:themeColor="text1"/>
          <w:sz w:val="20"/>
          <w:szCs w:val="20"/>
        </w:rPr>
        <w:t>Wang</w:t>
      </w:r>
      <w:r w:rsidRPr="00A71133">
        <w:rPr>
          <w:rFonts w:ascii="Times New Roman" w:hAnsi="Times New Roman" w:cs="Times New Roman"/>
          <w:color w:val="000000" w:themeColor="text1"/>
          <w:sz w:val="20"/>
          <w:szCs w:val="20"/>
          <w:vertAlign w:val="superscript"/>
        </w:rPr>
        <w:t>b</w:t>
      </w:r>
      <w:proofErr w:type="spellEnd"/>
      <w:r w:rsidRPr="00A71133">
        <w:rPr>
          <w:rFonts w:ascii="Times New Roman" w:hAnsi="Times New Roman" w:cs="Times New Roman"/>
          <w:color w:val="000000" w:themeColor="text1"/>
          <w:sz w:val="20"/>
          <w:szCs w:val="20"/>
        </w:rPr>
        <w:t xml:space="preserve">, </w:t>
      </w:r>
      <w:proofErr w:type="spellStart"/>
      <w:r w:rsidRPr="00A71133">
        <w:rPr>
          <w:rFonts w:ascii="Times New Roman" w:hAnsi="Times New Roman" w:cs="Times New Roman"/>
          <w:color w:val="000000" w:themeColor="text1"/>
          <w:sz w:val="20"/>
          <w:szCs w:val="20"/>
        </w:rPr>
        <w:t>Wenhui</w:t>
      </w:r>
      <w:proofErr w:type="spellEnd"/>
      <w:r w:rsidRPr="00A71133">
        <w:rPr>
          <w:rFonts w:ascii="Times New Roman" w:hAnsi="Times New Roman" w:cs="Times New Roman"/>
          <w:color w:val="000000" w:themeColor="text1"/>
          <w:sz w:val="20"/>
          <w:szCs w:val="20"/>
        </w:rPr>
        <w:t xml:space="preserve"> </w:t>
      </w:r>
      <w:proofErr w:type="spellStart"/>
      <w:r w:rsidRPr="00A71133">
        <w:rPr>
          <w:rFonts w:ascii="Times New Roman" w:hAnsi="Times New Roman" w:cs="Times New Roman"/>
          <w:color w:val="000000" w:themeColor="text1"/>
          <w:sz w:val="20"/>
          <w:szCs w:val="20"/>
        </w:rPr>
        <w:t>Fu</w:t>
      </w:r>
      <w:r w:rsidRPr="00A71133">
        <w:rPr>
          <w:rFonts w:ascii="Times New Roman" w:hAnsi="Times New Roman" w:cs="Times New Roman"/>
          <w:color w:val="000000" w:themeColor="text1"/>
          <w:sz w:val="20"/>
          <w:szCs w:val="20"/>
          <w:vertAlign w:val="superscript"/>
        </w:rPr>
        <w:t>a</w:t>
      </w:r>
      <w:proofErr w:type="spellEnd"/>
      <w:r w:rsidRPr="00A71133">
        <w:rPr>
          <w:rFonts w:ascii="Times New Roman" w:hAnsi="Times New Roman" w:cs="Times New Roman"/>
          <w:color w:val="000000" w:themeColor="text1"/>
          <w:sz w:val="20"/>
          <w:szCs w:val="20"/>
        </w:rPr>
        <w:t xml:space="preserve">, </w:t>
      </w:r>
      <w:proofErr w:type="spellStart"/>
      <w:r w:rsidRPr="00A71133">
        <w:rPr>
          <w:rFonts w:ascii="Times New Roman" w:hAnsi="Times New Roman" w:cs="Times New Roman"/>
          <w:color w:val="000000" w:themeColor="text1"/>
          <w:sz w:val="20"/>
          <w:szCs w:val="20"/>
        </w:rPr>
        <w:t>Zhiyou</w:t>
      </w:r>
      <w:proofErr w:type="spellEnd"/>
      <w:r w:rsidRPr="00A71133">
        <w:rPr>
          <w:rFonts w:ascii="Times New Roman" w:hAnsi="Times New Roman" w:cs="Times New Roman"/>
          <w:color w:val="000000" w:themeColor="text1"/>
          <w:sz w:val="20"/>
          <w:szCs w:val="20"/>
        </w:rPr>
        <w:t xml:space="preserve"> </w:t>
      </w:r>
      <w:proofErr w:type="spellStart"/>
      <w:r w:rsidRPr="00A71133">
        <w:rPr>
          <w:rFonts w:ascii="Times New Roman" w:hAnsi="Times New Roman" w:cs="Times New Roman"/>
          <w:color w:val="000000" w:themeColor="text1"/>
          <w:sz w:val="20"/>
          <w:szCs w:val="20"/>
        </w:rPr>
        <w:t>Yuan</w:t>
      </w:r>
      <w:r w:rsidRPr="00A71133">
        <w:rPr>
          <w:rFonts w:ascii="Times New Roman" w:hAnsi="Times New Roman" w:cs="Times New Roman" w:hint="eastAsia"/>
          <w:color w:val="000000" w:themeColor="text1"/>
          <w:sz w:val="20"/>
          <w:szCs w:val="20"/>
          <w:vertAlign w:val="superscript"/>
        </w:rPr>
        <w:t>c</w:t>
      </w:r>
      <w:r w:rsidRPr="00A71133">
        <w:rPr>
          <w:rFonts w:ascii="Times New Roman" w:hAnsi="Times New Roman" w:cs="Times New Roman"/>
          <w:color w:val="000000" w:themeColor="text1"/>
          <w:sz w:val="20"/>
          <w:szCs w:val="20"/>
          <w:vertAlign w:val="superscript"/>
        </w:rPr>
        <w:t>,d</w:t>
      </w:r>
      <w:proofErr w:type="spellEnd"/>
      <w:r w:rsidRPr="00A71133">
        <w:rPr>
          <w:rFonts w:ascii="Times New Roman" w:hAnsi="Times New Roman" w:cs="Times New Roman"/>
          <w:color w:val="000000" w:themeColor="text1"/>
          <w:sz w:val="20"/>
          <w:szCs w:val="20"/>
        </w:rPr>
        <w:t xml:space="preserve">, </w:t>
      </w:r>
      <w:proofErr w:type="spellStart"/>
      <w:r w:rsidRPr="00A71133">
        <w:rPr>
          <w:rFonts w:ascii="Times New Roman" w:hAnsi="Times New Roman" w:cs="Times New Roman"/>
          <w:color w:val="000000" w:themeColor="text1"/>
          <w:sz w:val="20"/>
          <w:szCs w:val="20"/>
        </w:rPr>
        <w:t>Q</w:t>
      </w:r>
      <w:r w:rsidRPr="00A71133">
        <w:rPr>
          <w:rFonts w:ascii="Times New Roman" w:hAnsi="Times New Roman" w:cs="Times New Roman" w:hint="eastAsia"/>
          <w:color w:val="000000" w:themeColor="text1"/>
          <w:sz w:val="20"/>
          <w:szCs w:val="20"/>
        </w:rPr>
        <w:t>iang</w:t>
      </w:r>
      <w:proofErr w:type="spellEnd"/>
      <w:r w:rsidRPr="00A71133">
        <w:rPr>
          <w:rFonts w:ascii="Times New Roman" w:hAnsi="Times New Roman" w:cs="Times New Roman"/>
          <w:color w:val="000000" w:themeColor="text1"/>
          <w:sz w:val="20"/>
          <w:szCs w:val="20"/>
        </w:rPr>
        <w:t xml:space="preserve"> </w:t>
      </w:r>
      <w:proofErr w:type="spellStart"/>
      <w:r w:rsidRPr="00A71133">
        <w:rPr>
          <w:rFonts w:ascii="Times New Roman" w:hAnsi="Times New Roman" w:cs="Times New Roman"/>
          <w:color w:val="000000" w:themeColor="text1"/>
          <w:sz w:val="20"/>
          <w:szCs w:val="20"/>
        </w:rPr>
        <w:t>Yu</w:t>
      </w:r>
      <w:r w:rsidRPr="00A71133">
        <w:rPr>
          <w:rFonts w:ascii="Times New Roman" w:hAnsi="Times New Roman" w:cs="Times New Roman"/>
          <w:color w:val="000000" w:themeColor="text1"/>
          <w:sz w:val="20"/>
          <w:szCs w:val="20"/>
          <w:vertAlign w:val="superscript"/>
        </w:rPr>
        <w:t>c,e</w:t>
      </w:r>
      <w:proofErr w:type="spellEnd"/>
      <w:r w:rsidRPr="00A71133">
        <w:rPr>
          <w:rFonts w:ascii="Times New Roman" w:hAnsi="Times New Roman" w:cs="Times New Roman"/>
          <w:color w:val="000000" w:themeColor="text1"/>
          <w:sz w:val="20"/>
          <w:szCs w:val="20"/>
        </w:rPr>
        <w:t xml:space="preserve">, </w:t>
      </w:r>
      <w:proofErr w:type="spellStart"/>
      <w:r w:rsidRPr="00A71133">
        <w:rPr>
          <w:rFonts w:ascii="Times New Roman" w:hAnsi="Times New Roman" w:cs="Times New Roman"/>
          <w:color w:val="000000" w:themeColor="text1"/>
          <w:sz w:val="20"/>
          <w:szCs w:val="20"/>
        </w:rPr>
        <w:t>Changhui</w:t>
      </w:r>
      <w:proofErr w:type="spellEnd"/>
      <w:r w:rsidRPr="00A71133">
        <w:rPr>
          <w:rFonts w:ascii="Times New Roman" w:hAnsi="Times New Roman" w:cs="Times New Roman"/>
          <w:color w:val="000000" w:themeColor="text1"/>
          <w:sz w:val="20"/>
          <w:szCs w:val="20"/>
        </w:rPr>
        <w:t xml:space="preserve"> </w:t>
      </w:r>
      <w:proofErr w:type="spellStart"/>
      <w:r w:rsidRPr="00A71133">
        <w:rPr>
          <w:rFonts w:ascii="Times New Roman" w:hAnsi="Times New Roman" w:cs="Times New Roman"/>
          <w:color w:val="000000" w:themeColor="text1"/>
          <w:sz w:val="20"/>
          <w:szCs w:val="20"/>
        </w:rPr>
        <w:t>Peng</w:t>
      </w:r>
      <w:r w:rsidRPr="00A71133">
        <w:rPr>
          <w:rFonts w:ascii="Times New Roman" w:hAnsi="Times New Roman" w:cs="Times New Roman"/>
          <w:color w:val="000000" w:themeColor="text1"/>
          <w:sz w:val="20"/>
          <w:szCs w:val="20"/>
          <w:vertAlign w:val="superscript"/>
        </w:rPr>
        <w:t>f,g</w:t>
      </w:r>
      <w:proofErr w:type="spellEnd"/>
      <w:r w:rsidRPr="00A71133">
        <w:rPr>
          <w:rFonts w:ascii="Times New Roman" w:hAnsi="Times New Roman" w:cs="Times New Roman"/>
          <w:color w:val="000000" w:themeColor="text1"/>
          <w:sz w:val="20"/>
          <w:szCs w:val="20"/>
        </w:rPr>
        <w:t xml:space="preserve">, Sally E. </w:t>
      </w:r>
      <w:proofErr w:type="spellStart"/>
      <w:r w:rsidRPr="00A71133">
        <w:rPr>
          <w:rFonts w:ascii="Times New Roman" w:hAnsi="Times New Roman" w:cs="Times New Roman"/>
          <w:color w:val="000000" w:themeColor="text1"/>
          <w:sz w:val="20"/>
          <w:szCs w:val="20"/>
        </w:rPr>
        <w:t>Koerner</w:t>
      </w:r>
      <w:r w:rsidRPr="00A71133">
        <w:rPr>
          <w:rFonts w:ascii="Times New Roman" w:hAnsi="Times New Roman" w:cs="Times New Roman"/>
          <w:color w:val="000000" w:themeColor="text1"/>
          <w:sz w:val="20"/>
          <w:szCs w:val="20"/>
          <w:vertAlign w:val="superscript"/>
        </w:rPr>
        <w:t>h</w:t>
      </w:r>
      <w:proofErr w:type="spellEnd"/>
      <w:r w:rsidRPr="00A71133">
        <w:rPr>
          <w:rFonts w:ascii="Times New Roman" w:hAnsi="Times New Roman" w:cs="Times New Roman"/>
          <w:color w:val="000000" w:themeColor="text1"/>
          <w:sz w:val="20"/>
          <w:szCs w:val="20"/>
        </w:rPr>
        <w:t xml:space="preserve">, Liang </w:t>
      </w:r>
      <w:proofErr w:type="spellStart"/>
      <w:r w:rsidRPr="00A71133">
        <w:rPr>
          <w:rFonts w:ascii="Times New Roman" w:hAnsi="Times New Roman" w:cs="Times New Roman"/>
          <w:color w:val="000000" w:themeColor="text1"/>
          <w:sz w:val="20"/>
          <w:szCs w:val="20"/>
        </w:rPr>
        <w:t>Guo</w:t>
      </w:r>
      <w:r w:rsidRPr="00A71133">
        <w:rPr>
          <w:rFonts w:ascii="Times New Roman" w:hAnsi="Times New Roman" w:cs="Times New Roman"/>
          <w:color w:val="000000" w:themeColor="text1"/>
          <w:sz w:val="20"/>
          <w:szCs w:val="20"/>
          <w:vertAlign w:val="superscript"/>
        </w:rPr>
        <w:t>c,d</w:t>
      </w:r>
      <w:proofErr w:type="spellEnd"/>
      <w:r w:rsidRPr="00A71133">
        <w:rPr>
          <w:rFonts w:ascii="Times New Roman" w:hAnsi="Times New Roman" w:cs="Times New Roman"/>
          <w:color w:val="000000" w:themeColor="text1"/>
          <w:sz w:val="20"/>
          <w:szCs w:val="20"/>
          <w:vertAlign w:val="superscript"/>
        </w:rPr>
        <w:t>,</w:t>
      </w:r>
      <w:r w:rsidRPr="00A71133">
        <w:rPr>
          <w:rFonts w:ascii="Times New Roman" w:hAnsi="Times New Roman" w:cs="Times New Roman"/>
          <w:color w:val="000000" w:themeColor="text1"/>
          <w:sz w:val="20"/>
          <w:szCs w:val="20"/>
        </w:rPr>
        <w:t>*</w:t>
      </w:r>
    </w:p>
    <w:p w14:paraId="7469E8FC" w14:textId="77777777" w:rsidR="00837CA1" w:rsidRPr="00A71133" w:rsidRDefault="00837CA1" w:rsidP="00000C3A">
      <w:pPr>
        <w:spacing w:line="480" w:lineRule="auto"/>
        <w:rPr>
          <w:rFonts w:ascii="Times New Roman" w:hAnsi="Times New Roman" w:cs="Times New Roman"/>
          <w:color w:val="000000" w:themeColor="text1"/>
          <w:sz w:val="20"/>
          <w:szCs w:val="20"/>
        </w:rPr>
      </w:pPr>
    </w:p>
    <w:p w14:paraId="1E1C1172" w14:textId="77777777" w:rsidR="00837CA1" w:rsidRPr="00A71133" w:rsidRDefault="00837CA1" w:rsidP="00000C3A">
      <w:pPr>
        <w:spacing w:line="480" w:lineRule="auto"/>
        <w:ind w:left="200" w:hangingChars="100" w:hanging="200"/>
        <w:jc w:val="left"/>
        <w:rPr>
          <w:rFonts w:ascii="Times New Roman" w:hAnsi="Times New Roman" w:cs="Times New Roman"/>
          <w:color w:val="000000" w:themeColor="text1"/>
          <w:sz w:val="20"/>
          <w:szCs w:val="20"/>
        </w:rPr>
      </w:pPr>
      <w:r w:rsidRPr="00A71133">
        <w:rPr>
          <w:rFonts w:ascii="Times New Roman" w:hAnsi="Times New Roman" w:cs="Times New Roman"/>
          <w:color w:val="000000" w:themeColor="text1"/>
          <w:sz w:val="20"/>
          <w:szCs w:val="20"/>
        </w:rPr>
        <w:t>a.</w:t>
      </w:r>
      <w:r w:rsidRPr="00A71133">
        <w:rPr>
          <w:color w:val="000000" w:themeColor="text1"/>
          <w:sz w:val="20"/>
          <w:szCs w:val="20"/>
        </w:rPr>
        <w:t xml:space="preserve"> </w:t>
      </w:r>
      <w:r w:rsidRPr="00A71133">
        <w:rPr>
          <w:rFonts w:ascii="Times New Roman" w:hAnsi="Times New Roman" w:cs="Times New Roman"/>
          <w:color w:val="000000" w:themeColor="text1"/>
          <w:sz w:val="20"/>
          <w:szCs w:val="20"/>
        </w:rPr>
        <w:t xml:space="preserve">College of Grassland Agriculture, Northwest A&amp;F University, </w:t>
      </w:r>
      <w:proofErr w:type="spellStart"/>
      <w:r w:rsidRPr="00A71133">
        <w:rPr>
          <w:rFonts w:ascii="Times New Roman" w:hAnsi="Times New Roman" w:cs="Times New Roman"/>
          <w:color w:val="000000" w:themeColor="text1"/>
          <w:sz w:val="20"/>
          <w:szCs w:val="20"/>
        </w:rPr>
        <w:t>Yangling</w:t>
      </w:r>
      <w:proofErr w:type="spellEnd"/>
      <w:r w:rsidRPr="00A71133">
        <w:rPr>
          <w:rFonts w:ascii="Times New Roman" w:hAnsi="Times New Roman" w:cs="Times New Roman"/>
          <w:color w:val="000000" w:themeColor="text1"/>
          <w:sz w:val="20"/>
          <w:szCs w:val="20"/>
        </w:rPr>
        <w:t>, 712100, China</w:t>
      </w:r>
    </w:p>
    <w:p w14:paraId="35D60CAB" w14:textId="77777777" w:rsidR="00837CA1" w:rsidRPr="00A71133" w:rsidRDefault="00837CA1" w:rsidP="00000C3A">
      <w:pPr>
        <w:spacing w:line="480" w:lineRule="auto"/>
        <w:ind w:left="200" w:hangingChars="100" w:hanging="200"/>
        <w:jc w:val="left"/>
        <w:rPr>
          <w:rFonts w:ascii="Times New Roman" w:hAnsi="Times New Roman" w:cs="Times New Roman"/>
          <w:color w:val="000000" w:themeColor="text1"/>
          <w:sz w:val="20"/>
          <w:szCs w:val="20"/>
        </w:rPr>
      </w:pPr>
      <w:r w:rsidRPr="00A71133">
        <w:rPr>
          <w:rFonts w:ascii="Times New Roman" w:hAnsi="Times New Roman" w:cs="Times New Roman"/>
          <w:color w:val="000000" w:themeColor="text1"/>
          <w:sz w:val="20"/>
          <w:szCs w:val="20"/>
        </w:rPr>
        <w:t>b. School of Ecology and Environment, Ningxia University, Yinchuan, 750021, China</w:t>
      </w:r>
    </w:p>
    <w:p w14:paraId="6FB0D62F" w14:textId="77777777" w:rsidR="00837CA1" w:rsidRPr="00A71133" w:rsidRDefault="00837CA1" w:rsidP="00000C3A">
      <w:pPr>
        <w:spacing w:line="480" w:lineRule="auto"/>
        <w:ind w:left="200" w:hangingChars="100" w:hanging="200"/>
        <w:jc w:val="left"/>
        <w:rPr>
          <w:rFonts w:ascii="Times New Roman" w:hAnsi="Times New Roman" w:cs="Times New Roman"/>
          <w:color w:val="000000" w:themeColor="text1"/>
          <w:sz w:val="20"/>
          <w:szCs w:val="20"/>
        </w:rPr>
      </w:pPr>
      <w:r w:rsidRPr="00A71133">
        <w:rPr>
          <w:rFonts w:ascii="Times New Roman" w:hAnsi="Times New Roman" w:cs="Times New Roman" w:hint="eastAsia"/>
          <w:color w:val="000000" w:themeColor="text1"/>
          <w:sz w:val="20"/>
          <w:szCs w:val="20"/>
        </w:rPr>
        <w:t>c</w:t>
      </w:r>
      <w:r w:rsidRPr="00A71133">
        <w:rPr>
          <w:rFonts w:ascii="Times New Roman" w:hAnsi="Times New Roman" w:cs="Times New Roman"/>
          <w:color w:val="000000" w:themeColor="text1"/>
          <w:sz w:val="20"/>
          <w:szCs w:val="20"/>
        </w:rPr>
        <w:t xml:space="preserve">. State Key Laboratory of Soil Erosion and Dryland Farming on the Loess Plateau, Northwest A&amp;F University, </w:t>
      </w:r>
      <w:proofErr w:type="spellStart"/>
      <w:r w:rsidRPr="00A71133">
        <w:rPr>
          <w:rFonts w:ascii="Times New Roman" w:hAnsi="Times New Roman" w:cs="Times New Roman"/>
          <w:color w:val="000000" w:themeColor="text1"/>
          <w:sz w:val="20"/>
          <w:szCs w:val="20"/>
        </w:rPr>
        <w:t>Yangling</w:t>
      </w:r>
      <w:proofErr w:type="spellEnd"/>
      <w:r w:rsidRPr="00A71133">
        <w:rPr>
          <w:rFonts w:ascii="Times New Roman" w:hAnsi="Times New Roman" w:cs="Times New Roman"/>
          <w:color w:val="000000" w:themeColor="text1"/>
          <w:sz w:val="20"/>
          <w:szCs w:val="20"/>
        </w:rPr>
        <w:t>, 712100, China</w:t>
      </w:r>
    </w:p>
    <w:p w14:paraId="6E15AFA6" w14:textId="77777777" w:rsidR="00837CA1" w:rsidRPr="00A71133" w:rsidRDefault="00837CA1" w:rsidP="00000C3A">
      <w:pPr>
        <w:spacing w:line="480" w:lineRule="auto"/>
        <w:ind w:left="200" w:hangingChars="100" w:hanging="200"/>
        <w:jc w:val="left"/>
        <w:rPr>
          <w:rFonts w:ascii="Times New Roman" w:hAnsi="Times New Roman" w:cs="Times New Roman"/>
          <w:color w:val="000000" w:themeColor="text1"/>
          <w:sz w:val="20"/>
          <w:szCs w:val="20"/>
        </w:rPr>
      </w:pPr>
      <w:r w:rsidRPr="00A71133">
        <w:rPr>
          <w:rFonts w:ascii="Times New Roman" w:hAnsi="Times New Roman" w:cs="Times New Roman"/>
          <w:color w:val="000000" w:themeColor="text1"/>
          <w:sz w:val="20"/>
          <w:szCs w:val="20"/>
        </w:rPr>
        <w:t>d.</w:t>
      </w:r>
      <w:r w:rsidRPr="00A71133">
        <w:rPr>
          <w:color w:val="000000" w:themeColor="text1"/>
          <w:sz w:val="20"/>
          <w:szCs w:val="20"/>
        </w:rPr>
        <w:t xml:space="preserve"> </w:t>
      </w:r>
      <w:r w:rsidRPr="00A71133">
        <w:rPr>
          <w:rFonts w:ascii="Times New Roman" w:hAnsi="Times New Roman" w:cs="Times New Roman"/>
          <w:color w:val="000000" w:themeColor="text1"/>
          <w:sz w:val="20"/>
          <w:szCs w:val="20"/>
        </w:rPr>
        <w:t xml:space="preserve">Institute of Soil and Water Conservation, Chinese Academy of Science and Ministry of Water Resource, </w:t>
      </w:r>
      <w:proofErr w:type="spellStart"/>
      <w:r w:rsidRPr="00A71133">
        <w:rPr>
          <w:rFonts w:ascii="Times New Roman" w:hAnsi="Times New Roman" w:cs="Times New Roman"/>
          <w:color w:val="000000" w:themeColor="text1"/>
          <w:sz w:val="20"/>
          <w:szCs w:val="20"/>
        </w:rPr>
        <w:t>Yangling</w:t>
      </w:r>
      <w:proofErr w:type="spellEnd"/>
      <w:r w:rsidRPr="00A71133">
        <w:rPr>
          <w:rFonts w:ascii="Times New Roman" w:hAnsi="Times New Roman" w:cs="Times New Roman"/>
          <w:color w:val="000000" w:themeColor="text1"/>
          <w:sz w:val="20"/>
          <w:szCs w:val="20"/>
        </w:rPr>
        <w:t>, 712100, China</w:t>
      </w:r>
    </w:p>
    <w:p w14:paraId="510066C5" w14:textId="77777777" w:rsidR="00837CA1" w:rsidRPr="00A71133" w:rsidRDefault="00837CA1" w:rsidP="00000C3A">
      <w:pPr>
        <w:spacing w:line="480" w:lineRule="auto"/>
        <w:ind w:left="200" w:hangingChars="100" w:hanging="200"/>
        <w:jc w:val="left"/>
        <w:rPr>
          <w:rFonts w:ascii="Times New Roman" w:hAnsi="Times New Roman" w:cs="Times New Roman"/>
          <w:color w:val="000000" w:themeColor="text1"/>
          <w:sz w:val="20"/>
          <w:szCs w:val="20"/>
        </w:rPr>
      </w:pPr>
      <w:r w:rsidRPr="00A71133">
        <w:rPr>
          <w:rFonts w:ascii="Times New Roman" w:hAnsi="Times New Roman" w:cs="Times New Roman"/>
          <w:color w:val="000000" w:themeColor="text1"/>
          <w:sz w:val="20"/>
          <w:szCs w:val="20"/>
        </w:rPr>
        <w:t>e.</w:t>
      </w:r>
      <w:r w:rsidRPr="00A71133">
        <w:rPr>
          <w:color w:val="000000" w:themeColor="text1"/>
          <w:sz w:val="20"/>
          <w:szCs w:val="20"/>
        </w:rPr>
        <w:t xml:space="preserve"> </w:t>
      </w:r>
      <w:r w:rsidRPr="00A71133">
        <w:rPr>
          <w:rFonts w:ascii="Times New Roman" w:hAnsi="Times New Roman" w:cs="Times New Roman"/>
          <w:color w:val="000000" w:themeColor="text1"/>
          <w:sz w:val="20"/>
          <w:szCs w:val="20"/>
        </w:rPr>
        <w:t>School of Life Sciences, University of Technology Sydney, NSW, 2007, Australia</w:t>
      </w:r>
    </w:p>
    <w:p w14:paraId="177369F6" w14:textId="77777777" w:rsidR="00837CA1" w:rsidRPr="00A71133" w:rsidRDefault="00837CA1" w:rsidP="00000C3A">
      <w:pPr>
        <w:spacing w:line="480" w:lineRule="auto"/>
        <w:ind w:left="200" w:hangingChars="100" w:hanging="200"/>
        <w:jc w:val="left"/>
        <w:rPr>
          <w:rFonts w:ascii="Times New Roman" w:hAnsi="Times New Roman" w:cs="Times New Roman"/>
          <w:color w:val="000000" w:themeColor="text1"/>
          <w:sz w:val="20"/>
          <w:szCs w:val="20"/>
        </w:rPr>
      </w:pPr>
      <w:r w:rsidRPr="00A71133">
        <w:rPr>
          <w:rFonts w:ascii="Times New Roman" w:hAnsi="Times New Roman" w:cs="Times New Roman"/>
          <w:color w:val="000000" w:themeColor="text1"/>
          <w:sz w:val="20"/>
          <w:szCs w:val="20"/>
        </w:rPr>
        <w:t>f. School of Geographic Sciences, Hunan Normal University, Changsha, 410081, China</w:t>
      </w:r>
    </w:p>
    <w:p w14:paraId="41B4C667" w14:textId="77777777" w:rsidR="00837CA1" w:rsidRPr="00A71133" w:rsidRDefault="00837CA1" w:rsidP="00000C3A">
      <w:pPr>
        <w:spacing w:line="480" w:lineRule="auto"/>
        <w:ind w:left="200" w:hangingChars="100" w:hanging="200"/>
        <w:jc w:val="left"/>
        <w:rPr>
          <w:rFonts w:ascii="Times New Roman" w:hAnsi="Times New Roman" w:cs="Times New Roman"/>
          <w:color w:val="000000" w:themeColor="text1"/>
          <w:sz w:val="20"/>
          <w:szCs w:val="20"/>
        </w:rPr>
      </w:pPr>
      <w:r w:rsidRPr="00A71133">
        <w:rPr>
          <w:rFonts w:ascii="Times New Roman" w:hAnsi="Times New Roman" w:cs="Times New Roman"/>
          <w:color w:val="000000" w:themeColor="text1"/>
          <w:sz w:val="20"/>
          <w:szCs w:val="20"/>
        </w:rPr>
        <w:t>g. Institute of Environmental Sciences, University of Quebec at Montreal, Montreal, H3C3P8, Canada</w:t>
      </w:r>
    </w:p>
    <w:p w14:paraId="4F2C348F" w14:textId="77777777" w:rsidR="00837CA1" w:rsidRPr="00A71133" w:rsidRDefault="00837CA1" w:rsidP="00000C3A">
      <w:pPr>
        <w:spacing w:afterLines="50" w:after="156" w:line="480" w:lineRule="auto"/>
        <w:ind w:left="200" w:hangingChars="100" w:hanging="200"/>
        <w:jc w:val="left"/>
        <w:rPr>
          <w:rFonts w:ascii="Times New Roman" w:hAnsi="Times New Roman" w:cs="Times New Roman"/>
          <w:color w:val="000000" w:themeColor="text1"/>
          <w:sz w:val="20"/>
          <w:szCs w:val="20"/>
        </w:rPr>
      </w:pPr>
      <w:r w:rsidRPr="00A71133">
        <w:rPr>
          <w:rFonts w:ascii="Times New Roman" w:hAnsi="Times New Roman" w:cs="Times New Roman"/>
          <w:color w:val="000000" w:themeColor="text1"/>
          <w:sz w:val="20"/>
          <w:szCs w:val="20"/>
        </w:rPr>
        <w:t>h</w:t>
      </w:r>
      <w:r w:rsidRPr="00A71133">
        <w:rPr>
          <w:rFonts w:ascii="Times New Roman" w:hAnsi="Times New Roman" w:cs="Times New Roman" w:hint="eastAsia"/>
          <w:color w:val="000000" w:themeColor="text1"/>
          <w:sz w:val="20"/>
          <w:szCs w:val="20"/>
        </w:rPr>
        <w:t>.</w:t>
      </w:r>
      <w:r w:rsidRPr="00A71133">
        <w:rPr>
          <w:color w:val="000000" w:themeColor="text1"/>
          <w:sz w:val="20"/>
          <w:szCs w:val="20"/>
        </w:rPr>
        <w:t xml:space="preserve"> </w:t>
      </w:r>
      <w:r w:rsidRPr="00A71133">
        <w:rPr>
          <w:rFonts w:ascii="Times New Roman" w:hAnsi="Times New Roman" w:cs="Times New Roman"/>
          <w:color w:val="000000" w:themeColor="text1"/>
          <w:sz w:val="20"/>
          <w:szCs w:val="20"/>
        </w:rPr>
        <w:t>Department of Biology, University of North Carolina Greensboro, Greensboro, 27402, USA</w:t>
      </w:r>
    </w:p>
    <w:bookmarkEnd w:id="1"/>
    <w:p w14:paraId="6DE9354D" w14:textId="77777777" w:rsidR="00837CA1" w:rsidRPr="00A71133" w:rsidRDefault="00837CA1" w:rsidP="00000C3A">
      <w:pPr>
        <w:spacing w:afterLines="50" w:after="156" w:line="480" w:lineRule="auto"/>
        <w:ind w:left="200" w:hangingChars="100" w:hanging="200"/>
        <w:rPr>
          <w:rFonts w:ascii="Times New Roman" w:hAnsi="Times New Roman" w:cs="Times New Roman"/>
          <w:color w:val="000000" w:themeColor="text1"/>
          <w:sz w:val="20"/>
          <w:szCs w:val="20"/>
          <w:u w:val="single"/>
        </w:rPr>
      </w:pPr>
      <w:r w:rsidRPr="00A71133">
        <w:rPr>
          <w:rFonts w:ascii="Times New Roman" w:hAnsi="Times New Roman" w:cs="Times New Roman" w:hint="eastAsia"/>
          <w:color w:val="000000" w:themeColor="text1"/>
          <w:sz w:val="20"/>
          <w:szCs w:val="20"/>
        </w:rPr>
        <w:t>*</w:t>
      </w:r>
      <w:r w:rsidRPr="00A71133">
        <w:rPr>
          <w:rFonts w:ascii="Times New Roman" w:hAnsi="Times New Roman" w:cs="Times New Roman"/>
          <w:color w:val="000000" w:themeColor="text1"/>
          <w:sz w:val="20"/>
          <w:szCs w:val="20"/>
        </w:rPr>
        <w:t xml:space="preserve"> Corresponding author</w:t>
      </w:r>
      <w:r w:rsidRPr="00A71133">
        <w:rPr>
          <w:rFonts w:ascii="Times New Roman" w:hAnsi="Times New Roman" w:cs="Times New Roman" w:hint="eastAsia"/>
          <w:color w:val="000000" w:themeColor="text1"/>
          <w:sz w:val="20"/>
          <w:szCs w:val="20"/>
        </w:rPr>
        <w:t>:</w:t>
      </w:r>
      <w:r w:rsidRPr="00A71133">
        <w:rPr>
          <w:color w:val="000000" w:themeColor="text1"/>
          <w:sz w:val="20"/>
          <w:szCs w:val="20"/>
        </w:rPr>
        <w:t xml:space="preserve"> </w:t>
      </w:r>
      <w:r w:rsidRPr="00A71133">
        <w:rPr>
          <w:rStyle w:val="a9"/>
          <w:rFonts w:ascii="Times New Roman" w:hAnsi="Times New Roman" w:cs="Times New Roman"/>
          <w:color w:val="000000" w:themeColor="text1"/>
          <w:sz w:val="20"/>
          <w:szCs w:val="20"/>
        </w:rPr>
        <w:t>guoliang2014@nwsuaf.edu.</w:t>
      </w:r>
      <w:bookmarkEnd w:id="2"/>
    </w:p>
    <w:p w14:paraId="5E075E50" w14:textId="65A3C467" w:rsidR="00837CA1" w:rsidRPr="00A71133" w:rsidRDefault="00837CA1" w:rsidP="00F438A3">
      <w:pPr>
        <w:spacing w:afterLines="50" w:after="156"/>
        <w:rPr>
          <w:rFonts w:ascii="Times New Roman" w:hAnsi="Times New Roman" w:cs="Times New Roman"/>
          <w:b/>
          <w:bCs/>
          <w:sz w:val="20"/>
          <w:szCs w:val="20"/>
        </w:rPr>
        <w:sectPr w:rsidR="00837CA1" w:rsidRPr="00A71133" w:rsidSect="00FF569F">
          <w:pgSz w:w="11906" w:h="16838"/>
          <w:pgMar w:top="1440" w:right="1800" w:bottom="1440" w:left="1800" w:header="851" w:footer="283" w:gutter="0"/>
          <w:lnNumType w:countBy="1" w:restart="continuous"/>
          <w:cols w:space="425"/>
          <w:docGrid w:type="lines" w:linePitch="312"/>
        </w:sectPr>
      </w:pPr>
    </w:p>
    <w:p w14:paraId="6C345959" w14:textId="77777777" w:rsidR="008930CB" w:rsidRPr="00A71133" w:rsidRDefault="008930CB" w:rsidP="008930CB">
      <w:pPr>
        <w:spacing w:afterLines="50" w:after="156"/>
        <w:rPr>
          <w:rFonts w:ascii="Times New Roman" w:hAnsi="Times New Roman" w:cs="Times New Roman"/>
          <w:b/>
          <w:bCs/>
          <w:sz w:val="20"/>
          <w:szCs w:val="20"/>
        </w:rPr>
      </w:pPr>
      <w:r w:rsidRPr="00A71133">
        <w:rPr>
          <w:rFonts w:ascii="Times New Roman" w:hAnsi="Times New Roman" w:cs="Times New Roman" w:hint="eastAsia"/>
          <w:b/>
          <w:bCs/>
          <w:sz w:val="20"/>
          <w:szCs w:val="20"/>
        </w:rPr>
        <w:lastRenderedPageBreak/>
        <w:t>Table</w:t>
      </w:r>
      <w:r w:rsidRPr="00A71133">
        <w:rPr>
          <w:rFonts w:ascii="Times New Roman" w:hAnsi="Times New Roman" w:cs="Times New Roman"/>
          <w:b/>
          <w:bCs/>
          <w:sz w:val="20"/>
          <w:szCs w:val="20"/>
        </w:rPr>
        <w:t xml:space="preserve"> S1 </w:t>
      </w:r>
      <w:r w:rsidRPr="00A71133">
        <w:rPr>
          <w:rFonts w:ascii="Times New Roman" w:hAnsi="Times New Roman" w:cs="Times New Roman"/>
          <w:sz w:val="20"/>
          <w:szCs w:val="20"/>
        </w:rPr>
        <w:t>Two-way ANOVA of the effects of functional group types and sampling year on nutrient resorption efficiency and leaf functional traits.</w:t>
      </w:r>
    </w:p>
    <w:tbl>
      <w:tblPr>
        <w:tblW w:w="14590" w:type="dxa"/>
        <w:tblLook w:val="04A0" w:firstRow="1" w:lastRow="0" w:firstColumn="1" w:lastColumn="0" w:noHBand="0" w:noVBand="1"/>
      </w:tblPr>
      <w:tblGrid>
        <w:gridCol w:w="1207"/>
        <w:gridCol w:w="1407"/>
        <w:gridCol w:w="1971"/>
        <w:gridCol w:w="1864"/>
        <w:gridCol w:w="1867"/>
        <w:gridCol w:w="236"/>
        <w:gridCol w:w="986"/>
        <w:gridCol w:w="887"/>
        <w:gridCol w:w="252"/>
        <w:gridCol w:w="910"/>
        <w:gridCol w:w="878"/>
        <w:gridCol w:w="236"/>
        <w:gridCol w:w="846"/>
        <w:gridCol w:w="1043"/>
      </w:tblGrid>
      <w:tr w:rsidR="008930CB" w:rsidRPr="00A71133" w14:paraId="45EF884D" w14:textId="77777777" w:rsidTr="00A32BBA">
        <w:trPr>
          <w:trHeight w:val="295"/>
        </w:trPr>
        <w:tc>
          <w:tcPr>
            <w:tcW w:w="1207" w:type="dxa"/>
            <w:vMerge w:val="restart"/>
            <w:tcBorders>
              <w:top w:val="single" w:sz="4" w:space="0" w:color="auto"/>
              <w:bottom w:val="single" w:sz="4" w:space="0" w:color="auto"/>
            </w:tcBorders>
            <w:shd w:val="clear" w:color="auto" w:fill="auto"/>
            <w:noWrap/>
            <w:vAlign w:val="center"/>
            <w:hideMark/>
          </w:tcPr>
          <w:p w14:paraId="2F549F8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Variables</w:t>
            </w:r>
          </w:p>
        </w:tc>
        <w:tc>
          <w:tcPr>
            <w:tcW w:w="1407" w:type="dxa"/>
            <w:vMerge w:val="restart"/>
            <w:tcBorders>
              <w:top w:val="single" w:sz="4" w:space="0" w:color="auto"/>
              <w:bottom w:val="single" w:sz="4" w:space="0" w:color="auto"/>
            </w:tcBorders>
            <w:shd w:val="clear" w:color="auto" w:fill="auto"/>
            <w:noWrap/>
            <w:vAlign w:val="center"/>
            <w:hideMark/>
          </w:tcPr>
          <w:p w14:paraId="5C798D35"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Functional group (FG)</w:t>
            </w:r>
          </w:p>
        </w:tc>
        <w:tc>
          <w:tcPr>
            <w:tcW w:w="5702" w:type="dxa"/>
            <w:gridSpan w:val="3"/>
            <w:tcBorders>
              <w:top w:val="single" w:sz="4" w:space="0" w:color="auto"/>
              <w:bottom w:val="single" w:sz="4" w:space="0" w:color="auto"/>
            </w:tcBorders>
            <w:shd w:val="clear" w:color="auto" w:fill="auto"/>
            <w:noWrap/>
            <w:vAlign w:val="center"/>
            <w:hideMark/>
          </w:tcPr>
          <w:p w14:paraId="3E2B11CE" w14:textId="77777777" w:rsidR="008930CB" w:rsidRPr="00A71133" w:rsidRDefault="008930CB" w:rsidP="00A32BBA">
            <w:pPr>
              <w:widowControl/>
              <w:jc w:val="center"/>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Year</w:t>
            </w:r>
          </w:p>
        </w:tc>
        <w:tc>
          <w:tcPr>
            <w:tcW w:w="236" w:type="dxa"/>
            <w:tcBorders>
              <w:top w:val="single" w:sz="4" w:space="0" w:color="auto"/>
            </w:tcBorders>
            <w:vAlign w:val="center"/>
          </w:tcPr>
          <w:p w14:paraId="1556E6BA"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873" w:type="dxa"/>
            <w:gridSpan w:val="2"/>
            <w:tcBorders>
              <w:top w:val="single" w:sz="4" w:space="0" w:color="auto"/>
              <w:bottom w:val="single" w:sz="4" w:space="0" w:color="auto"/>
            </w:tcBorders>
            <w:shd w:val="clear" w:color="auto" w:fill="auto"/>
            <w:noWrap/>
            <w:vAlign w:val="center"/>
            <w:hideMark/>
          </w:tcPr>
          <w:p w14:paraId="41DE2DB6"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FG</w:t>
            </w:r>
          </w:p>
        </w:tc>
        <w:tc>
          <w:tcPr>
            <w:tcW w:w="252" w:type="dxa"/>
            <w:tcBorders>
              <w:top w:val="single" w:sz="4" w:space="0" w:color="auto"/>
            </w:tcBorders>
            <w:shd w:val="clear" w:color="auto" w:fill="auto"/>
            <w:noWrap/>
            <w:vAlign w:val="center"/>
            <w:hideMark/>
          </w:tcPr>
          <w:p w14:paraId="038C652E"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788" w:type="dxa"/>
            <w:gridSpan w:val="2"/>
            <w:tcBorders>
              <w:top w:val="single" w:sz="4" w:space="0" w:color="auto"/>
              <w:bottom w:val="single" w:sz="4" w:space="0" w:color="auto"/>
            </w:tcBorders>
            <w:shd w:val="clear" w:color="auto" w:fill="auto"/>
            <w:noWrap/>
            <w:vAlign w:val="center"/>
            <w:hideMark/>
          </w:tcPr>
          <w:p w14:paraId="3C1242D1"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Year</w:t>
            </w:r>
          </w:p>
        </w:tc>
        <w:tc>
          <w:tcPr>
            <w:tcW w:w="236" w:type="dxa"/>
            <w:tcBorders>
              <w:top w:val="single" w:sz="4" w:space="0" w:color="auto"/>
            </w:tcBorders>
            <w:vAlign w:val="center"/>
          </w:tcPr>
          <w:p w14:paraId="239A331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889" w:type="dxa"/>
            <w:gridSpan w:val="2"/>
            <w:tcBorders>
              <w:top w:val="single" w:sz="4" w:space="0" w:color="auto"/>
              <w:bottom w:val="single" w:sz="4" w:space="0" w:color="auto"/>
            </w:tcBorders>
            <w:shd w:val="clear" w:color="auto" w:fill="auto"/>
            <w:noWrap/>
            <w:vAlign w:val="center"/>
            <w:hideMark/>
          </w:tcPr>
          <w:p w14:paraId="6DA74ADA"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FG</w:t>
            </w:r>
            <w:r w:rsidRPr="00A71133">
              <w:rPr>
                <w:rFonts w:ascii="Times New Roman" w:eastAsia="等线" w:hAnsi="Times New Roman" w:cs="Times New Roman" w:hint="eastAsia"/>
                <w:color w:val="000000"/>
                <w:kern w:val="0"/>
                <w:sz w:val="20"/>
                <w:szCs w:val="20"/>
              </w:rPr>
              <w:t>×</w:t>
            </w:r>
            <w:r w:rsidRPr="00A71133">
              <w:rPr>
                <w:rFonts w:ascii="Times New Roman" w:eastAsia="等线" w:hAnsi="Times New Roman" w:cs="Times New Roman"/>
                <w:color w:val="000000"/>
                <w:kern w:val="0"/>
                <w:sz w:val="20"/>
                <w:szCs w:val="20"/>
              </w:rPr>
              <w:t>Year</w:t>
            </w:r>
          </w:p>
        </w:tc>
      </w:tr>
      <w:tr w:rsidR="008930CB" w:rsidRPr="00A71133" w14:paraId="322547C6" w14:textId="77777777" w:rsidTr="00A32BBA">
        <w:trPr>
          <w:trHeight w:val="295"/>
        </w:trPr>
        <w:tc>
          <w:tcPr>
            <w:tcW w:w="1207" w:type="dxa"/>
            <w:vMerge/>
            <w:tcBorders>
              <w:bottom w:val="single" w:sz="4" w:space="0" w:color="auto"/>
            </w:tcBorders>
            <w:vAlign w:val="center"/>
            <w:hideMark/>
          </w:tcPr>
          <w:p w14:paraId="114CDC99"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vMerge/>
            <w:tcBorders>
              <w:bottom w:val="single" w:sz="4" w:space="0" w:color="auto"/>
            </w:tcBorders>
            <w:vAlign w:val="center"/>
            <w:hideMark/>
          </w:tcPr>
          <w:p w14:paraId="4CB79F4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971" w:type="dxa"/>
            <w:tcBorders>
              <w:top w:val="single" w:sz="4" w:space="0" w:color="auto"/>
              <w:bottom w:val="single" w:sz="4" w:space="0" w:color="auto"/>
            </w:tcBorders>
            <w:shd w:val="clear" w:color="auto" w:fill="auto"/>
            <w:noWrap/>
            <w:vAlign w:val="center"/>
            <w:hideMark/>
          </w:tcPr>
          <w:p w14:paraId="3B65CAB2"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2013</w:t>
            </w:r>
          </w:p>
        </w:tc>
        <w:tc>
          <w:tcPr>
            <w:tcW w:w="1864" w:type="dxa"/>
            <w:tcBorders>
              <w:top w:val="single" w:sz="4" w:space="0" w:color="auto"/>
              <w:bottom w:val="single" w:sz="4" w:space="0" w:color="auto"/>
            </w:tcBorders>
            <w:shd w:val="clear" w:color="auto" w:fill="auto"/>
            <w:noWrap/>
            <w:vAlign w:val="center"/>
            <w:hideMark/>
          </w:tcPr>
          <w:p w14:paraId="4B1DE415"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2016</w:t>
            </w:r>
          </w:p>
        </w:tc>
        <w:tc>
          <w:tcPr>
            <w:tcW w:w="1867" w:type="dxa"/>
            <w:tcBorders>
              <w:top w:val="single" w:sz="4" w:space="0" w:color="auto"/>
              <w:bottom w:val="single" w:sz="4" w:space="0" w:color="auto"/>
            </w:tcBorders>
            <w:shd w:val="clear" w:color="auto" w:fill="auto"/>
            <w:noWrap/>
            <w:vAlign w:val="center"/>
            <w:hideMark/>
          </w:tcPr>
          <w:p w14:paraId="54C3D62A"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2020</w:t>
            </w:r>
          </w:p>
        </w:tc>
        <w:tc>
          <w:tcPr>
            <w:tcW w:w="236" w:type="dxa"/>
            <w:tcBorders>
              <w:bottom w:val="single" w:sz="4" w:space="0" w:color="auto"/>
            </w:tcBorders>
            <w:vAlign w:val="center"/>
          </w:tcPr>
          <w:p w14:paraId="77FBEF9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tcBorders>
              <w:top w:val="single" w:sz="4" w:space="0" w:color="auto"/>
              <w:bottom w:val="single" w:sz="4" w:space="0" w:color="auto"/>
            </w:tcBorders>
            <w:shd w:val="clear" w:color="auto" w:fill="auto"/>
            <w:noWrap/>
            <w:vAlign w:val="center"/>
            <w:hideMark/>
          </w:tcPr>
          <w:p w14:paraId="17241229" w14:textId="77777777" w:rsidR="008930CB" w:rsidRPr="00A71133" w:rsidRDefault="008930CB" w:rsidP="00A32BBA">
            <w:pPr>
              <w:widowControl/>
              <w:rPr>
                <w:rFonts w:ascii="Times New Roman" w:eastAsia="等线" w:hAnsi="Times New Roman" w:cs="Times New Roman"/>
                <w:i/>
                <w:iCs/>
                <w:color w:val="000000"/>
                <w:kern w:val="0"/>
                <w:sz w:val="20"/>
                <w:szCs w:val="20"/>
              </w:rPr>
            </w:pPr>
            <w:r w:rsidRPr="00A71133">
              <w:rPr>
                <w:rFonts w:ascii="Times New Roman" w:eastAsia="等线" w:hAnsi="Times New Roman" w:cs="Times New Roman"/>
                <w:i/>
                <w:iCs/>
                <w:color w:val="000000"/>
                <w:kern w:val="0"/>
                <w:sz w:val="20"/>
                <w:szCs w:val="20"/>
              </w:rPr>
              <w:t>F</w:t>
            </w:r>
          </w:p>
        </w:tc>
        <w:tc>
          <w:tcPr>
            <w:tcW w:w="887" w:type="dxa"/>
            <w:tcBorders>
              <w:top w:val="single" w:sz="4" w:space="0" w:color="auto"/>
              <w:bottom w:val="single" w:sz="4" w:space="0" w:color="auto"/>
            </w:tcBorders>
            <w:shd w:val="clear" w:color="auto" w:fill="auto"/>
            <w:noWrap/>
            <w:vAlign w:val="center"/>
            <w:hideMark/>
          </w:tcPr>
          <w:p w14:paraId="5DD96451" w14:textId="77777777" w:rsidR="008930CB" w:rsidRPr="00A71133" w:rsidRDefault="008930CB" w:rsidP="00A32BBA">
            <w:pPr>
              <w:widowControl/>
              <w:rPr>
                <w:rFonts w:ascii="Times New Roman" w:eastAsia="等线" w:hAnsi="Times New Roman" w:cs="Times New Roman"/>
                <w:i/>
                <w:iCs/>
                <w:color w:val="000000"/>
                <w:kern w:val="0"/>
                <w:sz w:val="20"/>
                <w:szCs w:val="20"/>
              </w:rPr>
            </w:pPr>
            <w:r w:rsidRPr="00A71133">
              <w:rPr>
                <w:rFonts w:ascii="Times New Roman" w:eastAsia="等线" w:hAnsi="Times New Roman" w:cs="Times New Roman"/>
                <w:i/>
                <w:iCs/>
                <w:color w:val="000000"/>
                <w:kern w:val="0"/>
                <w:sz w:val="20"/>
                <w:szCs w:val="20"/>
              </w:rPr>
              <w:t>P</w:t>
            </w:r>
          </w:p>
        </w:tc>
        <w:tc>
          <w:tcPr>
            <w:tcW w:w="252" w:type="dxa"/>
            <w:tcBorders>
              <w:bottom w:val="single" w:sz="4" w:space="0" w:color="auto"/>
            </w:tcBorders>
            <w:shd w:val="clear" w:color="auto" w:fill="auto"/>
            <w:noWrap/>
            <w:vAlign w:val="center"/>
            <w:hideMark/>
          </w:tcPr>
          <w:p w14:paraId="77EA64D1" w14:textId="77777777" w:rsidR="008930CB" w:rsidRPr="00A71133" w:rsidRDefault="008930CB" w:rsidP="00A32BBA">
            <w:pPr>
              <w:widowControl/>
              <w:rPr>
                <w:rFonts w:ascii="Times New Roman" w:eastAsia="等线" w:hAnsi="Times New Roman" w:cs="Times New Roman"/>
                <w:i/>
                <w:iCs/>
                <w:color w:val="000000"/>
                <w:kern w:val="0"/>
                <w:sz w:val="20"/>
                <w:szCs w:val="20"/>
              </w:rPr>
            </w:pPr>
          </w:p>
        </w:tc>
        <w:tc>
          <w:tcPr>
            <w:tcW w:w="910" w:type="dxa"/>
            <w:tcBorders>
              <w:top w:val="single" w:sz="4" w:space="0" w:color="auto"/>
              <w:bottom w:val="single" w:sz="4" w:space="0" w:color="auto"/>
            </w:tcBorders>
            <w:shd w:val="clear" w:color="auto" w:fill="auto"/>
            <w:noWrap/>
            <w:vAlign w:val="center"/>
            <w:hideMark/>
          </w:tcPr>
          <w:p w14:paraId="762AAD9E" w14:textId="77777777" w:rsidR="008930CB" w:rsidRPr="00A71133" w:rsidRDefault="008930CB" w:rsidP="00A32BBA">
            <w:pPr>
              <w:widowControl/>
              <w:rPr>
                <w:rFonts w:ascii="Times New Roman" w:eastAsia="等线" w:hAnsi="Times New Roman" w:cs="Times New Roman"/>
                <w:i/>
                <w:iCs/>
                <w:color w:val="000000"/>
                <w:kern w:val="0"/>
                <w:sz w:val="20"/>
                <w:szCs w:val="20"/>
              </w:rPr>
            </w:pPr>
            <w:r w:rsidRPr="00A71133">
              <w:rPr>
                <w:rFonts w:ascii="Times New Roman" w:eastAsia="等线" w:hAnsi="Times New Roman" w:cs="Times New Roman"/>
                <w:i/>
                <w:iCs/>
                <w:color w:val="000000"/>
                <w:kern w:val="0"/>
                <w:sz w:val="20"/>
                <w:szCs w:val="20"/>
              </w:rPr>
              <w:t>F</w:t>
            </w:r>
          </w:p>
        </w:tc>
        <w:tc>
          <w:tcPr>
            <w:tcW w:w="878" w:type="dxa"/>
            <w:tcBorders>
              <w:top w:val="single" w:sz="4" w:space="0" w:color="auto"/>
              <w:bottom w:val="single" w:sz="4" w:space="0" w:color="auto"/>
            </w:tcBorders>
            <w:shd w:val="clear" w:color="auto" w:fill="auto"/>
            <w:noWrap/>
            <w:vAlign w:val="center"/>
            <w:hideMark/>
          </w:tcPr>
          <w:p w14:paraId="5E5384CD" w14:textId="77777777" w:rsidR="008930CB" w:rsidRPr="00A71133" w:rsidRDefault="008930CB" w:rsidP="00A32BBA">
            <w:pPr>
              <w:widowControl/>
              <w:rPr>
                <w:rFonts w:ascii="Times New Roman" w:eastAsia="等线" w:hAnsi="Times New Roman" w:cs="Times New Roman"/>
                <w:i/>
                <w:iCs/>
                <w:color w:val="000000"/>
                <w:kern w:val="0"/>
                <w:sz w:val="20"/>
                <w:szCs w:val="20"/>
              </w:rPr>
            </w:pPr>
            <w:r w:rsidRPr="00A71133">
              <w:rPr>
                <w:rFonts w:ascii="Times New Roman" w:eastAsia="等线" w:hAnsi="Times New Roman" w:cs="Times New Roman"/>
                <w:i/>
                <w:iCs/>
                <w:color w:val="000000"/>
                <w:kern w:val="0"/>
                <w:sz w:val="20"/>
                <w:szCs w:val="20"/>
              </w:rPr>
              <w:t>P</w:t>
            </w:r>
          </w:p>
        </w:tc>
        <w:tc>
          <w:tcPr>
            <w:tcW w:w="236" w:type="dxa"/>
            <w:tcBorders>
              <w:bottom w:val="single" w:sz="4" w:space="0" w:color="auto"/>
            </w:tcBorders>
            <w:vAlign w:val="center"/>
          </w:tcPr>
          <w:p w14:paraId="451A96CC" w14:textId="77777777" w:rsidR="008930CB" w:rsidRPr="00A71133" w:rsidRDefault="008930CB" w:rsidP="00A32BBA">
            <w:pPr>
              <w:widowControl/>
              <w:rPr>
                <w:rFonts w:ascii="Times New Roman" w:eastAsia="等线" w:hAnsi="Times New Roman" w:cs="Times New Roman"/>
                <w:i/>
                <w:iCs/>
                <w:color w:val="000000"/>
                <w:kern w:val="0"/>
                <w:sz w:val="20"/>
                <w:szCs w:val="20"/>
              </w:rPr>
            </w:pPr>
          </w:p>
        </w:tc>
        <w:tc>
          <w:tcPr>
            <w:tcW w:w="846" w:type="dxa"/>
            <w:tcBorders>
              <w:top w:val="single" w:sz="4" w:space="0" w:color="auto"/>
              <w:bottom w:val="single" w:sz="4" w:space="0" w:color="auto"/>
            </w:tcBorders>
            <w:shd w:val="clear" w:color="auto" w:fill="auto"/>
            <w:noWrap/>
            <w:vAlign w:val="center"/>
            <w:hideMark/>
          </w:tcPr>
          <w:p w14:paraId="2817E049" w14:textId="77777777" w:rsidR="008930CB" w:rsidRPr="00A71133" w:rsidRDefault="008930CB" w:rsidP="00A32BBA">
            <w:pPr>
              <w:widowControl/>
              <w:rPr>
                <w:rFonts w:ascii="Times New Roman" w:eastAsia="等线" w:hAnsi="Times New Roman" w:cs="Times New Roman"/>
                <w:i/>
                <w:iCs/>
                <w:color w:val="000000"/>
                <w:kern w:val="0"/>
                <w:sz w:val="20"/>
                <w:szCs w:val="20"/>
              </w:rPr>
            </w:pPr>
            <w:r w:rsidRPr="00A71133">
              <w:rPr>
                <w:rFonts w:ascii="Times New Roman" w:eastAsia="等线" w:hAnsi="Times New Roman" w:cs="Times New Roman"/>
                <w:i/>
                <w:iCs/>
                <w:color w:val="000000"/>
                <w:kern w:val="0"/>
                <w:sz w:val="20"/>
                <w:szCs w:val="20"/>
              </w:rPr>
              <w:t>F</w:t>
            </w:r>
          </w:p>
        </w:tc>
        <w:tc>
          <w:tcPr>
            <w:tcW w:w="1043" w:type="dxa"/>
            <w:tcBorders>
              <w:top w:val="single" w:sz="4" w:space="0" w:color="auto"/>
              <w:bottom w:val="single" w:sz="4" w:space="0" w:color="auto"/>
            </w:tcBorders>
            <w:shd w:val="clear" w:color="auto" w:fill="auto"/>
            <w:noWrap/>
            <w:vAlign w:val="center"/>
            <w:hideMark/>
          </w:tcPr>
          <w:p w14:paraId="370411A2" w14:textId="77777777" w:rsidR="008930CB" w:rsidRPr="00A71133" w:rsidRDefault="008930CB" w:rsidP="00A32BBA">
            <w:pPr>
              <w:widowControl/>
              <w:rPr>
                <w:rFonts w:ascii="Times New Roman" w:eastAsia="等线" w:hAnsi="Times New Roman" w:cs="Times New Roman"/>
                <w:i/>
                <w:iCs/>
                <w:color w:val="000000"/>
                <w:kern w:val="0"/>
                <w:sz w:val="20"/>
                <w:szCs w:val="20"/>
              </w:rPr>
            </w:pPr>
            <w:r w:rsidRPr="00A71133">
              <w:rPr>
                <w:rFonts w:ascii="Times New Roman" w:eastAsia="等线" w:hAnsi="Times New Roman" w:cs="Times New Roman"/>
                <w:i/>
                <w:iCs/>
                <w:color w:val="000000"/>
                <w:kern w:val="0"/>
                <w:sz w:val="20"/>
                <w:szCs w:val="20"/>
              </w:rPr>
              <w:t>P</w:t>
            </w:r>
          </w:p>
        </w:tc>
      </w:tr>
      <w:tr w:rsidR="008930CB" w:rsidRPr="00A71133" w14:paraId="5A6973CE" w14:textId="77777777" w:rsidTr="00A32BBA">
        <w:trPr>
          <w:trHeight w:val="295"/>
        </w:trPr>
        <w:tc>
          <w:tcPr>
            <w:tcW w:w="1207" w:type="dxa"/>
            <w:vMerge w:val="restart"/>
            <w:tcBorders>
              <w:top w:val="single" w:sz="4" w:space="0" w:color="auto"/>
            </w:tcBorders>
            <w:shd w:val="clear" w:color="auto" w:fill="auto"/>
            <w:noWrap/>
            <w:vAlign w:val="center"/>
          </w:tcPr>
          <w:p w14:paraId="5B3F3B30"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LT</w:t>
            </w:r>
          </w:p>
        </w:tc>
        <w:tc>
          <w:tcPr>
            <w:tcW w:w="1407" w:type="dxa"/>
            <w:tcBorders>
              <w:top w:val="single" w:sz="4" w:space="0" w:color="auto"/>
            </w:tcBorders>
            <w:shd w:val="clear" w:color="auto" w:fill="auto"/>
            <w:noWrap/>
          </w:tcPr>
          <w:p w14:paraId="23CE8C7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graminoid</w:t>
            </w:r>
          </w:p>
        </w:tc>
        <w:tc>
          <w:tcPr>
            <w:tcW w:w="1971" w:type="dxa"/>
            <w:tcBorders>
              <w:top w:val="single" w:sz="4" w:space="0" w:color="auto"/>
            </w:tcBorders>
            <w:shd w:val="clear" w:color="auto" w:fill="auto"/>
            <w:noWrap/>
          </w:tcPr>
          <w:p w14:paraId="45F0480A"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0.33±0.01a**</w:t>
            </w:r>
          </w:p>
        </w:tc>
        <w:tc>
          <w:tcPr>
            <w:tcW w:w="1864" w:type="dxa"/>
            <w:tcBorders>
              <w:top w:val="single" w:sz="4" w:space="0" w:color="auto"/>
            </w:tcBorders>
            <w:shd w:val="clear" w:color="auto" w:fill="auto"/>
            <w:noWrap/>
          </w:tcPr>
          <w:p w14:paraId="2E087D0D"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0.30±0.01ab***</w:t>
            </w:r>
          </w:p>
        </w:tc>
        <w:tc>
          <w:tcPr>
            <w:tcW w:w="1867" w:type="dxa"/>
            <w:tcBorders>
              <w:top w:val="single" w:sz="4" w:space="0" w:color="auto"/>
            </w:tcBorders>
            <w:shd w:val="clear" w:color="auto" w:fill="auto"/>
            <w:noWrap/>
          </w:tcPr>
          <w:p w14:paraId="16B23843"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0.28±0.02b***</w:t>
            </w:r>
          </w:p>
        </w:tc>
        <w:tc>
          <w:tcPr>
            <w:tcW w:w="236" w:type="dxa"/>
            <w:tcBorders>
              <w:top w:val="single" w:sz="4" w:space="0" w:color="auto"/>
            </w:tcBorders>
          </w:tcPr>
          <w:p w14:paraId="4E25225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tcBorders>
              <w:top w:val="single" w:sz="4" w:space="0" w:color="auto"/>
            </w:tcBorders>
            <w:shd w:val="clear" w:color="auto" w:fill="auto"/>
            <w:noWrap/>
          </w:tcPr>
          <w:p w14:paraId="01A2CF01"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6</w:t>
            </w:r>
            <w:r w:rsidRPr="00A71133">
              <w:rPr>
                <w:rFonts w:ascii="Times New Roman" w:eastAsia="等线" w:hAnsi="Times New Roman" w:cs="Times New Roman"/>
                <w:b/>
                <w:bCs/>
                <w:color w:val="000000"/>
                <w:kern w:val="0"/>
                <w:sz w:val="20"/>
                <w:szCs w:val="20"/>
              </w:rPr>
              <w:t>3.186</w:t>
            </w:r>
          </w:p>
        </w:tc>
        <w:tc>
          <w:tcPr>
            <w:tcW w:w="887" w:type="dxa"/>
            <w:tcBorders>
              <w:top w:val="single" w:sz="4" w:space="0" w:color="auto"/>
            </w:tcBorders>
            <w:shd w:val="clear" w:color="auto" w:fill="auto"/>
            <w:noWrap/>
          </w:tcPr>
          <w:p w14:paraId="5DEC0EB6"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&lt;</w:t>
            </w:r>
            <w:r w:rsidRPr="00A71133">
              <w:rPr>
                <w:rFonts w:ascii="Times New Roman" w:eastAsia="等线" w:hAnsi="Times New Roman" w:cs="Times New Roman"/>
                <w:b/>
                <w:bCs/>
                <w:color w:val="000000"/>
                <w:kern w:val="0"/>
                <w:sz w:val="20"/>
                <w:szCs w:val="20"/>
              </w:rPr>
              <w:t>0.001</w:t>
            </w:r>
          </w:p>
        </w:tc>
        <w:tc>
          <w:tcPr>
            <w:tcW w:w="252" w:type="dxa"/>
            <w:tcBorders>
              <w:top w:val="single" w:sz="4" w:space="0" w:color="auto"/>
            </w:tcBorders>
            <w:shd w:val="clear" w:color="auto" w:fill="auto"/>
            <w:noWrap/>
          </w:tcPr>
          <w:p w14:paraId="43FD428C"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tcBorders>
              <w:top w:val="single" w:sz="4" w:space="0" w:color="auto"/>
            </w:tcBorders>
            <w:shd w:val="clear" w:color="auto" w:fill="auto"/>
            <w:noWrap/>
          </w:tcPr>
          <w:p w14:paraId="65EEBF69"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1</w:t>
            </w:r>
            <w:r w:rsidRPr="00A71133">
              <w:rPr>
                <w:rFonts w:ascii="Times New Roman" w:eastAsia="等线" w:hAnsi="Times New Roman" w:cs="Times New Roman"/>
                <w:b/>
                <w:bCs/>
                <w:color w:val="000000"/>
                <w:kern w:val="0"/>
                <w:sz w:val="20"/>
                <w:szCs w:val="20"/>
              </w:rPr>
              <w:t>2.389</w:t>
            </w:r>
          </w:p>
        </w:tc>
        <w:tc>
          <w:tcPr>
            <w:tcW w:w="878" w:type="dxa"/>
            <w:tcBorders>
              <w:top w:val="single" w:sz="4" w:space="0" w:color="auto"/>
            </w:tcBorders>
            <w:shd w:val="clear" w:color="auto" w:fill="auto"/>
            <w:noWrap/>
          </w:tcPr>
          <w:p w14:paraId="13321516"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&lt;</w:t>
            </w:r>
            <w:r w:rsidRPr="00A71133">
              <w:rPr>
                <w:rFonts w:ascii="Times New Roman" w:eastAsia="等线" w:hAnsi="Times New Roman" w:cs="Times New Roman"/>
                <w:b/>
                <w:bCs/>
                <w:color w:val="000000"/>
                <w:kern w:val="0"/>
                <w:sz w:val="20"/>
                <w:szCs w:val="20"/>
              </w:rPr>
              <w:t>0.001</w:t>
            </w:r>
          </w:p>
        </w:tc>
        <w:tc>
          <w:tcPr>
            <w:tcW w:w="236" w:type="dxa"/>
            <w:tcBorders>
              <w:top w:val="single" w:sz="4" w:space="0" w:color="auto"/>
            </w:tcBorders>
          </w:tcPr>
          <w:p w14:paraId="035F9CBA"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tcBorders>
              <w:top w:val="single" w:sz="4" w:space="0" w:color="auto"/>
            </w:tcBorders>
            <w:shd w:val="clear" w:color="auto" w:fill="auto"/>
            <w:noWrap/>
          </w:tcPr>
          <w:p w14:paraId="060C33B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.257</w:t>
            </w:r>
          </w:p>
        </w:tc>
        <w:tc>
          <w:tcPr>
            <w:tcW w:w="1043" w:type="dxa"/>
            <w:tcBorders>
              <w:top w:val="single" w:sz="4" w:space="0" w:color="auto"/>
            </w:tcBorders>
            <w:shd w:val="clear" w:color="auto" w:fill="auto"/>
            <w:noWrap/>
          </w:tcPr>
          <w:p w14:paraId="1D297490"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.613</w:t>
            </w:r>
          </w:p>
        </w:tc>
      </w:tr>
      <w:tr w:rsidR="008930CB" w:rsidRPr="00A71133" w14:paraId="24EA94A6" w14:textId="77777777" w:rsidTr="00A32BBA">
        <w:trPr>
          <w:trHeight w:val="295"/>
        </w:trPr>
        <w:tc>
          <w:tcPr>
            <w:tcW w:w="1207" w:type="dxa"/>
            <w:vMerge/>
            <w:vAlign w:val="center"/>
          </w:tcPr>
          <w:p w14:paraId="1A8C8838"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shd w:val="clear" w:color="auto" w:fill="auto"/>
            <w:noWrap/>
          </w:tcPr>
          <w:p w14:paraId="1C5292C7"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forb</w:t>
            </w:r>
          </w:p>
        </w:tc>
        <w:tc>
          <w:tcPr>
            <w:tcW w:w="1971" w:type="dxa"/>
            <w:shd w:val="clear" w:color="auto" w:fill="auto"/>
            <w:noWrap/>
          </w:tcPr>
          <w:p w14:paraId="26D5AC3E"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0.25±0.02A</w:t>
            </w:r>
          </w:p>
        </w:tc>
        <w:tc>
          <w:tcPr>
            <w:tcW w:w="1864" w:type="dxa"/>
            <w:shd w:val="clear" w:color="auto" w:fill="auto"/>
            <w:noWrap/>
          </w:tcPr>
          <w:p w14:paraId="6E3D9918"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0.17±0.01B</w:t>
            </w:r>
          </w:p>
        </w:tc>
        <w:tc>
          <w:tcPr>
            <w:tcW w:w="1867" w:type="dxa"/>
            <w:shd w:val="clear" w:color="auto" w:fill="auto"/>
            <w:noWrap/>
          </w:tcPr>
          <w:p w14:paraId="4C270E00"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0.18±0.01B</w:t>
            </w:r>
          </w:p>
        </w:tc>
        <w:tc>
          <w:tcPr>
            <w:tcW w:w="236" w:type="dxa"/>
          </w:tcPr>
          <w:p w14:paraId="1150FF9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6B69819E"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87" w:type="dxa"/>
            <w:shd w:val="clear" w:color="auto" w:fill="auto"/>
            <w:noWrap/>
          </w:tcPr>
          <w:p w14:paraId="499E74B9"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52" w:type="dxa"/>
            <w:shd w:val="clear" w:color="auto" w:fill="auto"/>
            <w:noWrap/>
          </w:tcPr>
          <w:p w14:paraId="5EF0AD7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523B2996"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78" w:type="dxa"/>
            <w:shd w:val="clear" w:color="auto" w:fill="auto"/>
            <w:noWrap/>
          </w:tcPr>
          <w:p w14:paraId="42B72F4A"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36" w:type="dxa"/>
          </w:tcPr>
          <w:p w14:paraId="089E14E2"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3393E44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043" w:type="dxa"/>
            <w:shd w:val="clear" w:color="auto" w:fill="auto"/>
            <w:noWrap/>
          </w:tcPr>
          <w:p w14:paraId="4BA8C717" w14:textId="77777777" w:rsidR="008930CB" w:rsidRPr="00A71133" w:rsidRDefault="008930CB" w:rsidP="00A32BBA">
            <w:pPr>
              <w:widowControl/>
              <w:rPr>
                <w:rFonts w:ascii="Times New Roman" w:eastAsia="等线" w:hAnsi="Times New Roman" w:cs="Times New Roman"/>
                <w:color w:val="000000"/>
                <w:kern w:val="0"/>
                <w:sz w:val="20"/>
                <w:szCs w:val="20"/>
              </w:rPr>
            </w:pPr>
          </w:p>
        </w:tc>
      </w:tr>
      <w:tr w:rsidR="008930CB" w:rsidRPr="00A71133" w14:paraId="2D14515B" w14:textId="77777777" w:rsidTr="00A32BBA">
        <w:trPr>
          <w:trHeight w:val="295"/>
        </w:trPr>
        <w:tc>
          <w:tcPr>
            <w:tcW w:w="1207" w:type="dxa"/>
            <w:vMerge w:val="restart"/>
            <w:shd w:val="clear" w:color="auto" w:fill="auto"/>
            <w:noWrap/>
            <w:vAlign w:val="center"/>
          </w:tcPr>
          <w:p w14:paraId="56556F3B"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SLA</w:t>
            </w:r>
          </w:p>
        </w:tc>
        <w:tc>
          <w:tcPr>
            <w:tcW w:w="1407" w:type="dxa"/>
            <w:shd w:val="clear" w:color="auto" w:fill="auto"/>
            <w:noWrap/>
          </w:tcPr>
          <w:p w14:paraId="26991CDA"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graminoid</w:t>
            </w:r>
          </w:p>
        </w:tc>
        <w:tc>
          <w:tcPr>
            <w:tcW w:w="1971" w:type="dxa"/>
            <w:shd w:val="clear" w:color="auto" w:fill="auto"/>
            <w:noWrap/>
          </w:tcPr>
          <w:p w14:paraId="5AF498AE"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.94</w:t>
            </w:r>
            <w:r w:rsidRPr="00A71133">
              <w:rPr>
                <w:rFonts w:ascii="Times New Roman" w:eastAsia="等线" w:hAnsi="Times New Roman" w:cs="Times New Roman" w:hint="eastAsia"/>
                <w:color w:val="000000"/>
                <w:kern w:val="0"/>
                <w:sz w:val="20"/>
                <w:szCs w:val="20"/>
              </w:rPr>
              <w:t>±</w:t>
            </w: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.10</w:t>
            </w:r>
            <w:r w:rsidRPr="00A71133">
              <w:rPr>
                <w:rFonts w:ascii="Times New Roman" w:eastAsia="等线" w:hAnsi="Times New Roman" w:cs="Times New Roman" w:hint="eastAsia"/>
                <w:color w:val="000000"/>
                <w:kern w:val="0"/>
                <w:sz w:val="20"/>
                <w:szCs w:val="20"/>
              </w:rPr>
              <w:t>a</w:t>
            </w:r>
            <w:r w:rsidRPr="00A71133">
              <w:rPr>
                <w:rFonts w:ascii="Times New Roman" w:eastAsia="等线" w:hAnsi="Times New Roman" w:cs="Times New Roman"/>
                <w:color w:val="000000"/>
                <w:kern w:val="0"/>
                <w:sz w:val="20"/>
                <w:szCs w:val="20"/>
              </w:rPr>
              <w:t>***</w:t>
            </w:r>
          </w:p>
        </w:tc>
        <w:tc>
          <w:tcPr>
            <w:tcW w:w="1864" w:type="dxa"/>
            <w:shd w:val="clear" w:color="auto" w:fill="auto"/>
            <w:noWrap/>
          </w:tcPr>
          <w:p w14:paraId="749241F8"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.55</w:t>
            </w:r>
            <w:r w:rsidRPr="00A71133">
              <w:rPr>
                <w:rFonts w:ascii="Times New Roman" w:eastAsia="等线" w:hAnsi="Times New Roman" w:cs="Times New Roman" w:hint="eastAsia"/>
                <w:color w:val="000000"/>
                <w:kern w:val="0"/>
                <w:sz w:val="20"/>
                <w:szCs w:val="20"/>
              </w:rPr>
              <w:t>±</w:t>
            </w: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.01b***</w:t>
            </w:r>
          </w:p>
        </w:tc>
        <w:tc>
          <w:tcPr>
            <w:tcW w:w="1867" w:type="dxa"/>
            <w:shd w:val="clear" w:color="auto" w:fill="auto"/>
            <w:noWrap/>
          </w:tcPr>
          <w:p w14:paraId="29F9C37A"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.57</w:t>
            </w:r>
            <w:r w:rsidRPr="00A71133">
              <w:rPr>
                <w:rFonts w:ascii="Times New Roman" w:eastAsia="等线" w:hAnsi="Times New Roman" w:cs="Times New Roman" w:hint="eastAsia"/>
                <w:color w:val="000000"/>
                <w:kern w:val="0"/>
                <w:sz w:val="20"/>
                <w:szCs w:val="20"/>
              </w:rPr>
              <w:t>±</w:t>
            </w: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.01b***</w:t>
            </w:r>
          </w:p>
        </w:tc>
        <w:tc>
          <w:tcPr>
            <w:tcW w:w="236" w:type="dxa"/>
          </w:tcPr>
          <w:p w14:paraId="6DCCE6E0"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68C20B1F"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1</w:t>
            </w:r>
            <w:r w:rsidRPr="00A71133">
              <w:rPr>
                <w:rFonts w:ascii="Times New Roman" w:eastAsia="等线" w:hAnsi="Times New Roman" w:cs="Times New Roman"/>
                <w:b/>
                <w:bCs/>
                <w:color w:val="000000"/>
                <w:kern w:val="0"/>
                <w:sz w:val="20"/>
                <w:szCs w:val="20"/>
              </w:rPr>
              <w:t>36.262</w:t>
            </w:r>
          </w:p>
        </w:tc>
        <w:tc>
          <w:tcPr>
            <w:tcW w:w="887" w:type="dxa"/>
            <w:shd w:val="clear" w:color="auto" w:fill="auto"/>
            <w:noWrap/>
          </w:tcPr>
          <w:p w14:paraId="773185E4"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&lt;</w:t>
            </w:r>
            <w:r w:rsidRPr="00A71133">
              <w:rPr>
                <w:rFonts w:ascii="Times New Roman" w:eastAsia="等线" w:hAnsi="Times New Roman" w:cs="Times New Roman"/>
                <w:b/>
                <w:bCs/>
                <w:color w:val="000000"/>
                <w:kern w:val="0"/>
                <w:sz w:val="20"/>
                <w:szCs w:val="20"/>
              </w:rPr>
              <w:t>0.001</w:t>
            </w:r>
          </w:p>
        </w:tc>
        <w:tc>
          <w:tcPr>
            <w:tcW w:w="252" w:type="dxa"/>
            <w:shd w:val="clear" w:color="auto" w:fill="auto"/>
            <w:noWrap/>
          </w:tcPr>
          <w:p w14:paraId="41EA6FA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59CAC611"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1</w:t>
            </w:r>
            <w:r w:rsidRPr="00A71133">
              <w:rPr>
                <w:rFonts w:ascii="Times New Roman" w:eastAsia="等线" w:hAnsi="Times New Roman" w:cs="Times New Roman"/>
                <w:b/>
                <w:bCs/>
                <w:color w:val="000000"/>
                <w:kern w:val="0"/>
                <w:sz w:val="20"/>
                <w:szCs w:val="20"/>
              </w:rPr>
              <w:t>2.801</w:t>
            </w:r>
          </w:p>
        </w:tc>
        <w:tc>
          <w:tcPr>
            <w:tcW w:w="878" w:type="dxa"/>
            <w:shd w:val="clear" w:color="auto" w:fill="auto"/>
            <w:noWrap/>
          </w:tcPr>
          <w:p w14:paraId="531D56F0"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&lt;</w:t>
            </w:r>
            <w:r w:rsidRPr="00A71133">
              <w:rPr>
                <w:rFonts w:ascii="Times New Roman" w:eastAsia="等线" w:hAnsi="Times New Roman" w:cs="Times New Roman"/>
                <w:b/>
                <w:bCs/>
                <w:color w:val="000000"/>
                <w:kern w:val="0"/>
                <w:sz w:val="20"/>
                <w:szCs w:val="20"/>
              </w:rPr>
              <w:t>0.001</w:t>
            </w:r>
          </w:p>
        </w:tc>
        <w:tc>
          <w:tcPr>
            <w:tcW w:w="236" w:type="dxa"/>
          </w:tcPr>
          <w:p w14:paraId="279D0A15"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4E9899C0"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1</w:t>
            </w:r>
            <w:r w:rsidRPr="00A71133">
              <w:rPr>
                <w:rFonts w:ascii="Times New Roman" w:eastAsia="等线" w:hAnsi="Times New Roman" w:cs="Times New Roman"/>
                <w:color w:val="000000"/>
                <w:kern w:val="0"/>
                <w:sz w:val="20"/>
                <w:szCs w:val="20"/>
              </w:rPr>
              <w:t>.136</w:t>
            </w:r>
          </w:p>
        </w:tc>
        <w:tc>
          <w:tcPr>
            <w:tcW w:w="1043" w:type="dxa"/>
            <w:shd w:val="clear" w:color="auto" w:fill="auto"/>
            <w:noWrap/>
          </w:tcPr>
          <w:p w14:paraId="4F4F3796"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.290</w:t>
            </w:r>
          </w:p>
        </w:tc>
      </w:tr>
      <w:tr w:rsidR="008930CB" w:rsidRPr="00A71133" w14:paraId="4E8DE95C" w14:textId="77777777" w:rsidTr="00A32BBA">
        <w:trPr>
          <w:trHeight w:val="295"/>
        </w:trPr>
        <w:tc>
          <w:tcPr>
            <w:tcW w:w="1207" w:type="dxa"/>
            <w:vMerge/>
            <w:vAlign w:val="center"/>
          </w:tcPr>
          <w:p w14:paraId="7F81DE0E"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shd w:val="clear" w:color="auto" w:fill="auto"/>
            <w:noWrap/>
          </w:tcPr>
          <w:p w14:paraId="3430C2A9"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forb</w:t>
            </w:r>
          </w:p>
        </w:tc>
        <w:tc>
          <w:tcPr>
            <w:tcW w:w="1971" w:type="dxa"/>
            <w:shd w:val="clear" w:color="auto" w:fill="auto"/>
            <w:noWrap/>
          </w:tcPr>
          <w:p w14:paraId="4DA8A5B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1</w:t>
            </w:r>
            <w:r w:rsidRPr="00A71133">
              <w:rPr>
                <w:rFonts w:ascii="Times New Roman" w:eastAsia="等线" w:hAnsi="Times New Roman" w:cs="Times New Roman"/>
                <w:color w:val="000000"/>
                <w:kern w:val="0"/>
                <w:sz w:val="20"/>
                <w:szCs w:val="20"/>
              </w:rPr>
              <w:t>.52</w:t>
            </w:r>
            <w:r w:rsidRPr="00A71133">
              <w:rPr>
                <w:rFonts w:ascii="Times New Roman" w:eastAsia="等线" w:hAnsi="Times New Roman" w:cs="Times New Roman" w:hint="eastAsia"/>
                <w:color w:val="000000"/>
                <w:kern w:val="0"/>
                <w:sz w:val="20"/>
                <w:szCs w:val="20"/>
              </w:rPr>
              <w:t>±</w:t>
            </w: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.06A</w:t>
            </w:r>
          </w:p>
        </w:tc>
        <w:tc>
          <w:tcPr>
            <w:tcW w:w="1864" w:type="dxa"/>
            <w:shd w:val="clear" w:color="auto" w:fill="auto"/>
            <w:noWrap/>
          </w:tcPr>
          <w:p w14:paraId="59EAFD0E"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1</w:t>
            </w:r>
            <w:r w:rsidRPr="00A71133">
              <w:rPr>
                <w:rFonts w:ascii="Times New Roman" w:eastAsia="等线" w:hAnsi="Times New Roman" w:cs="Times New Roman"/>
                <w:color w:val="000000"/>
                <w:kern w:val="0"/>
                <w:sz w:val="20"/>
                <w:szCs w:val="20"/>
              </w:rPr>
              <w:t>.29</w:t>
            </w:r>
            <w:r w:rsidRPr="00A71133">
              <w:rPr>
                <w:rFonts w:ascii="Times New Roman" w:eastAsia="等线" w:hAnsi="Times New Roman" w:cs="Times New Roman" w:hint="eastAsia"/>
                <w:color w:val="000000"/>
                <w:kern w:val="0"/>
                <w:sz w:val="20"/>
                <w:szCs w:val="20"/>
              </w:rPr>
              <w:t>±</w:t>
            </w: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.08A</w:t>
            </w:r>
          </w:p>
        </w:tc>
        <w:tc>
          <w:tcPr>
            <w:tcW w:w="1867" w:type="dxa"/>
            <w:shd w:val="clear" w:color="auto" w:fill="auto"/>
            <w:noWrap/>
          </w:tcPr>
          <w:p w14:paraId="26FAE12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1</w:t>
            </w:r>
            <w:r w:rsidRPr="00A71133">
              <w:rPr>
                <w:rFonts w:ascii="Times New Roman" w:eastAsia="等线" w:hAnsi="Times New Roman" w:cs="Times New Roman"/>
                <w:color w:val="000000"/>
                <w:kern w:val="0"/>
                <w:sz w:val="20"/>
                <w:szCs w:val="20"/>
              </w:rPr>
              <w:t>.32</w:t>
            </w:r>
            <w:r w:rsidRPr="00A71133">
              <w:rPr>
                <w:rFonts w:ascii="Times New Roman" w:eastAsia="等线" w:hAnsi="Times New Roman" w:cs="Times New Roman" w:hint="eastAsia"/>
                <w:color w:val="000000"/>
                <w:kern w:val="0"/>
                <w:sz w:val="20"/>
                <w:szCs w:val="20"/>
              </w:rPr>
              <w:t>±</w:t>
            </w: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.06A</w:t>
            </w:r>
          </w:p>
        </w:tc>
        <w:tc>
          <w:tcPr>
            <w:tcW w:w="236" w:type="dxa"/>
          </w:tcPr>
          <w:p w14:paraId="019D1BB9"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033D274E"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87" w:type="dxa"/>
            <w:shd w:val="clear" w:color="auto" w:fill="auto"/>
            <w:noWrap/>
          </w:tcPr>
          <w:p w14:paraId="5C199D6C"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52" w:type="dxa"/>
            <w:shd w:val="clear" w:color="auto" w:fill="auto"/>
            <w:noWrap/>
          </w:tcPr>
          <w:p w14:paraId="5DB92583"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22E10C0D"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78" w:type="dxa"/>
            <w:shd w:val="clear" w:color="auto" w:fill="auto"/>
            <w:noWrap/>
          </w:tcPr>
          <w:p w14:paraId="2E98130F"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36" w:type="dxa"/>
          </w:tcPr>
          <w:p w14:paraId="1B1FF31A"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33BDFF51"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043" w:type="dxa"/>
            <w:shd w:val="clear" w:color="auto" w:fill="auto"/>
            <w:noWrap/>
          </w:tcPr>
          <w:p w14:paraId="1AF89C39" w14:textId="77777777" w:rsidR="008930CB" w:rsidRPr="00A71133" w:rsidRDefault="008930CB" w:rsidP="00A32BBA">
            <w:pPr>
              <w:widowControl/>
              <w:rPr>
                <w:rFonts w:ascii="Times New Roman" w:eastAsia="等线" w:hAnsi="Times New Roman" w:cs="Times New Roman"/>
                <w:color w:val="000000"/>
                <w:kern w:val="0"/>
                <w:sz w:val="20"/>
                <w:szCs w:val="20"/>
              </w:rPr>
            </w:pPr>
          </w:p>
        </w:tc>
      </w:tr>
      <w:tr w:rsidR="008930CB" w:rsidRPr="00A71133" w14:paraId="15E4291C" w14:textId="77777777" w:rsidTr="00A32BBA">
        <w:trPr>
          <w:trHeight w:val="295"/>
        </w:trPr>
        <w:tc>
          <w:tcPr>
            <w:tcW w:w="1207" w:type="dxa"/>
            <w:vMerge w:val="restart"/>
            <w:shd w:val="clear" w:color="auto" w:fill="auto"/>
            <w:noWrap/>
            <w:vAlign w:val="center"/>
          </w:tcPr>
          <w:p w14:paraId="353E402B"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LDMC</w:t>
            </w:r>
          </w:p>
        </w:tc>
        <w:tc>
          <w:tcPr>
            <w:tcW w:w="1407" w:type="dxa"/>
            <w:shd w:val="clear" w:color="auto" w:fill="auto"/>
            <w:noWrap/>
          </w:tcPr>
          <w:p w14:paraId="303091FB"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graminoid</w:t>
            </w:r>
          </w:p>
        </w:tc>
        <w:tc>
          <w:tcPr>
            <w:tcW w:w="1971" w:type="dxa"/>
            <w:shd w:val="clear" w:color="auto" w:fill="auto"/>
            <w:noWrap/>
          </w:tcPr>
          <w:p w14:paraId="525D1449"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0.55±0.02a***</w:t>
            </w:r>
          </w:p>
        </w:tc>
        <w:tc>
          <w:tcPr>
            <w:tcW w:w="1864" w:type="dxa"/>
            <w:shd w:val="clear" w:color="auto" w:fill="auto"/>
            <w:noWrap/>
          </w:tcPr>
          <w:p w14:paraId="57E02702"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0.58±0.02a***</w:t>
            </w:r>
          </w:p>
        </w:tc>
        <w:tc>
          <w:tcPr>
            <w:tcW w:w="1867" w:type="dxa"/>
            <w:shd w:val="clear" w:color="auto" w:fill="auto"/>
            <w:noWrap/>
          </w:tcPr>
          <w:p w14:paraId="4D45668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0.57±0.02a***</w:t>
            </w:r>
          </w:p>
        </w:tc>
        <w:tc>
          <w:tcPr>
            <w:tcW w:w="236" w:type="dxa"/>
          </w:tcPr>
          <w:p w14:paraId="7A7BD522"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7BAC761B"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1</w:t>
            </w:r>
            <w:r w:rsidRPr="00A71133">
              <w:rPr>
                <w:rFonts w:ascii="Times New Roman" w:eastAsia="等线" w:hAnsi="Times New Roman" w:cs="Times New Roman"/>
                <w:b/>
                <w:bCs/>
                <w:color w:val="000000"/>
                <w:kern w:val="0"/>
                <w:sz w:val="20"/>
                <w:szCs w:val="20"/>
              </w:rPr>
              <w:t>75.371</w:t>
            </w:r>
          </w:p>
        </w:tc>
        <w:tc>
          <w:tcPr>
            <w:tcW w:w="887" w:type="dxa"/>
            <w:shd w:val="clear" w:color="auto" w:fill="auto"/>
            <w:noWrap/>
          </w:tcPr>
          <w:p w14:paraId="223BD449"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&lt;</w:t>
            </w:r>
            <w:r w:rsidRPr="00A71133">
              <w:rPr>
                <w:rFonts w:ascii="Times New Roman" w:eastAsia="等线" w:hAnsi="Times New Roman" w:cs="Times New Roman"/>
                <w:b/>
                <w:bCs/>
                <w:color w:val="000000"/>
                <w:kern w:val="0"/>
                <w:sz w:val="20"/>
                <w:szCs w:val="20"/>
              </w:rPr>
              <w:t>0.001</w:t>
            </w:r>
          </w:p>
        </w:tc>
        <w:tc>
          <w:tcPr>
            <w:tcW w:w="252" w:type="dxa"/>
            <w:shd w:val="clear" w:color="auto" w:fill="auto"/>
            <w:noWrap/>
          </w:tcPr>
          <w:p w14:paraId="6C4BAC57"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910" w:type="dxa"/>
            <w:shd w:val="clear" w:color="auto" w:fill="auto"/>
            <w:noWrap/>
          </w:tcPr>
          <w:p w14:paraId="2E1F6BCF"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3</w:t>
            </w:r>
            <w:r w:rsidRPr="00A71133">
              <w:rPr>
                <w:rFonts w:ascii="Times New Roman" w:eastAsia="等线" w:hAnsi="Times New Roman" w:cs="Times New Roman"/>
                <w:color w:val="000000"/>
                <w:kern w:val="0"/>
                <w:sz w:val="20"/>
                <w:szCs w:val="20"/>
              </w:rPr>
              <w:t>.178</w:t>
            </w:r>
          </w:p>
        </w:tc>
        <w:tc>
          <w:tcPr>
            <w:tcW w:w="878" w:type="dxa"/>
            <w:shd w:val="clear" w:color="auto" w:fill="auto"/>
            <w:noWrap/>
          </w:tcPr>
          <w:p w14:paraId="0677B4C0"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.078</w:t>
            </w:r>
          </w:p>
        </w:tc>
        <w:tc>
          <w:tcPr>
            <w:tcW w:w="236" w:type="dxa"/>
          </w:tcPr>
          <w:p w14:paraId="395DE757"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6280DA48"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.272</w:t>
            </w:r>
          </w:p>
        </w:tc>
        <w:tc>
          <w:tcPr>
            <w:tcW w:w="1043" w:type="dxa"/>
            <w:shd w:val="clear" w:color="auto" w:fill="auto"/>
            <w:noWrap/>
          </w:tcPr>
          <w:p w14:paraId="0442E8A8"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.603</w:t>
            </w:r>
          </w:p>
        </w:tc>
      </w:tr>
      <w:tr w:rsidR="008930CB" w:rsidRPr="00A71133" w14:paraId="3B3F58C7" w14:textId="77777777" w:rsidTr="00A32BBA">
        <w:trPr>
          <w:trHeight w:val="295"/>
        </w:trPr>
        <w:tc>
          <w:tcPr>
            <w:tcW w:w="1207" w:type="dxa"/>
            <w:vMerge/>
            <w:vAlign w:val="center"/>
          </w:tcPr>
          <w:p w14:paraId="6D09D3DD"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shd w:val="clear" w:color="auto" w:fill="auto"/>
            <w:noWrap/>
          </w:tcPr>
          <w:p w14:paraId="2D11A412"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forb</w:t>
            </w:r>
          </w:p>
        </w:tc>
        <w:tc>
          <w:tcPr>
            <w:tcW w:w="1971" w:type="dxa"/>
            <w:shd w:val="clear" w:color="auto" w:fill="auto"/>
            <w:noWrap/>
          </w:tcPr>
          <w:p w14:paraId="18D017D7"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0.35±0.01A</w:t>
            </w:r>
          </w:p>
        </w:tc>
        <w:tc>
          <w:tcPr>
            <w:tcW w:w="1864" w:type="dxa"/>
            <w:shd w:val="clear" w:color="auto" w:fill="auto"/>
            <w:noWrap/>
          </w:tcPr>
          <w:p w14:paraId="022F49A8"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0.39±0.02A</w:t>
            </w:r>
          </w:p>
        </w:tc>
        <w:tc>
          <w:tcPr>
            <w:tcW w:w="1867" w:type="dxa"/>
            <w:shd w:val="clear" w:color="auto" w:fill="auto"/>
            <w:noWrap/>
          </w:tcPr>
          <w:p w14:paraId="6B296E7F"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0.39±0.01A</w:t>
            </w:r>
          </w:p>
        </w:tc>
        <w:tc>
          <w:tcPr>
            <w:tcW w:w="236" w:type="dxa"/>
          </w:tcPr>
          <w:p w14:paraId="2F80EE62"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0045F3E8"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887" w:type="dxa"/>
            <w:shd w:val="clear" w:color="auto" w:fill="auto"/>
            <w:noWrap/>
          </w:tcPr>
          <w:p w14:paraId="16AAB7A4"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252" w:type="dxa"/>
            <w:shd w:val="clear" w:color="auto" w:fill="auto"/>
            <w:noWrap/>
          </w:tcPr>
          <w:p w14:paraId="2E53D670"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910" w:type="dxa"/>
            <w:shd w:val="clear" w:color="auto" w:fill="auto"/>
            <w:noWrap/>
          </w:tcPr>
          <w:p w14:paraId="61564FF2"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878" w:type="dxa"/>
            <w:shd w:val="clear" w:color="auto" w:fill="auto"/>
            <w:noWrap/>
          </w:tcPr>
          <w:p w14:paraId="4745F159"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236" w:type="dxa"/>
          </w:tcPr>
          <w:p w14:paraId="6148B587"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3D68DFD9"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043" w:type="dxa"/>
            <w:shd w:val="clear" w:color="auto" w:fill="auto"/>
            <w:noWrap/>
          </w:tcPr>
          <w:p w14:paraId="7B605F92" w14:textId="77777777" w:rsidR="008930CB" w:rsidRPr="00A71133" w:rsidRDefault="008930CB" w:rsidP="00A32BBA">
            <w:pPr>
              <w:widowControl/>
              <w:rPr>
                <w:rFonts w:ascii="Times New Roman" w:eastAsia="等线" w:hAnsi="Times New Roman" w:cs="Times New Roman"/>
                <w:color w:val="000000"/>
                <w:kern w:val="0"/>
                <w:sz w:val="20"/>
                <w:szCs w:val="20"/>
              </w:rPr>
            </w:pPr>
          </w:p>
        </w:tc>
      </w:tr>
      <w:tr w:rsidR="008930CB" w:rsidRPr="00A71133" w14:paraId="2BF232DE" w14:textId="77777777" w:rsidTr="00A32BBA">
        <w:trPr>
          <w:trHeight w:val="295"/>
        </w:trPr>
        <w:tc>
          <w:tcPr>
            <w:tcW w:w="1207" w:type="dxa"/>
            <w:vMerge w:val="restart"/>
            <w:shd w:val="clear" w:color="auto" w:fill="auto"/>
            <w:noWrap/>
            <w:vAlign w:val="center"/>
          </w:tcPr>
          <w:p w14:paraId="083DA423"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Ng</w:t>
            </w:r>
          </w:p>
        </w:tc>
        <w:tc>
          <w:tcPr>
            <w:tcW w:w="1407" w:type="dxa"/>
            <w:shd w:val="clear" w:color="auto" w:fill="auto"/>
            <w:noWrap/>
          </w:tcPr>
          <w:p w14:paraId="3FCE7E06"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graminoid</w:t>
            </w:r>
          </w:p>
        </w:tc>
        <w:tc>
          <w:tcPr>
            <w:tcW w:w="1971" w:type="dxa"/>
            <w:shd w:val="clear" w:color="auto" w:fill="auto"/>
            <w:noWrap/>
          </w:tcPr>
          <w:p w14:paraId="6FC58591"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14.24±0.81a**</w:t>
            </w:r>
          </w:p>
        </w:tc>
        <w:tc>
          <w:tcPr>
            <w:tcW w:w="1864" w:type="dxa"/>
            <w:shd w:val="clear" w:color="auto" w:fill="auto"/>
            <w:noWrap/>
          </w:tcPr>
          <w:p w14:paraId="07A20045"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16.40±0.96a*</w:t>
            </w:r>
          </w:p>
        </w:tc>
        <w:tc>
          <w:tcPr>
            <w:tcW w:w="1867" w:type="dxa"/>
            <w:shd w:val="clear" w:color="auto" w:fill="auto"/>
            <w:noWrap/>
          </w:tcPr>
          <w:p w14:paraId="6CF0FC74"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15.59±0.73a***</w:t>
            </w:r>
          </w:p>
        </w:tc>
        <w:tc>
          <w:tcPr>
            <w:tcW w:w="236" w:type="dxa"/>
          </w:tcPr>
          <w:p w14:paraId="7411E07A"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6CDDAFB7"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4</w:t>
            </w:r>
            <w:r w:rsidRPr="00A71133">
              <w:rPr>
                <w:rFonts w:ascii="Times New Roman" w:eastAsia="等线" w:hAnsi="Times New Roman" w:cs="Times New Roman"/>
                <w:b/>
                <w:bCs/>
                <w:color w:val="000000"/>
                <w:kern w:val="0"/>
                <w:sz w:val="20"/>
                <w:szCs w:val="20"/>
              </w:rPr>
              <w:t>4.606</w:t>
            </w:r>
          </w:p>
        </w:tc>
        <w:tc>
          <w:tcPr>
            <w:tcW w:w="887" w:type="dxa"/>
            <w:shd w:val="clear" w:color="auto" w:fill="auto"/>
            <w:noWrap/>
          </w:tcPr>
          <w:p w14:paraId="0FAAE204"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&lt;</w:t>
            </w:r>
            <w:r w:rsidRPr="00A71133">
              <w:rPr>
                <w:rFonts w:ascii="Times New Roman" w:eastAsia="等线" w:hAnsi="Times New Roman" w:cs="Times New Roman"/>
                <w:b/>
                <w:bCs/>
                <w:color w:val="000000"/>
                <w:kern w:val="0"/>
                <w:sz w:val="20"/>
                <w:szCs w:val="20"/>
              </w:rPr>
              <w:t>0.001</w:t>
            </w:r>
          </w:p>
        </w:tc>
        <w:tc>
          <w:tcPr>
            <w:tcW w:w="252" w:type="dxa"/>
            <w:shd w:val="clear" w:color="auto" w:fill="auto"/>
            <w:noWrap/>
          </w:tcPr>
          <w:p w14:paraId="29AD6189"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910" w:type="dxa"/>
            <w:shd w:val="clear" w:color="auto" w:fill="auto"/>
            <w:noWrap/>
          </w:tcPr>
          <w:p w14:paraId="7B839371"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4</w:t>
            </w:r>
            <w:r w:rsidRPr="00A71133">
              <w:rPr>
                <w:rFonts w:ascii="Times New Roman" w:eastAsia="等线" w:hAnsi="Times New Roman" w:cs="Times New Roman"/>
                <w:b/>
                <w:bCs/>
                <w:color w:val="000000"/>
                <w:kern w:val="0"/>
                <w:sz w:val="20"/>
                <w:szCs w:val="20"/>
              </w:rPr>
              <w:t>.261</w:t>
            </w:r>
          </w:p>
        </w:tc>
        <w:tc>
          <w:tcPr>
            <w:tcW w:w="878" w:type="dxa"/>
            <w:shd w:val="clear" w:color="auto" w:fill="auto"/>
            <w:noWrap/>
          </w:tcPr>
          <w:p w14:paraId="01BC4B9E"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0</w:t>
            </w:r>
            <w:r w:rsidRPr="00A71133">
              <w:rPr>
                <w:rFonts w:ascii="Times New Roman" w:eastAsia="等线" w:hAnsi="Times New Roman" w:cs="Times New Roman"/>
                <w:b/>
                <w:bCs/>
                <w:color w:val="000000"/>
                <w:kern w:val="0"/>
                <w:sz w:val="20"/>
                <w:szCs w:val="20"/>
              </w:rPr>
              <w:t>.042</w:t>
            </w:r>
          </w:p>
        </w:tc>
        <w:tc>
          <w:tcPr>
            <w:tcW w:w="236" w:type="dxa"/>
          </w:tcPr>
          <w:p w14:paraId="2FAD9FBA"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32D5664F"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.557</w:t>
            </w:r>
          </w:p>
        </w:tc>
        <w:tc>
          <w:tcPr>
            <w:tcW w:w="1043" w:type="dxa"/>
            <w:shd w:val="clear" w:color="auto" w:fill="auto"/>
            <w:noWrap/>
          </w:tcPr>
          <w:p w14:paraId="3FC2B6F9"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.457</w:t>
            </w:r>
          </w:p>
        </w:tc>
      </w:tr>
      <w:tr w:rsidR="008930CB" w:rsidRPr="00A71133" w14:paraId="10A7D943" w14:textId="77777777" w:rsidTr="00A32BBA">
        <w:trPr>
          <w:trHeight w:val="295"/>
        </w:trPr>
        <w:tc>
          <w:tcPr>
            <w:tcW w:w="1207" w:type="dxa"/>
            <w:vMerge/>
            <w:vAlign w:val="center"/>
          </w:tcPr>
          <w:p w14:paraId="05964246"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shd w:val="clear" w:color="auto" w:fill="auto"/>
            <w:noWrap/>
          </w:tcPr>
          <w:p w14:paraId="70791FD0"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forb</w:t>
            </w:r>
          </w:p>
        </w:tc>
        <w:tc>
          <w:tcPr>
            <w:tcW w:w="1971" w:type="dxa"/>
            <w:shd w:val="clear" w:color="auto" w:fill="auto"/>
            <w:noWrap/>
          </w:tcPr>
          <w:p w14:paraId="71C66B17"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20.79±1.45AB</w:t>
            </w:r>
          </w:p>
        </w:tc>
        <w:tc>
          <w:tcPr>
            <w:tcW w:w="1864" w:type="dxa"/>
            <w:shd w:val="clear" w:color="auto" w:fill="auto"/>
            <w:noWrap/>
          </w:tcPr>
          <w:p w14:paraId="64074D5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19.56±0.87B</w:t>
            </w:r>
          </w:p>
        </w:tc>
        <w:tc>
          <w:tcPr>
            <w:tcW w:w="1867" w:type="dxa"/>
            <w:shd w:val="clear" w:color="auto" w:fill="auto"/>
            <w:noWrap/>
          </w:tcPr>
          <w:p w14:paraId="072FB3F1"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23.36±0.77A</w:t>
            </w:r>
          </w:p>
        </w:tc>
        <w:tc>
          <w:tcPr>
            <w:tcW w:w="236" w:type="dxa"/>
          </w:tcPr>
          <w:p w14:paraId="4C16DF25"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247B69EE"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87" w:type="dxa"/>
            <w:shd w:val="clear" w:color="auto" w:fill="auto"/>
            <w:noWrap/>
          </w:tcPr>
          <w:p w14:paraId="2D9BA0FC"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52" w:type="dxa"/>
            <w:shd w:val="clear" w:color="auto" w:fill="auto"/>
            <w:noWrap/>
          </w:tcPr>
          <w:p w14:paraId="467BAF00"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11F56978"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78" w:type="dxa"/>
            <w:shd w:val="clear" w:color="auto" w:fill="auto"/>
            <w:noWrap/>
          </w:tcPr>
          <w:p w14:paraId="0EDBEB9A"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36" w:type="dxa"/>
          </w:tcPr>
          <w:p w14:paraId="25EA1F9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21CB3AAD"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043" w:type="dxa"/>
            <w:shd w:val="clear" w:color="auto" w:fill="auto"/>
            <w:noWrap/>
          </w:tcPr>
          <w:p w14:paraId="0C96CFA0" w14:textId="77777777" w:rsidR="008930CB" w:rsidRPr="00A71133" w:rsidRDefault="008930CB" w:rsidP="00A32BBA">
            <w:pPr>
              <w:widowControl/>
              <w:rPr>
                <w:rFonts w:ascii="Times New Roman" w:eastAsia="等线" w:hAnsi="Times New Roman" w:cs="Times New Roman"/>
                <w:color w:val="000000"/>
                <w:kern w:val="0"/>
                <w:sz w:val="20"/>
                <w:szCs w:val="20"/>
              </w:rPr>
            </w:pPr>
          </w:p>
        </w:tc>
      </w:tr>
      <w:tr w:rsidR="008930CB" w:rsidRPr="00A71133" w14:paraId="209F613B" w14:textId="77777777" w:rsidTr="00A32BBA">
        <w:trPr>
          <w:trHeight w:val="295"/>
        </w:trPr>
        <w:tc>
          <w:tcPr>
            <w:tcW w:w="1207" w:type="dxa"/>
            <w:vMerge w:val="restart"/>
            <w:shd w:val="clear" w:color="auto" w:fill="auto"/>
            <w:noWrap/>
            <w:vAlign w:val="center"/>
          </w:tcPr>
          <w:p w14:paraId="1246924B" w14:textId="77777777" w:rsidR="008930CB" w:rsidRPr="00A71133" w:rsidRDefault="008930CB" w:rsidP="00A32BBA">
            <w:pPr>
              <w:widowControl/>
              <w:rPr>
                <w:rFonts w:ascii="Times New Roman" w:eastAsia="等线" w:hAnsi="Times New Roman" w:cs="Times New Roman"/>
                <w:color w:val="000000"/>
                <w:kern w:val="0"/>
                <w:sz w:val="20"/>
                <w:szCs w:val="20"/>
              </w:rPr>
            </w:pPr>
            <w:proofErr w:type="spellStart"/>
            <w:r w:rsidRPr="00A71133">
              <w:rPr>
                <w:rFonts w:ascii="Times New Roman" w:eastAsia="等线" w:hAnsi="Times New Roman" w:cs="Times New Roman"/>
                <w:color w:val="000000"/>
                <w:kern w:val="0"/>
                <w:sz w:val="20"/>
                <w:szCs w:val="20"/>
              </w:rPr>
              <w:t>Pg</w:t>
            </w:r>
            <w:proofErr w:type="spellEnd"/>
          </w:p>
        </w:tc>
        <w:tc>
          <w:tcPr>
            <w:tcW w:w="1407" w:type="dxa"/>
            <w:shd w:val="clear" w:color="auto" w:fill="auto"/>
            <w:noWrap/>
          </w:tcPr>
          <w:p w14:paraId="38670E81"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graminoid</w:t>
            </w:r>
          </w:p>
        </w:tc>
        <w:tc>
          <w:tcPr>
            <w:tcW w:w="1971" w:type="dxa"/>
            <w:shd w:val="clear" w:color="auto" w:fill="auto"/>
            <w:noWrap/>
          </w:tcPr>
          <w:p w14:paraId="64A43AB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1.17±0.07a**</w:t>
            </w:r>
          </w:p>
        </w:tc>
        <w:tc>
          <w:tcPr>
            <w:tcW w:w="1864" w:type="dxa"/>
            <w:shd w:val="clear" w:color="auto" w:fill="auto"/>
            <w:noWrap/>
          </w:tcPr>
          <w:p w14:paraId="0B6E3044"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0.90±0.03b***</w:t>
            </w:r>
          </w:p>
        </w:tc>
        <w:tc>
          <w:tcPr>
            <w:tcW w:w="1867" w:type="dxa"/>
            <w:shd w:val="clear" w:color="auto" w:fill="auto"/>
            <w:noWrap/>
          </w:tcPr>
          <w:p w14:paraId="1D3E5EBF"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0.98±0.05b***</w:t>
            </w:r>
          </w:p>
        </w:tc>
        <w:tc>
          <w:tcPr>
            <w:tcW w:w="236" w:type="dxa"/>
          </w:tcPr>
          <w:p w14:paraId="7CC58825"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4104ED93"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1</w:t>
            </w:r>
            <w:r w:rsidRPr="00A71133">
              <w:rPr>
                <w:rFonts w:ascii="Times New Roman" w:eastAsia="等线" w:hAnsi="Times New Roman" w:cs="Times New Roman"/>
                <w:b/>
                <w:bCs/>
                <w:color w:val="000000"/>
                <w:kern w:val="0"/>
                <w:sz w:val="20"/>
                <w:szCs w:val="20"/>
              </w:rPr>
              <w:t>41.037</w:t>
            </w:r>
          </w:p>
        </w:tc>
        <w:tc>
          <w:tcPr>
            <w:tcW w:w="887" w:type="dxa"/>
            <w:shd w:val="clear" w:color="auto" w:fill="auto"/>
            <w:noWrap/>
          </w:tcPr>
          <w:p w14:paraId="751AFD3C"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&lt;</w:t>
            </w:r>
            <w:r w:rsidRPr="00A71133">
              <w:rPr>
                <w:rFonts w:ascii="Times New Roman" w:eastAsia="等线" w:hAnsi="Times New Roman" w:cs="Times New Roman"/>
                <w:b/>
                <w:bCs/>
                <w:color w:val="000000"/>
                <w:kern w:val="0"/>
                <w:sz w:val="20"/>
                <w:szCs w:val="20"/>
              </w:rPr>
              <w:t>0.001</w:t>
            </w:r>
          </w:p>
        </w:tc>
        <w:tc>
          <w:tcPr>
            <w:tcW w:w="252" w:type="dxa"/>
            <w:shd w:val="clear" w:color="auto" w:fill="auto"/>
            <w:noWrap/>
          </w:tcPr>
          <w:p w14:paraId="2771E906"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58055954"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.253</w:t>
            </w:r>
          </w:p>
        </w:tc>
        <w:tc>
          <w:tcPr>
            <w:tcW w:w="878" w:type="dxa"/>
            <w:shd w:val="clear" w:color="auto" w:fill="auto"/>
            <w:noWrap/>
          </w:tcPr>
          <w:p w14:paraId="6040D6A9"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.616</w:t>
            </w:r>
          </w:p>
        </w:tc>
        <w:tc>
          <w:tcPr>
            <w:tcW w:w="236" w:type="dxa"/>
          </w:tcPr>
          <w:p w14:paraId="327807D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41D23D11"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7</w:t>
            </w:r>
            <w:r w:rsidRPr="00A71133">
              <w:rPr>
                <w:rFonts w:ascii="Times New Roman" w:eastAsia="等线" w:hAnsi="Times New Roman" w:cs="Times New Roman"/>
                <w:b/>
                <w:bCs/>
                <w:color w:val="000000"/>
                <w:kern w:val="0"/>
                <w:sz w:val="20"/>
                <w:szCs w:val="20"/>
              </w:rPr>
              <w:t>.896</w:t>
            </w:r>
          </w:p>
        </w:tc>
        <w:tc>
          <w:tcPr>
            <w:tcW w:w="1043" w:type="dxa"/>
            <w:shd w:val="clear" w:color="auto" w:fill="auto"/>
            <w:noWrap/>
          </w:tcPr>
          <w:p w14:paraId="397D8D38"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0</w:t>
            </w:r>
            <w:r w:rsidRPr="00A71133">
              <w:rPr>
                <w:rFonts w:ascii="Times New Roman" w:eastAsia="等线" w:hAnsi="Times New Roman" w:cs="Times New Roman"/>
                <w:b/>
                <w:bCs/>
                <w:color w:val="000000"/>
                <w:kern w:val="0"/>
                <w:sz w:val="20"/>
                <w:szCs w:val="20"/>
              </w:rPr>
              <w:t>.006</w:t>
            </w:r>
          </w:p>
        </w:tc>
      </w:tr>
      <w:tr w:rsidR="008930CB" w:rsidRPr="00A71133" w14:paraId="0177D446" w14:textId="77777777" w:rsidTr="00A32BBA">
        <w:trPr>
          <w:trHeight w:val="295"/>
        </w:trPr>
        <w:tc>
          <w:tcPr>
            <w:tcW w:w="1207" w:type="dxa"/>
            <w:vMerge/>
            <w:vAlign w:val="center"/>
          </w:tcPr>
          <w:p w14:paraId="1D61DDA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shd w:val="clear" w:color="auto" w:fill="auto"/>
            <w:noWrap/>
          </w:tcPr>
          <w:p w14:paraId="4E80A1D0"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forb</w:t>
            </w:r>
          </w:p>
        </w:tc>
        <w:tc>
          <w:tcPr>
            <w:tcW w:w="1971" w:type="dxa"/>
            <w:shd w:val="clear" w:color="auto" w:fill="auto"/>
            <w:noWrap/>
          </w:tcPr>
          <w:p w14:paraId="37CC7C1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1.49±0.07A</w:t>
            </w:r>
          </w:p>
        </w:tc>
        <w:tc>
          <w:tcPr>
            <w:tcW w:w="1864" w:type="dxa"/>
            <w:shd w:val="clear" w:color="auto" w:fill="auto"/>
            <w:noWrap/>
          </w:tcPr>
          <w:p w14:paraId="3AC205F4"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1.66±0.05A</w:t>
            </w:r>
          </w:p>
        </w:tc>
        <w:tc>
          <w:tcPr>
            <w:tcW w:w="1867" w:type="dxa"/>
            <w:shd w:val="clear" w:color="auto" w:fill="auto"/>
            <w:noWrap/>
          </w:tcPr>
          <w:p w14:paraId="406B3BEE"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1.66±0.05A</w:t>
            </w:r>
          </w:p>
        </w:tc>
        <w:tc>
          <w:tcPr>
            <w:tcW w:w="236" w:type="dxa"/>
          </w:tcPr>
          <w:p w14:paraId="6CE6EE9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725B8ACA"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887" w:type="dxa"/>
            <w:shd w:val="clear" w:color="auto" w:fill="auto"/>
            <w:noWrap/>
          </w:tcPr>
          <w:p w14:paraId="3CE85E4B"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252" w:type="dxa"/>
            <w:shd w:val="clear" w:color="auto" w:fill="auto"/>
            <w:noWrap/>
          </w:tcPr>
          <w:p w14:paraId="39764747"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0999351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78" w:type="dxa"/>
            <w:shd w:val="clear" w:color="auto" w:fill="auto"/>
            <w:noWrap/>
          </w:tcPr>
          <w:p w14:paraId="55960247"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36" w:type="dxa"/>
          </w:tcPr>
          <w:p w14:paraId="76E2389A"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5FA271D7"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043" w:type="dxa"/>
            <w:shd w:val="clear" w:color="auto" w:fill="auto"/>
            <w:noWrap/>
          </w:tcPr>
          <w:p w14:paraId="75F635B8" w14:textId="77777777" w:rsidR="008930CB" w:rsidRPr="00A71133" w:rsidRDefault="008930CB" w:rsidP="00A32BBA">
            <w:pPr>
              <w:widowControl/>
              <w:rPr>
                <w:rFonts w:ascii="Times New Roman" w:eastAsia="等线" w:hAnsi="Times New Roman" w:cs="Times New Roman"/>
                <w:color w:val="000000"/>
                <w:kern w:val="0"/>
                <w:sz w:val="20"/>
                <w:szCs w:val="20"/>
              </w:rPr>
            </w:pPr>
          </w:p>
        </w:tc>
      </w:tr>
      <w:tr w:rsidR="008930CB" w:rsidRPr="00A71133" w14:paraId="6A404B4A" w14:textId="77777777" w:rsidTr="00A32BBA">
        <w:trPr>
          <w:trHeight w:val="295"/>
        </w:trPr>
        <w:tc>
          <w:tcPr>
            <w:tcW w:w="1207" w:type="dxa"/>
            <w:vMerge w:val="restart"/>
            <w:shd w:val="clear" w:color="auto" w:fill="auto"/>
            <w:noWrap/>
            <w:vAlign w:val="center"/>
          </w:tcPr>
          <w:p w14:paraId="6D1741CA"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[N:P]g</w:t>
            </w:r>
          </w:p>
        </w:tc>
        <w:tc>
          <w:tcPr>
            <w:tcW w:w="1407" w:type="dxa"/>
            <w:shd w:val="clear" w:color="auto" w:fill="auto"/>
            <w:noWrap/>
          </w:tcPr>
          <w:p w14:paraId="3043E3B6"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graminoid</w:t>
            </w:r>
          </w:p>
        </w:tc>
        <w:tc>
          <w:tcPr>
            <w:tcW w:w="1971" w:type="dxa"/>
            <w:shd w:val="clear" w:color="auto" w:fill="auto"/>
            <w:noWrap/>
          </w:tcPr>
          <w:p w14:paraId="37838FC4"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12.47±0.83b</w:t>
            </w:r>
            <w:r w:rsidRPr="00A71133">
              <w:rPr>
                <w:rFonts w:ascii="Times New Roman" w:eastAsia="等线" w:hAnsi="Times New Roman" w:cs="Times New Roman" w:hint="eastAsia"/>
                <w:color w:val="000000"/>
                <w:kern w:val="0"/>
                <w:sz w:val="20"/>
                <w:szCs w:val="20"/>
                <w:vertAlign w:val="superscript"/>
              </w:rPr>
              <w:t>ns</w:t>
            </w:r>
          </w:p>
        </w:tc>
        <w:tc>
          <w:tcPr>
            <w:tcW w:w="1864" w:type="dxa"/>
            <w:shd w:val="clear" w:color="auto" w:fill="auto"/>
            <w:noWrap/>
          </w:tcPr>
          <w:p w14:paraId="4D2F1317"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18.29±0.96a***</w:t>
            </w:r>
          </w:p>
        </w:tc>
        <w:tc>
          <w:tcPr>
            <w:tcW w:w="1867" w:type="dxa"/>
            <w:shd w:val="clear" w:color="auto" w:fill="auto"/>
            <w:noWrap/>
          </w:tcPr>
          <w:p w14:paraId="21FC3EB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15.87±0.37a**</w:t>
            </w:r>
          </w:p>
        </w:tc>
        <w:tc>
          <w:tcPr>
            <w:tcW w:w="236" w:type="dxa"/>
          </w:tcPr>
          <w:p w14:paraId="64FF82E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394E5C4B"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5</w:t>
            </w:r>
            <w:r w:rsidRPr="00A71133">
              <w:rPr>
                <w:rFonts w:ascii="Times New Roman" w:eastAsia="等线" w:hAnsi="Times New Roman" w:cs="Times New Roman"/>
                <w:b/>
                <w:bCs/>
                <w:color w:val="000000"/>
                <w:kern w:val="0"/>
                <w:sz w:val="20"/>
                <w:szCs w:val="20"/>
              </w:rPr>
              <w:t>.230</w:t>
            </w:r>
          </w:p>
        </w:tc>
        <w:tc>
          <w:tcPr>
            <w:tcW w:w="887" w:type="dxa"/>
            <w:shd w:val="clear" w:color="auto" w:fill="auto"/>
            <w:noWrap/>
          </w:tcPr>
          <w:p w14:paraId="0E378ACE"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0</w:t>
            </w:r>
            <w:r w:rsidRPr="00A71133">
              <w:rPr>
                <w:rFonts w:ascii="Times New Roman" w:eastAsia="等线" w:hAnsi="Times New Roman" w:cs="Times New Roman"/>
                <w:b/>
                <w:bCs/>
                <w:color w:val="000000"/>
                <w:kern w:val="0"/>
                <w:sz w:val="20"/>
                <w:szCs w:val="20"/>
              </w:rPr>
              <w:t>.025</w:t>
            </w:r>
          </w:p>
        </w:tc>
        <w:tc>
          <w:tcPr>
            <w:tcW w:w="252" w:type="dxa"/>
            <w:shd w:val="clear" w:color="auto" w:fill="auto"/>
            <w:noWrap/>
          </w:tcPr>
          <w:p w14:paraId="03D4C759"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910" w:type="dxa"/>
            <w:shd w:val="clear" w:color="auto" w:fill="auto"/>
            <w:noWrap/>
          </w:tcPr>
          <w:p w14:paraId="14F051E3"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.831</w:t>
            </w:r>
          </w:p>
        </w:tc>
        <w:tc>
          <w:tcPr>
            <w:tcW w:w="878" w:type="dxa"/>
            <w:shd w:val="clear" w:color="auto" w:fill="auto"/>
            <w:noWrap/>
          </w:tcPr>
          <w:p w14:paraId="62823FEA"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.365</w:t>
            </w:r>
          </w:p>
        </w:tc>
        <w:tc>
          <w:tcPr>
            <w:tcW w:w="236" w:type="dxa"/>
          </w:tcPr>
          <w:p w14:paraId="39DAD4AA"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1B1D63BD"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2</w:t>
            </w:r>
            <w:r w:rsidRPr="00A71133">
              <w:rPr>
                <w:rFonts w:ascii="Times New Roman" w:eastAsia="等线" w:hAnsi="Times New Roman" w:cs="Times New Roman"/>
                <w:color w:val="000000"/>
                <w:kern w:val="0"/>
                <w:sz w:val="20"/>
                <w:szCs w:val="20"/>
              </w:rPr>
              <w:t>.680</w:t>
            </w:r>
          </w:p>
        </w:tc>
        <w:tc>
          <w:tcPr>
            <w:tcW w:w="1043" w:type="dxa"/>
            <w:shd w:val="clear" w:color="auto" w:fill="auto"/>
            <w:noWrap/>
          </w:tcPr>
          <w:p w14:paraId="5188054D"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.105</w:t>
            </w:r>
          </w:p>
        </w:tc>
      </w:tr>
      <w:tr w:rsidR="008930CB" w:rsidRPr="00A71133" w14:paraId="73E255F6" w14:textId="77777777" w:rsidTr="00A32BBA">
        <w:trPr>
          <w:trHeight w:val="295"/>
        </w:trPr>
        <w:tc>
          <w:tcPr>
            <w:tcW w:w="1207" w:type="dxa"/>
            <w:vMerge/>
            <w:vAlign w:val="center"/>
          </w:tcPr>
          <w:p w14:paraId="3F953A70"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shd w:val="clear" w:color="auto" w:fill="auto"/>
            <w:noWrap/>
          </w:tcPr>
          <w:p w14:paraId="5AEFAB62"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forb</w:t>
            </w:r>
          </w:p>
        </w:tc>
        <w:tc>
          <w:tcPr>
            <w:tcW w:w="1971" w:type="dxa"/>
            <w:shd w:val="clear" w:color="auto" w:fill="auto"/>
            <w:noWrap/>
          </w:tcPr>
          <w:p w14:paraId="378EC07E"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14.80±1.61A</w:t>
            </w:r>
          </w:p>
        </w:tc>
        <w:tc>
          <w:tcPr>
            <w:tcW w:w="1864" w:type="dxa"/>
            <w:shd w:val="clear" w:color="auto" w:fill="auto"/>
            <w:noWrap/>
          </w:tcPr>
          <w:p w14:paraId="7A7B7F35"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11.84±0.49B</w:t>
            </w:r>
          </w:p>
        </w:tc>
        <w:tc>
          <w:tcPr>
            <w:tcW w:w="1867" w:type="dxa"/>
            <w:shd w:val="clear" w:color="auto" w:fill="auto"/>
            <w:noWrap/>
          </w:tcPr>
          <w:p w14:paraId="6ECC017F"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14.11±0.31AB</w:t>
            </w:r>
          </w:p>
        </w:tc>
        <w:tc>
          <w:tcPr>
            <w:tcW w:w="236" w:type="dxa"/>
          </w:tcPr>
          <w:p w14:paraId="23625F0C"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0FE51738"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87" w:type="dxa"/>
            <w:shd w:val="clear" w:color="auto" w:fill="auto"/>
            <w:noWrap/>
          </w:tcPr>
          <w:p w14:paraId="62B87A3C"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52" w:type="dxa"/>
            <w:shd w:val="clear" w:color="auto" w:fill="auto"/>
            <w:noWrap/>
          </w:tcPr>
          <w:p w14:paraId="5A364728"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6F54B0EE"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78" w:type="dxa"/>
            <w:shd w:val="clear" w:color="auto" w:fill="auto"/>
            <w:noWrap/>
          </w:tcPr>
          <w:p w14:paraId="1F148DC7"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36" w:type="dxa"/>
          </w:tcPr>
          <w:p w14:paraId="728FD3BF"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12BB3908"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043" w:type="dxa"/>
            <w:shd w:val="clear" w:color="auto" w:fill="auto"/>
            <w:noWrap/>
          </w:tcPr>
          <w:p w14:paraId="33879816" w14:textId="77777777" w:rsidR="008930CB" w:rsidRPr="00A71133" w:rsidRDefault="008930CB" w:rsidP="00A32BBA">
            <w:pPr>
              <w:widowControl/>
              <w:rPr>
                <w:rFonts w:ascii="Times New Roman" w:eastAsia="等线" w:hAnsi="Times New Roman" w:cs="Times New Roman"/>
                <w:color w:val="000000"/>
                <w:kern w:val="0"/>
                <w:sz w:val="20"/>
                <w:szCs w:val="20"/>
              </w:rPr>
            </w:pPr>
          </w:p>
        </w:tc>
      </w:tr>
      <w:tr w:rsidR="008930CB" w:rsidRPr="00A71133" w14:paraId="7020E08D" w14:textId="77777777" w:rsidTr="00A32BBA">
        <w:trPr>
          <w:trHeight w:val="295"/>
        </w:trPr>
        <w:tc>
          <w:tcPr>
            <w:tcW w:w="1207" w:type="dxa"/>
            <w:vMerge w:val="restart"/>
            <w:shd w:val="clear" w:color="auto" w:fill="auto"/>
            <w:noWrap/>
            <w:vAlign w:val="center"/>
          </w:tcPr>
          <w:p w14:paraId="4D08B3A1"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Ns</w:t>
            </w:r>
          </w:p>
        </w:tc>
        <w:tc>
          <w:tcPr>
            <w:tcW w:w="1407" w:type="dxa"/>
            <w:shd w:val="clear" w:color="auto" w:fill="auto"/>
            <w:noWrap/>
          </w:tcPr>
          <w:p w14:paraId="61E00BAA"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graminoid</w:t>
            </w:r>
          </w:p>
        </w:tc>
        <w:tc>
          <w:tcPr>
            <w:tcW w:w="1971" w:type="dxa"/>
            <w:shd w:val="clear" w:color="auto" w:fill="auto"/>
            <w:noWrap/>
          </w:tcPr>
          <w:p w14:paraId="6B2C7357"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10.15±1.04a***</w:t>
            </w:r>
          </w:p>
        </w:tc>
        <w:tc>
          <w:tcPr>
            <w:tcW w:w="1864" w:type="dxa"/>
            <w:shd w:val="clear" w:color="auto" w:fill="auto"/>
            <w:noWrap/>
          </w:tcPr>
          <w:p w14:paraId="2351B0BE"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9.10±0.74a***</w:t>
            </w:r>
          </w:p>
        </w:tc>
        <w:tc>
          <w:tcPr>
            <w:tcW w:w="1867" w:type="dxa"/>
            <w:shd w:val="clear" w:color="auto" w:fill="auto"/>
            <w:noWrap/>
          </w:tcPr>
          <w:p w14:paraId="0FF61E4D"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11.83±0.84a***</w:t>
            </w:r>
          </w:p>
        </w:tc>
        <w:tc>
          <w:tcPr>
            <w:tcW w:w="236" w:type="dxa"/>
          </w:tcPr>
          <w:p w14:paraId="6FF52911"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2B355AC0"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5</w:t>
            </w:r>
            <w:r w:rsidRPr="00A71133">
              <w:rPr>
                <w:rFonts w:ascii="Times New Roman" w:eastAsia="等线" w:hAnsi="Times New Roman" w:cs="Times New Roman"/>
                <w:b/>
                <w:bCs/>
                <w:color w:val="000000"/>
                <w:kern w:val="0"/>
                <w:sz w:val="20"/>
                <w:szCs w:val="20"/>
              </w:rPr>
              <w:t>0.004</w:t>
            </w:r>
          </w:p>
        </w:tc>
        <w:tc>
          <w:tcPr>
            <w:tcW w:w="887" w:type="dxa"/>
            <w:shd w:val="clear" w:color="auto" w:fill="auto"/>
            <w:noWrap/>
          </w:tcPr>
          <w:p w14:paraId="38E74F0B"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&lt;</w:t>
            </w:r>
            <w:r w:rsidRPr="00A71133">
              <w:rPr>
                <w:rFonts w:ascii="Times New Roman" w:eastAsia="等线" w:hAnsi="Times New Roman" w:cs="Times New Roman"/>
                <w:b/>
                <w:bCs/>
                <w:color w:val="000000"/>
                <w:kern w:val="0"/>
                <w:sz w:val="20"/>
                <w:szCs w:val="20"/>
              </w:rPr>
              <w:t>0.001</w:t>
            </w:r>
          </w:p>
        </w:tc>
        <w:tc>
          <w:tcPr>
            <w:tcW w:w="252" w:type="dxa"/>
            <w:shd w:val="clear" w:color="auto" w:fill="auto"/>
            <w:noWrap/>
          </w:tcPr>
          <w:p w14:paraId="1CD023ED"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77FF0726"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9</w:t>
            </w:r>
            <w:r w:rsidRPr="00A71133">
              <w:rPr>
                <w:rFonts w:ascii="Times New Roman" w:eastAsia="等线" w:hAnsi="Times New Roman" w:cs="Times New Roman"/>
                <w:b/>
                <w:bCs/>
                <w:color w:val="000000"/>
                <w:kern w:val="0"/>
                <w:sz w:val="20"/>
                <w:szCs w:val="20"/>
              </w:rPr>
              <w:t>.658</w:t>
            </w:r>
          </w:p>
        </w:tc>
        <w:tc>
          <w:tcPr>
            <w:tcW w:w="878" w:type="dxa"/>
            <w:shd w:val="clear" w:color="auto" w:fill="auto"/>
            <w:noWrap/>
          </w:tcPr>
          <w:p w14:paraId="0DC224A9"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0</w:t>
            </w:r>
            <w:r w:rsidRPr="00A71133">
              <w:rPr>
                <w:rFonts w:ascii="Times New Roman" w:eastAsia="等线" w:hAnsi="Times New Roman" w:cs="Times New Roman"/>
                <w:b/>
                <w:bCs/>
                <w:color w:val="000000"/>
                <w:kern w:val="0"/>
                <w:sz w:val="20"/>
                <w:szCs w:val="20"/>
              </w:rPr>
              <w:t>.002</w:t>
            </w:r>
          </w:p>
        </w:tc>
        <w:tc>
          <w:tcPr>
            <w:tcW w:w="236" w:type="dxa"/>
          </w:tcPr>
          <w:p w14:paraId="6C05119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19803EB9"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.435</w:t>
            </w:r>
          </w:p>
        </w:tc>
        <w:tc>
          <w:tcPr>
            <w:tcW w:w="1043" w:type="dxa"/>
            <w:shd w:val="clear" w:color="auto" w:fill="auto"/>
            <w:noWrap/>
          </w:tcPr>
          <w:p w14:paraId="67F2FEAB"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.511</w:t>
            </w:r>
          </w:p>
        </w:tc>
      </w:tr>
      <w:tr w:rsidR="008930CB" w:rsidRPr="00A71133" w14:paraId="13247788" w14:textId="77777777" w:rsidTr="00A32BBA">
        <w:trPr>
          <w:trHeight w:val="295"/>
        </w:trPr>
        <w:tc>
          <w:tcPr>
            <w:tcW w:w="1207" w:type="dxa"/>
            <w:vMerge/>
            <w:vAlign w:val="center"/>
          </w:tcPr>
          <w:p w14:paraId="385379C8"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shd w:val="clear" w:color="auto" w:fill="auto"/>
            <w:noWrap/>
          </w:tcPr>
          <w:p w14:paraId="7573D188"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forb</w:t>
            </w:r>
          </w:p>
        </w:tc>
        <w:tc>
          <w:tcPr>
            <w:tcW w:w="1971" w:type="dxa"/>
            <w:shd w:val="clear" w:color="auto" w:fill="auto"/>
            <w:noWrap/>
          </w:tcPr>
          <w:p w14:paraId="773A537A"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14.81±0.75B</w:t>
            </w:r>
          </w:p>
        </w:tc>
        <w:tc>
          <w:tcPr>
            <w:tcW w:w="1864" w:type="dxa"/>
            <w:shd w:val="clear" w:color="auto" w:fill="auto"/>
            <w:noWrap/>
          </w:tcPr>
          <w:p w14:paraId="13A15FF1"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13.09±0.62B</w:t>
            </w:r>
          </w:p>
        </w:tc>
        <w:tc>
          <w:tcPr>
            <w:tcW w:w="1867" w:type="dxa"/>
            <w:shd w:val="clear" w:color="auto" w:fill="auto"/>
            <w:noWrap/>
          </w:tcPr>
          <w:p w14:paraId="30EA5454"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17.48±0.63A</w:t>
            </w:r>
          </w:p>
        </w:tc>
        <w:tc>
          <w:tcPr>
            <w:tcW w:w="236" w:type="dxa"/>
          </w:tcPr>
          <w:p w14:paraId="28B1E1B3"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4B2C58EF"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87" w:type="dxa"/>
            <w:shd w:val="clear" w:color="auto" w:fill="auto"/>
            <w:noWrap/>
          </w:tcPr>
          <w:p w14:paraId="7F5C988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52" w:type="dxa"/>
            <w:shd w:val="clear" w:color="auto" w:fill="auto"/>
            <w:noWrap/>
          </w:tcPr>
          <w:p w14:paraId="1E5516E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415BEF30"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78" w:type="dxa"/>
            <w:shd w:val="clear" w:color="auto" w:fill="auto"/>
            <w:noWrap/>
          </w:tcPr>
          <w:p w14:paraId="7EF3CD6A"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36" w:type="dxa"/>
          </w:tcPr>
          <w:p w14:paraId="6A1C5890"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5C7E6C4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043" w:type="dxa"/>
            <w:shd w:val="clear" w:color="auto" w:fill="auto"/>
            <w:noWrap/>
          </w:tcPr>
          <w:p w14:paraId="790D6D3B" w14:textId="77777777" w:rsidR="008930CB" w:rsidRPr="00A71133" w:rsidRDefault="008930CB" w:rsidP="00A32BBA">
            <w:pPr>
              <w:widowControl/>
              <w:rPr>
                <w:rFonts w:ascii="Times New Roman" w:eastAsia="等线" w:hAnsi="Times New Roman" w:cs="Times New Roman"/>
                <w:color w:val="000000"/>
                <w:kern w:val="0"/>
                <w:sz w:val="20"/>
                <w:szCs w:val="20"/>
              </w:rPr>
            </w:pPr>
          </w:p>
        </w:tc>
      </w:tr>
      <w:tr w:rsidR="008930CB" w:rsidRPr="00A71133" w14:paraId="11D1B1DA" w14:textId="77777777" w:rsidTr="00A32BBA">
        <w:trPr>
          <w:trHeight w:val="295"/>
        </w:trPr>
        <w:tc>
          <w:tcPr>
            <w:tcW w:w="1207" w:type="dxa"/>
            <w:vMerge w:val="restart"/>
            <w:shd w:val="clear" w:color="auto" w:fill="auto"/>
            <w:noWrap/>
            <w:vAlign w:val="center"/>
          </w:tcPr>
          <w:p w14:paraId="790A630F"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Ps</w:t>
            </w:r>
          </w:p>
        </w:tc>
        <w:tc>
          <w:tcPr>
            <w:tcW w:w="1407" w:type="dxa"/>
            <w:shd w:val="clear" w:color="auto" w:fill="auto"/>
            <w:noWrap/>
          </w:tcPr>
          <w:p w14:paraId="1E8741AB"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graminoid</w:t>
            </w:r>
          </w:p>
        </w:tc>
        <w:tc>
          <w:tcPr>
            <w:tcW w:w="1971" w:type="dxa"/>
            <w:shd w:val="clear" w:color="auto" w:fill="auto"/>
            <w:noWrap/>
          </w:tcPr>
          <w:p w14:paraId="45EF037B"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0.75±0.06a***</w:t>
            </w:r>
          </w:p>
        </w:tc>
        <w:tc>
          <w:tcPr>
            <w:tcW w:w="1864" w:type="dxa"/>
            <w:shd w:val="clear" w:color="auto" w:fill="auto"/>
            <w:noWrap/>
          </w:tcPr>
          <w:p w14:paraId="7D654EA9"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0.47±0.05b**</w:t>
            </w:r>
          </w:p>
        </w:tc>
        <w:tc>
          <w:tcPr>
            <w:tcW w:w="1867" w:type="dxa"/>
            <w:shd w:val="clear" w:color="auto" w:fill="auto"/>
            <w:noWrap/>
          </w:tcPr>
          <w:p w14:paraId="3287A673"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0.74±0.03a***</w:t>
            </w:r>
          </w:p>
        </w:tc>
        <w:tc>
          <w:tcPr>
            <w:tcW w:w="236" w:type="dxa"/>
          </w:tcPr>
          <w:p w14:paraId="190969C3"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192B2B78"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6</w:t>
            </w:r>
            <w:r w:rsidRPr="00A71133">
              <w:rPr>
                <w:rFonts w:ascii="Times New Roman" w:eastAsia="等线" w:hAnsi="Times New Roman" w:cs="Times New Roman"/>
                <w:b/>
                <w:bCs/>
                <w:color w:val="000000"/>
                <w:kern w:val="0"/>
                <w:sz w:val="20"/>
                <w:szCs w:val="20"/>
              </w:rPr>
              <w:t>9.744</w:t>
            </w:r>
          </w:p>
        </w:tc>
        <w:tc>
          <w:tcPr>
            <w:tcW w:w="887" w:type="dxa"/>
            <w:shd w:val="clear" w:color="auto" w:fill="auto"/>
            <w:noWrap/>
          </w:tcPr>
          <w:p w14:paraId="282F54F7"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&lt;</w:t>
            </w:r>
            <w:r w:rsidRPr="00A71133">
              <w:rPr>
                <w:rFonts w:ascii="Times New Roman" w:eastAsia="等线" w:hAnsi="Times New Roman" w:cs="Times New Roman"/>
                <w:b/>
                <w:bCs/>
                <w:color w:val="000000"/>
                <w:kern w:val="0"/>
                <w:sz w:val="20"/>
                <w:szCs w:val="20"/>
              </w:rPr>
              <w:t>0.001</w:t>
            </w:r>
          </w:p>
        </w:tc>
        <w:tc>
          <w:tcPr>
            <w:tcW w:w="252" w:type="dxa"/>
            <w:shd w:val="clear" w:color="auto" w:fill="auto"/>
            <w:noWrap/>
          </w:tcPr>
          <w:p w14:paraId="3ADB4E50"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0A5830F4"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3</w:t>
            </w:r>
            <w:r w:rsidRPr="00A71133">
              <w:rPr>
                <w:rFonts w:ascii="Times New Roman" w:eastAsia="等线" w:hAnsi="Times New Roman" w:cs="Times New Roman"/>
                <w:b/>
                <w:bCs/>
                <w:color w:val="000000"/>
                <w:kern w:val="0"/>
                <w:sz w:val="20"/>
                <w:szCs w:val="20"/>
              </w:rPr>
              <w:t>.133</w:t>
            </w:r>
          </w:p>
        </w:tc>
        <w:tc>
          <w:tcPr>
            <w:tcW w:w="878" w:type="dxa"/>
            <w:shd w:val="clear" w:color="auto" w:fill="auto"/>
            <w:noWrap/>
          </w:tcPr>
          <w:p w14:paraId="745AA49A"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b/>
                <w:bCs/>
                <w:color w:val="000000"/>
                <w:kern w:val="0"/>
                <w:sz w:val="20"/>
                <w:szCs w:val="20"/>
              </w:rPr>
              <w:t>0</w:t>
            </w:r>
            <w:r w:rsidRPr="00A71133">
              <w:rPr>
                <w:rFonts w:ascii="Times New Roman" w:eastAsia="等线" w:hAnsi="Times New Roman" w:cs="Times New Roman"/>
                <w:b/>
                <w:bCs/>
                <w:color w:val="000000"/>
                <w:kern w:val="0"/>
                <w:sz w:val="20"/>
                <w:szCs w:val="20"/>
              </w:rPr>
              <w:t>.080</w:t>
            </w:r>
          </w:p>
        </w:tc>
        <w:tc>
          <w:tcPr>
            <w:tcW w:w="236" w:type="dxa"/>
          </w:tcPr>
          <w:p w14:paraId="5469AF57"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75787F22"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1</w:t>
            </w:r>
            <w:r w:rsidRPr="00A71133">
              <w:rPr>
                <w:rFonts w:ascii="Times New Roman" w:eastAsia="等线" w:hAnsi="Times New Roman" w:cs="Times New Roman"/>
                <w:color w:val="000000"/>
                <w:kern w:val="0"/>
                <w:sz w:val="20"/>
                <w:szCs w:val="20"/>
              </w:rPr>
              <w:t>.575</w:t>
            </w:r>
          </w:p>
        </w:tc>
        <w:tc>
          <w:tcPr>
            <w:tcW w:w="1043" w:type="dxa"/>
            <w:shd w:val="clear" w:color="auto" w:fill="auto"/>
            <w:noWrap/>
          </w:tcPr>
          <w:p w14:paraId="2AB23616"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.213</w:t>
            </w:r>
          </w:p>
        </w:tc>
      </w:tr>
      <w:tr w:rsidR="008930CB" w:rsidRPr="00A71133" w14:paraId="48D0C11A" w14:textId="77777777" w:rsidTr="00A32BBA">
        <w:trPr>
          <w:trHeight w:val="295"/>
        </w:trPr>
        <w:tc>
          <w:tcPr>
            <w:tcW w:w="1207" w:type="dxa"/>
            <w:vMerge/>
            <w:vAlign w:val="center"/>
          </w:tcPr>
          <w:p w14:paraId="34A0B317"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shd w:val="clear" w:color="auto" w:fill="auto"/>
            <w:noWrap/>
          </w:tcPr>
          <w:p w14:paraId="14034A5B"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forb</w:t>
            </w:r>
          </w:p>
        </w:tc>
        <w:tc>
          <w:tcPr>
            <w:tcW w:w="1971" w:type="dxa"/>
            <w:shd w:val="clear" w:color="auto" w:fill="auto"/>
            <w:noWrap/>
          </w:tcPr>
          <w:p w14:paraId="5D484618"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1.11±0.03AB</w:t>
            </w:r>
          </w:p>
        </w:tc>
        <w:tc>
          <w:tcPr>
            <w:tcW w:w="1864" w:type="dxa"/>
            <w:shd w:val="clear" w:color="auto" w:fill="auto"/>
            <w:noWrap/>
          </w:tcPr>
          <w:p w14:paraId="38B5FA09"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0.97±0.09B</w:t>
            </w:r>
          </w:p>
        </w:tc>
        <w:tc>
          <w:tcPr>
            <w:tcW w:w="1867" w:type="dxa"/>
            <w:shd w:val="clear" w:color="auto" w:fill="auto"/>
            <w:noWrap/>
          </w:tcPr>
          <w:p w14:paraId="3845F3A7"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1.28±0.05A</w:t>
            </w:r>
          </w:p>
        </w:tc>
        <w:tc>
          <w:tcPr>
            <w:tcW w:w="236" w:type="dxa"/>
          </w:tcPr>
          <w:p w14:paraId="6EA112F9"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3461DB56"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887" w:type="dxa"/>
            <w:shd w:val="clear" w:color="auto" w:fill="auto"/>
            <w:noWrap/>
          </w:tcPr>
          <w:p w14:paraId="292835E7"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252" w:type="dxa"/>
            <w:shd w:val="clear" w:color="auto" w:fill="auto"/>
            <w:noWrap/>
          </w:tcPr>
          <w:p w14:paraId="06A8B996"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11E45AB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78" w:type="dxa"/>
            <w:shd w:val="clear" w:color="auto" w:fill="auto"/>
            <w:noWrap/>
          </w:tcPr>
          <w:p w14:paraId="007963FF"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36" w:type="dxa"/>
          </w:tcPr>
          <w:p w14:paraId="4BFDD99F"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6492742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043" w:type="dxa"/>
            <w:shd w:val="clear" w:color="auto" w:fill="auto"/>
            <w:noWrap/>
          </w:tcPr>
          <w:p w14:paraId="617E640A" w14:textId="77777777" w:rsidR="008930CB" w:rsidRPr="00A71133" w:rsidRDefault="008930CB" w:rsidP="00A32BBA">
            <w:pPr>
              <w:widowControl/>
              <w:rPr>
                <w:rFonts w:ascii="Times New Roman" w:eastAsia="等线" w:hAnsi="Times New Roman" w:cs="Times New Roman"/>
                <w:color w:val="000000"/>
                <w:kern w:val="0"/>
                <w:sz w:val="20"/>
                <w:szCs w:val="20"/>
              </w:rPr>
            </w:pPr>
          </w:p>
        </w:tc>
      </w:tr>
      <w:tr w:rsidR="008930CB" w:rsidRPr="00A71133" w14:paraId="50CE0F16" w14:textId="77777777" w:rsidTr="00A32BBA">
        <w:trPr>
          <w:trHeight w:val="295"/>
        </w:trPr>
        <w:tc>
          <w:tcPr>
            <w:tcW w:w="1207" w:type="dxa"/>
            <w:vMerge w:val="restart"/>
            <w:shd w:val="clear" w:color="auto" w:fill="auto"/>
            <w:noWrap/>
            <w:vAlign w:val="center"/>
          </w:tcPr>
          <w:p w14:paraId="0B8CEAC0"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[N:P]s</w:t>
            </w:r>
          </w:p>
        </w:tc>
        <w:tc>
          <w:tcPr>
            <w:tcW w:w="1407" w:type="dxa"/>
            <w:shd w:val="clear" w:color="auto" w:fill="auto"/>
            <w:noWrap/>
          </w:tcPr>
          <w:p w14:paraId="3816753B"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graminoid</w:t>
            </w:r>
          </w:p>
        </w:tc>
        <w:tc>
          <w:tcPr>
            <w:tcW w:w="1971" w:type="dxa"/>
            <w:shd w:val="clear" w:color="auto" w:fill="auto"/>
            <w:noWrap/>
          </w:tcPr>
          <w:p w14:paraId="509C3C16"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13.84±0.91b</w:t>
            </w:r>
            <w:r w:rsidRPr="00A71133">
              <w:rPr>
                <w:rFonts w:ascii="Times New Roman" w:eastAsia="等线" w:hAnsi="Times New Roman" w:cs="Times New Roman" w:hint="eastAsia"/>
                <w:color w:val="000000"/>
                <w:kern w:val="0"/>
                <w:sz w:val="20"/>
                <w:szCs w:val="20"/>
                <w:vertAlign w:val="superscript"/>
              </w:rPr>
              <w:t>ns</w:t>
            </w:r>
          </w:p>
        </w:tc>
        <w:tc>
          <w:tcPr>
            <w:tcW w:w="1864" w:type="dxa"/>
            <w:shd w:val="clear" w:color="auto" w:fill="auto"/>
            <w:noWrap/>
          </w:tcPr>
          <w:p w14:paraId="14BA082A"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20.83±1.49a*</w:t>
            </w:r>
          </w:p>
        </w:tc>
        <w:tc>
          <w:tcPr>
            <w:tcW w:w="1867" w:type="dxa"/>
            <w:shd w:val="clear" w:color="auto" w:fill="auto"/>
            <w:noWrap/>
          </w:tcPr>
          <w:p w14:paraId="3FD7E383"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15.92±0.87b*</w:t>
            </w:r>
          </w:p>
        </w:tc>
        <w:tc>
          <w:tcPr>
            <w:tcW w:w="236" w:type="dxa"/>
          </w:tcPr>
          <w:p w14:paraId="583FF187"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2821B930"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8</w:t>
            </w:r>
            <w:r w:rsidRPr="00A71133">
              <w:rPr>
                <w:rFonts w:ascii="Times New Roman" w:eastAsia="等线" w:hAnsi="Times New Roman" w:cs="Times New Roman"/>
                <w:b/>
                <w:bCs/>
                <w:color w:val="000000"/>
                <w:kern w:val="0"/>
                <w:sz w:val="20"/>
                <w:szCs w:val="20"/>
              </w:rPr>
              <w:t>.293</w:t>
            </w:r>
          </w:p>
        </w:tc>
        <w:tc>
          <w:tcPr>
            <w:tcW w:w="887" w:type="dxa"/>
            <w:shd w:val="clear" w:color="auto" w:fill="auto"/>
            <w:noWrap/>
          </w:tcPr>
          <w:p w14:paraId="30CA248E"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0</w:t>
            </w:r>
            <w:r w:rsidRPr="00A71133">
              <w:rPr>
                <w:rFonts w:ascii="Times New Roman" w:eastAsia="等线" w:hAnsi="Times New Roman" w:cs="Times New Roman"/>
                <w:b/>
                <w:bCs/>
                <w:color w:val="000000"/>
                <w:kern w:val="0"/>
                <w:sz w:val="20"/>
                <w:szCs w:val="20"/>
              </w:rPr>
              <w:t>.005</w:t>
            </w:r>
          </w:p>
        </w:tc>
        <w:tc>
          <w:tcPr>
            <w:tcW w:w="252" w:type="dxa"/>
            <w:shd w:val="clear" w:color="auto" w:fill="auto"/>
            <w:noWrap/>
          </w:tcPr>
          <w:p w14:paraId="55E92550"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6C496412"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0</w:t>
            </w:r>
            <w:r w:rsidRPr="00A71133">
              <w:rPr>
                <w:rFonts w:ascii="Times New Roman" w:eastAsia="等线" w:hAnsi="Times New Roman" w:cs="Times New Roman"/>
                <w:b/>
                <w:bCs/>
                <w:color w:val="000000"/>
                <w:kern w:val="0"/>
                <w:sz w:val="20"/>
                <w:szCs w:val="20"/>
              </w:rPr>
              <w:t>.401</w:t>
            </w:r>
          </w:p>
        </w:tc>
        <w:tc>
          <w:tcPr>
            <w:tcW w:w="878" w:type="dxa"/>
            <w:shd w:val="clear" w:color="auto" w:fill="auto"/>
            <w:noWrap/>
          </w:tcPr>
          <w:p w14:paraId="569109F6"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b/>
                <w:bCs/>
                <w:color w:val="000000"/>
                <w:kern w:val="0"/>
                <w:sz w:val="20"/>
                <w:szCs w:val="20"/>
              </w:rPr>
              <w:t>0</w:t>
            </w:r>
            <w:r w:rsidRPr="00A71133">
              <w:rPr>
                <w:rFonts w:ascii="Times New Roman" w:eastAsia="等线" w:hAnsi="Times New Roman" w:cs="Times New Roman"/>
                <w:b/>
                <w:bCs/>
                <w:color w:val="000000"/>
                <w:kern w:val="0"/>
                <w:sz w:val="20"/>
                <w:szCs w:val="20"/>
              </w:rPr>
              <w:t>.528</w:t>
            </w:r>
          </w:p>
        </w:tc>
        <w:tc>
          <w:tcPr>
            <w:tcW w:w="236" w:type="dxa"/>
          </w:tcPr>
          <w:p w14:paraId="15381349"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2348A718"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.354</w:t>
            </w:r>
          </w:p>
        </w:tc>
        <w:tc>
          <w:tcPr>
            <w:tcW w:w="1043" w:type="dxa"/>
            <w:shd w:val="clear" w:color="auto" w:fill="auto"/>
            <w:noWrap/>
          </w:tcPr>
          <w:p w14:paraId="353F19D0"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.553</w:t>
            </w:r>
          </w:p>
        </w:tc>
      </w:tr>
      <w:tr w:rsidR="008930CB" w:rsidRPr="00A71133" w14:paraId="4A7753E8" w14:textId="77777777" w:rsidTr="00A32BBA">
        <w:trPr>
          <w:trHeight w:val="295"/>
        </w:trPr>
        <w:tc>
          <w:tcPr>
            <w:tcW w:w="1207" w:type="dxa"/>
            <w:vMerge/>
            <w:tcBorders>
              <w:bottom w:val="dashed" w:sz="4" w:space="0" w:color="auto"/>
            </w:tcBorders>
            <w:vAlign w:val="center"/>
          </w:tcPr>
          <w:p w14:paraId="0C25A69F"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tcBorders>
              <w:bottom w:val="dashed" w:sz="4" w:space="0" w:color="auto"/>
            </w:tcBorders>
            <w:shd w:val="clear" w:color="auto" w:fill="auto"/>
            <w:noWrap/>
          </w:tcPr>
          <w:p w14:paraId="1B75DD42"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forb</w:t>
            </w:r>
          </w:p>
        </w:tc>
        <w:tc>
          <w:tcPr>
            <w:tcW w:w="1971" w:type="dxa"/>
            <w:tcBorders>
              <w:bottom w:val="dashed" w:sz="4" w:space="0" w:color="auto"/>
            </w:tcBorders>
            <w:shd w:val="clear" w:color="auto" w:fill="auto"/>
            <w:noWrap/>
          </w:tcPr>
          <w:p w14:paraId="13B5E8FF"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13.40±0.69A</w:t>
            </w:r>
          </w:p>
        </w:tc>
        <w:tc>
          <w:tcPr>
            <w:tcW w:w="1864" w:type="dxa"/>
            <w:tcBorders>
              <w:bottom w:val="dashed" w:sz="4" w:space="0" w:color="auto"/>
            </w:tcBorders>
            <w:shd w:val="clear" w:color="auto" w:fill="auto"/>
            <w:noWrap/>
          </w:tcPr>
          <w:p w14:paraId="44B84512"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15.51±1.33A</w:t>
            </w:r>
          </w:p>
        </w:tc>
        <w:tc>
          <w:tcPr>
            <w:tcW w:w="1867" w:type="dxa"/>
            <w:tcBorders>
              <w:bottom w:val="dashed" w:sz="4" w:space="0" w:color="auto"/>
            </w:tcBorders>
            <w:shd w:val="clear" w:color="auto" w:fill="auto"/>
            <w:noWrap/>
          </w:tcPr>
          <w:p w14:paraId="6C3E937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13.74±0.35A</w:t>
            </w:r>
          </w:p>
        </w:tc>
        <w:tc>
          <w:tcPr>
            <w:tcW w:w="236" w:type="dxa"/>
            <w:tcBorders>
              <w:bottom w:val="dashed" w:sz="4" w:space="0" w:color="auto"/>
            </w:tcBorders>
          </w:tcPr>
          <w:p w14:paraId="37ACF4F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tcBorders>
              <w:bottom w:val="dashed" w:sz="4" w:space="0" w:color="auto"/>
            </w:tcBorders>
            <w:shd w:val="clear" w:color="auto" w:fill="auto"/>
            <w:noWrap/>
          </w:tcPr>
          <w:p w14:paraId="013F219F"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887" w:type="dxa"/>
            <w:tcBorders>
              <w:bottom w:val="dashed" w:sz="4" w:space="0" w:color="auto"/>
            </w:tcBorders>
            <w:shd w:val="clear" w:color="auto" w:fill="auto"/>
            <w:noWrap/>
          </w:tcPr>
          <w:p w14:paraId="6DF97B78"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252" w:type="dxa"/>
            <w:tcBorders>
              <w:bottom w:val="dashed" w:sz="4" w:space="0" w:color="auto"/>
            </w:tcBorders>
            <w:shd w:val="clear" w:color="auto" w:fill="auto"/>
            <w:noWrap/>
          </w:tcPr>
          <w:p w14:paraId="170298F8"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tcBorders>
              <w:bottom w:val="dashed" w:sz="4" w:space="0" w:color="auto"/>
            </w:tcBorders>
            <w:shd w:val="clear" w:color="auto" w:fill="auto"/>
            <w:noWrap/>
          </w:tcPr>
          <w:p w14:paraId="59B3102C"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878" w:type="dxa"/>
            <w:tcBorders>
              <w:bottom w:val="dashed" w:sz="4" w:space="0" w:color="auto"/>
            </w:tcBorders>
            <w:shd w:val="clear" w:color="auto" w:fill="auto"/>
            <w:noWrap/>
          </w:tcPr>
          <w:p w14:paraId="45805D06"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236" w:type="dxa"/>
            <w:tcBorders>
              <w:bottom w:val="dashed" w:sz="4" w:space="0" w:color="auto"/>
            </w:tcBorders>
          </w:tcPr>
          <w:p w14:paraId="687D7E60"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tcBorders>
              <w:bottom w:val="dashed" w:sz="4" w:space="0" w:color="auto"/>
            </w:tcBorders>
            <w:shd w:val="clear" w:color="auto" w:fill="auto"/>
            <w:noWrap/>
          </w:tcPr>
          <w:p w14:paraId="316628D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043" w:type="dxa"/>
            <w:tcBorders>
              <w:bottom w:val="dashed" w:sz="4" w:space="0" w:color="auto"/>
            </w:tcBorders>
            <w:shd w:val="clear" w:color="auto" w:fill="auto"/>
            <w:noWrap/>
          </w:tcPr>
          <w:p w14:paraId="373A1654" w14:textId="77777777" w:rsidR="008930CB" w:rsidRPr="00A71133" w:rsidRDefault="008930CB" w:rsidP="00A32BBA">
            <w:pPr>
              <w:widowControl/>
              <w:rPr>
                <w:rFonts w:ascii="Times New Roman" w:eastAsia="等线" w:hAnsi="Times New Roman" w:cs="Times New Roman"/>
                <w:color w:val="000000"/>
                <w:kern w:val="0"/>
                <w:sz w:val="20"/>
                <w:szCs w:val="20"/>
              </w:rPr>
            </w:pPr>
          </w:p>
        </w:tc>
      </w:tr>
      <w:tr w:rsidR="008930CB" w:rsidRPr="00A71133" w14:paraId="30A8E4F1" w14:textId="77777777" w:rsidTr="00A32BBA">
        <w:trPr>
          <w:trHeight w:val="295"/>
        </w:trPr>
        <w:tc>
          <w:tcPr>
            <w:tcW w:w="1207" w:type="dxa"/>
            <w:vMerge w:val="restart"/>
            <w:tcBorders>
              <w:top w:val="dashed" w:sz="4" w:space="0" w:color="auto"/>
            </w:tcBorders>
            <w:shd w:val="clear" w:color="auto" w:fill="auto"/>
            <w:noWrap/>
            <w:vAlign w:val="center"/>
          </w:tcPr>
          <w:p w14:paraId="5EDAB862"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NRE</w:t>
            </w:r>
          </w:p>
        </w:tc>
        <w:tc>
          <w:tcPr>
            <w:tcW w:w="1407" w:type="dxa"/>
            <w:tcBorders>
              <w:top w:val="dashed" w:sz="4" w:space="0" w:color="auto"/>
            </w:tcBorders>
            <w:shd w:val="clear" w:color="auto" w:fill="auto"/>
            <w:noWrap/>
          </w:tcPr>
          <w:p w14:paraId="07E05DE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graminoid</w:t>
            </w:r>
          </w:p>
        </w:tc>
        <w:tc>
          <w:tcPr>
            <w:tcW w:w="1971" w:type="dxa"/>
            <w:tcBorders>
              <w:top w:val="dashed" w:sz="4" w:space="0" w:color="auto"/>
            </w:tcBorders>
            <w:shd w:val="clear" w:color="auto" w:fill="auto"/>
            <w:noWrap/>
          </w:tcPr>
          <w:p w14:paraId="457FE3CD"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49.57±3.32ab</w:t>
            </w:r>
            <w:r w:rsidRPr="00A71133">
              <w:rPr>
                <w:rFonts w:ascii="Times New Roman" w:eastAsia="等线" w:hAnsi="Times New Roman" w:cs="Times New Roman" w:hint="eastAsia"/>
                <w:color w:val="000000"/>
                <w:kern w:val="0"/>
                <w:sz w:val="20"/>
                <w:szCs w:val="20"/>
                <w:vertAlign w:val="superscript"/>
              </w:rPr>
              <w:t>ns</w:t>
            </w:r>
          </w:p>
        </w:tc>
        <w:tc>
          <w:tcPr>
            <w:tcW w:w="1864" w:type="dxa"/>
            <w:tcBorders>
              <w:top w:val="dashed" w:sz="4" w:space="0" w:color="auto"/>
            </w:tcBorders>
            <w:shd w:val="clear" w:color="auto" w:fill="auto"/>
            <w:noWrap/>
          </w:tcPr>
          <w:p w14:paraId="56530AB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59.93±2.74a</w:t>
            </w:r>
            <w:r w:rsidRPr="00A71133">
              <w:rPr>
                <w:rFonts w:ascii="Times New Roman" w:eastAsia="等线" w:hAnsi="Times New Roman" w:cs="Times New Roman" w:hint="eastAsia"/>
                <w:color w:val="000000"/>
                <w:kern w:val="0"/>
                <w:sz w:val="20"/>
                <w:szCs w:val="20"/>
                <w:vertAlign w:val="superscript"/>
              </w:rPr>
              <w:t>ns</w:t>
            </w:r>
          </w:p>
        </w:tc>
        <w:tc>
          <w:tcPr>
            <w:tcW w:w="1867" w:type="dxa"/>
            <w:tcBorders>
              <w:top w:val="dashed" w:sz="4" w:space="0" w:color="auto"/>
            </w:tcBorders>
            <w:shd w:val="clear" w:color="auto" w:fill="auto"/>
            <w:noWrap/>
          </w:tcPr>
          <w:p w14:paraId="4ACFB147"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44.83±4.26b</w:t>
            </w:r>
            <w:r w:rsidRPr="00A71133">
              <w:rPr>
                <w:rFonts w:ascii="Times New Roman" w:eastAsia="等线" w:hAnsi="Times New Roman" w:cs="Times New Roman" w:hint="eastAsia"/>
                <w:color w:val="000000"/>
                <w:kern w:val="0"/>
                <w:sz w:val="20"/>
                <w:szCs w:val="20"/>
                <w:vertAlign w:val="superscript"/>
              </w:rPr>
              <w:t>ns</w:t>
            </w:r>
          </w:p>
        </w:tc>
        <w:tc>
          <w:tcPr>
            <w:tcW w:w="236" w:type="dxa"/>
            <w:tcBorders>
              <w:top w:val="dashed" w:sz="4" w:space="0" w:color="auto"/>
            </w:tcBorders>
          </w:tcPr>
          <w:p w14:paraId="1CD0C89D"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tcBorders>
              <w:top w:val="dashed" w:sz="4" w:space="0" w:color="auto"/>
            </w:tcBorders>
            <w:shd w:val="clear" w:color="auto" w:fill="auto"/>
            <w:noWrap/>
          </w:tcPr>
          <w:p w14:paraId="10ACDE05"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.602</w:t>
            </w:r>
          </w:p>
        </w:tc>
        <w:tc>
          <w:tcPr>
            <w:tcW w:w="887" w:type="dxa"/>
            <w:tcBorders>
              <w:top w:val="dashed" w:sz="4" w:space="0" w:color="auto"/>
            </w:tcBorders>
            <w:shd w:val="clear" w:color="auto" w:fill="auto"/>
            <w:noWrap/>
          </w:tcPr>
          <w:p w14:paraId="52CE1505"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.440</w:t>
            </w:r>
          </w:p>
        </w:tc>
        <w:tc>
          <w:tcPr>
            <w:tcW w:w="252" w:type="dxa"/>
            <w:tcBorders>
              <w:top w:val="dashed" w:sz="4" w:space="0" w:color="auto"/>
            </w:tcBorders>
            <w:shd w:val="clear" w:color="auto" w:fill="auto"/>
            <w:noWrap/>
          </w:tcPr>
          <w:p w14:paraId="47094B4A"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tcBorders>
              <w:top w:val="dashed" w:sz="4" w:space="0" w:color="auto"/>
            </w:tcBorders>
            <w:shd w:val="clear" w:color="auto" w:fill="auto"/>
            <w:noWrap/>
          </w:tcPr>
          <w:p w14:paraId="4A9A33FE"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.934</w:t>
            </w:r>
          </w:p>
        </w:tc>
        <w:tc>
          <w:tcPr>
            <w:tcW w:w="878" w:type="dxa"/>
            <w:tcBorders>
              <w:top w:val="dashed" w:sz="4" w:space="0" w:color="auto"/>
            </w:tcBorders>
            <w:shd w:val="clear" w:color="auto" w:fill="auto"/>
            <w:noWrap/>
          </w:tcPr>
          <w:p w14:paraId="18C97683"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.337</w:t>
            </w:r>
          </w:p>
        </w:tc>
        <w:tc>
          <w:tcPr>
            <w:tcW w:w="236" w:type="dxa"/>
            <w:tcBorders>
              <w:top w:val="dashed" w:sz="4" w:space="0" w:color="auto"/>
            </w:tcBorders>
          </w:tcPr>
          <w:p w14:paraId="03D42DE6"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tcBorders>
              <w:top w:val="dashed" w:sz="4" w:space="0" w:color="auto"/>
            </w:tcBorders>
            <w:shd w:val="clear" w:color="auto" w:fill="auto"/>
            <w:noWrap/>
          </w:tcPr>
          <w:p w14:paraId="7DF18DC5"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.763</w:t>
            </w:r>
          </w:p>
        </w:tc>
        <w:tc>
          <w:tcPr>
            <w:tcW w:w="1043" w:type="dxa"/>
            <w:tcBorders>
              <w:top w:val="dashed" w:sz="4" w:space="0" w:color="auto"/>
            </w:tcBorders>
            <w:shd w:val="clear" w:color="auto" w:fill="auto"/>
            <w:noWrap/>
          </w:tcPr>
          <w:p w14:paraId="36D8A7C4"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.385</w:t>
            </w:r>
          </w:p>
        </w:tc>
      </w:tr>
      <w:tr w:rsidR="008930CB" w:rsidRPr="00A71133" w14:paraId="6D019E87" w14:textId="77777777" w:rsidTr="00A32BBA">
        <w:trPr>
          <w:trHeight w:val="295"/>
        </w:trPr>
        <w:tc>
          <w:tcPr>
            <w:tcW w:w="1207" w:type="dxa"/>
            <w:vMerge/>
            <w:vAlign w:val="center"/>
          </w:tcPr>
          <w:p w14:paraId="5A63CA1D"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shd w:val="clear" w:color="auto" w:fill="auto"/>
            <w:noWrap/>
          </w:tcPr>
          <w:p w14:paraId="414DAF33"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forb</w:t>
            </w:r>
          </w:p>
        </w:tc>
        <w:tc>
          <w:tcPr>
            <w:tcW w:w="1971" w:type="dxa"/>
            <w:shd w:val="clear" w:color="auto" w:fill="auto"/>
            <w:noWrap/>
          </w:tcPr>
          <w:p w14:paraId="5C470A3F"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51.95±2.81A</w:t>
            </w:r>
          </w:p>
        </w:tc>
        <w:tc>
          <w:tcPr>
            <w:tcW w:w="1864" w:type="dxa"/>
            <w:shd w:val="clear" w:color="auto" w:fill="auto"/>
            <w:noWrap/>
          </w:tcPr>
          <w:p w14:paraId="2C61011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56.39±2.03A</w:t>
            </w:r>
          </w:p>
        </w:tc>
        <w:tc>
          <w:tcPr>
            <w:tcW w:w="1867" w:type="dxa"/>
            <w:shd w:val="clear" w:color="auto" w:fill="auto"/>
            <w:noWrap/>
          </w:tcPr>
          <w:p w14:paraId="20744A11"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51.64±1.76A</w:t>
            </w:r>
          </w:p>
        </w:tc>
        <w:tc>
          <w:tcPr>
            <w:tcW w:w="236" w:type="dxa"/>
          </w:tcPr>
          <w:p w14:paraId="284A3F2D"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43666263"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887" w:type="dxa"/>
            <w:shd w:val="clear" w:color="auto" w:fill="auto"/>
            <w:noWrap/>
          </w:tcPr>
          <w:p w14:paraId="49D93CEA"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252" w:type="dxa"/>
            <w:shd w:val="clear" w:color="auto" w:fill="auto"/>
            <w:noWrap/>
          </w:tcPr>
          <w:p w14:paraId="2E02CBC1"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3C4F706C"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878" w:type="dxa"/>
            <w:shd w:val="clear" w:color="auto" w:fill="auto"/>
            <w:noWrap/>
          </w:tcPr>
          <w:p w14:paraId="4E98B9BF" w14:textId="77777777" w:rsidR="008930CB" w:rsidRPr="00A71133" w:rsidRDefault="008930CB" w:rsidP="00A32BBA">
            <w:pPr>
              <w:widowControl/>
              <w:rPr>
                <w:rFonts w:ascii="Times New Roman" w:eastAsia="等线" w:hAnsi="Times New Roman" w:cs="Times New Roman"/>
                <w:b/>
                <w:bCs/>
                <w:color w:val="000000"/>
                <w:kern w:val="0"/>
                <w:sz w:val="20"/>
                <w:szCs w:val="20"/>
              </w:rPr>
            </w:pPr>
          </w:p>
        </w:tc>
        <w:tc>
          <w:tcPr>
            <w:tcW w:w="236" w:type="dxa"/>
          </w:tcPr>
          <w:p w14:paraId="541ABE69"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21079CCF"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043" w:type="dxa"/>
            <w:shd w:val="clear" w:color="auto" w:fill="auto"/>
            <w:noWrap/>
          </w:tcPr>
          <w:p w14:paraId="3C1782CC" w14:textId="77777777" w:rsidR="008930CB" w:rsidRPr="00A71133" w:rsidRDefault="008930CB" w:rsidP="00A32BBA">
            <w:pPr>
              <w:widowControl/>
              <w:rPr>
                <w:rFonts w:ascii="Times New Roman" w:eastAsia="等线" w:hAnsi="Times New Roman" w:cs="Times New Roman"/>
                <w:color w:val="000000"/>
                <w:kern w:val="0"/>
                <w:sz w:val="20"/>
                <w:szCs w:val="20"/>
              </w:rPr>
            </w:pPr>
          </w:p>
        </w:tc>
      </w:tr>
      <w:tr w:rsidR="008930CB" w:rsidRPr="00A71133" w14:paraId="586CBBA5" w14:textId="77777777" w:rsidTr="00A32BBA">
        <w:trPr>
          <w:trHeight w:val="295"/>
        </w:trPr>
        <w:tc>
          <w:tcPr>
            <w:tcW w:w="1207" w:type="dxa"/>
            <w:vMerge w:val="restart"/>
            <w:shd w:val="clear" w:color="auto" w:fill="auto"/>
            <w:noWrap/>
            <w:vAlign w:val="center"/>
          </w:tcPr>
          <w:p w14:paraId="722B99C0"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PRE</w:t>
            </w:r>
          </w:p>
        </w:tc>
        <w:tc>
          <w:tcPr>
            <w:tcW w:w="1407" w:type="dxa"/>
            <w:shd w:val="clear" w:color="auto" w:fill="auto"/>
            <w:noWrap/>
          </w:tcPr>
          <w:p w14:paraId="0DB64C92"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graminoid</w:t>
            </w:r>
          </w:p>
        </w:tc>
        <w:tc>
          <w:tcPr>
            <w:tcW w:w="1971" w:type="dxa"/>
            <w:shd w:val="clear" w:color="auto" w:fill="auto"/>
            <w:noWrap/>
          </w:tcPr>
          <w:p w14:paraId="25A42D38"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53.91±3.96ab</w:t>
            </w:r>
            <w:r w:rsidRPr="00A71133">
              <w:rPr>
                <w:rFonts w:ascii="Times New Roman" w:eastAsia="等线" w:hAnsi="Times New Roman" w:cs="Times New Roman" w:hint="eastAsia"/>
                <w:color w:val="000000"/>
                <w:kern w:val="0"/>
                <w:sz w:val="20"/>
                <w:szCs w:val="20"/>
                <w:vertAlign w:val="superscript"/>
              </w:rPr>
              <w:t>ns</w:t>
            </w:r>
          </w:p>
        </w:tc>
        <w:tc>
          <w:tcPr>
            <w:tcW w:w="1864" w:type="dxa"/>
            <w:shd w:val="clear" w:color="auto" w:fill="auto"/>
            <w:noWrap/>
          </w:tcPr>
          <w:p w14:paraId="26678F51"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62.82±4.10a</w:t>
            </w:r>
            <w:r w:rsidRPr="00A71133">
              <w:rPr>
                <w:rFonts w:ascii="Times New Roman" w:eastAsia="等线" w:hAnsi="Times New Roman" w:cs="Times New Roman" w:hint="eastAsia"/>
                <w:color w:val="000000"/>
                <w:kern w:val="0"/>
                <w:sz w:val="20"/>
                <w:szCs w:val="20"/>
                <w:vertAlign w:val="superscript"/>
              </w:rPr>
              <w:t>ns</w:t>
            </w:r>
          </w:p>
        </w:tc>
        <w:tc>
          <w:tcPr>
            <w:tcW w:w="1867" w:type="dxa"/>
            <w:shd w:val="clear" w:color="auto" w:fill="auto"/>
            <w:noWrap/>
          </w:tcPr>
          <w:p w14:paraId="6DF1E553"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45.25±3.23b</w:t>
            </w:r>
            <w:r w:rsidRPr="00A71133">
              <w:rPr>
                <w:rFonts w:ascii="Times New Roman" w:eastAsia="等线" w:hAnsi="Times New Roman" w:cs="Times New Roman" w:hint="eastAsia"/>
                <w:color w:val="000000"/>
                <w:kern w:val="0"/>
                <w:sz w:val="20"/>
                <w:szCs w:val="20"/>
                <w:vertAlign w:val="superscript"/>
              </w:rPr>
              <w:t>ns</w:t>
            </w:r>
          </w:p>
        </w:tc>
        <w:tc>
          <w:tcPr>
            <w:tcW w:w="236" w:type="dxa"/>
          </w:tcPr>
          <w:p w14:paraId="73F78541"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shd w:val="clear" w:color="auto" w:fill="auto"/>
            <w:noWrap/>
          </w:tcPr>
          <w:p w14:paraId="79C00239"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color w:val="000000"/>
                <w:kern w:val="0"/>
                <w:sz w:val="20"/>
                <w:szCs w:val="20"/>
              </w:rPr>
              <w:t>0.000</w:t>
            </w:r>
          </w:p>
        </w:tc>
        <w:tc>
          <w:tcPr>
            <w:tcW w:w="887" w:type="dxa"/>
            <w:shd w:val="clear" w:color="auto" w:fill="auto"/>
            <w:noWrap/>
          </w:tcPr>
          <w:p w14:paraId="56224F66"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color w:val="000000"/>
                <w:kern w:val="0"/>
                <w:sz w:val="20"/>
                <w:szCs w:val="20"/>
              </w:rPr>
              <w:t>0.997</w:t>
            </w:r>
          </w:p>
        </w:tc>
        <w:tc>
          <w:tcPr>
            <w:tcW w:w="252" w:type="dxa"/>
            <w:shd w:val="clear" w:color="auto" w:fill="auto"/>
            <w:noWrap/>
          </w:tcPr>
          <w:p w14:paraId="7D4CDE48"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shd w:val="clear" w:color="auto" w:fill="auto"/>
            <w:noWrap/>
          </w:tcPr>
          <w:p w14:paraId="08F87562"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1</w:t>
            </w:r>
            <w:r w:rsidRPr="00A71133">
              <w:rPr>
                <w:rFonts w:ascii="Times New Roman" w:eastAsia="等线" w:hAnsi="Times New Roman" w:cs="Times New Roman"/>
                <w:color w:val="000000"/>
                <w:kern w:val="0"/>
                <w:sz w:val="20"/>
                <w:szCs w:val="20"/>
              </w:rPr>
              <w:t>.986</w:t>
            </w:r>
          </w:p>
        </w:tc>
        <w:tc>
          <w:tcPr>
            <w:tcW w:w="878" w:type="dxa"/>
            <w:shd w:val="clear" w:color="auto" w:fill="auto"/>
            <w:noWrap/>
          </w:tcPr>
          <w:p w14:paraId="3EBBE294" w14:textId="77777777" w:rsidR="008930CB" w:rsidRPr="00A71133" w:rsidRDefault="008930CB" w:rsidP="00A32BBA">
            <w:pPr>
              <w:widowControl/>
              <w:rPr>
                <w:rFonts w:ascii="Times New Roman" w:eastAsia="等线" w:hAnsi="Times New Roman" w:cs="Times New Roman"/>
                <w:b/>
                <w:bCs/>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.162</w:t>
            </w:r>
          </w:p>
        </w:tc>
        <w:tc>
          <w:tcPr>
            <w:tcW w:w="236" w:type="dxa"/>
          </w:tcPr>
          <w:p w14:paraId="48F02786"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shd w:val="clear" w:color="auto" w:fill="auto"/>
            <w:noWrap/>
          </w:tcPr>
          <w:p w14:paraId="40291EC4"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1</w:t>
            </w:r>
            <w:r w:rsidRPr="00A71133">
              <w:rPr>
                <w:rFonts w:ascii="Times New Roman" w:eastAsia="等线" w:hAnsi="Times New Roman" w:cs="Times New Roman"/>
                <w:color w:val="000000"/>
                <w:kern w:val="0"/>
                <w:sz w:val="20"/>
                <w:szCs w:val="20"/>
              </w:rPr>
              <w:t>.223</w:t>
            </w:r>
          </w:p>
        </w:tc>
        <w:tc>
          <w:tcPr>
            <w:tcW w:w="1043" w:type="dxa"/>
            <w:shd w:val="clear" w:color="auto" w:fill="auto"/>
            <w:noWrap/>
          </w:tcPr>
          <w:p w14:paraId="048E0BF0"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hint="eastAsia"/>
                <w:color w:val="000000"/>
                <w:kern w:val="0"/>
                <w:sz w:val="20"/>
                <w:szCs w:val="20"/>
              </w:rPr>
              <w:t>0</w:t>
            </w:r>
            <w:r w:rsidRPr="00A71133">
              <w:rPr>
                <w:rFonts w:ascii="Times New Roman" w:eastAsia="等线" w:hAnsi="Times New Roman" w:cs="Times New Roman"/>
                <w:color w:val="000000"/>
                <w:kern w:val="0"/>
                <w:sz w:val="20"/>
                <w:szCs w:val="20"/>
              </w:rPr>
              <w:t>.272</w:t>
            </w:r>
          </w:p>
        </w:tc>
      </w:tr>
      <w:tr w:rsidR="008930CB" w:rsidRPr="00A71133" w14:paraId="6F5501E9" w14:textId="77777777" w:rsidTr="00A32BBA">
        <w:trPr>
          <w:trHeight w:val="295"/>
        </w:trPr>
        <w:tc>
          <w:tcPr>
            <w:tcW w:w="1207" w:type="dxa"/>
            <w:vMerge/>
            <w:tcBorders>
              <w:bottom w:val="single" w:sz="4" w:space="0" w:color="auto"/>
            </w:tcBorders>
            <w:vAlign w:val="center"/>
            <w:hideMark/>
          </w:tcPr>
          <w:p w14:paraId="5E679164"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407" w:type="dxa"/>
            <w:tcBorders>
              <w:bottom w:val="single" w:sz="4" w:space="0" w:color="auto"/>
            </w:tcBorders>
            <w:shd w:val="clear" w:color="auto" w:fill="auto"/>
            <w:noWrap/>
          </w:tcPr>
          <w:p w14:paraId="46418B1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forb</w:t>
            </w:r>
          </w:p>
        </w:tc>
        <w:tc>
          <w:tcPr>
            <w:tcW w:w="1971" w:type="dxa"/>
            <w:tcBorders>
              <w:bottom w:val="single" w:sz="4" w:space="0" w:color="auto"/>
            </w:tcBorders>
            <w:shd w:val="clear" w:color="auto" w:fill="auto"/>
            <w:noWrap/>
          </w:tcPr>
          <w:p w14:paraId="5B828C95"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50.54±2.33A</w:t>
            </w:r>
          </w:p>
        </w:tc>
        <w:tc>
          <w:tcPr>
            <w:tcW w:w="1864" w:type="dxa"/>
            <w:tcBorders>
              <w:bottom w:val="single" w:sz="4" w:space="0" w:color="auto"/>
            </w:tcBorders>
            <w:shd w:val="clear" w:color="auto" w:fill="auto"/>
            <w:noWrap/>
          </w:tcPr>
          <w:p w14:paraId="3A58210C"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61.66±3.91A</w:t>
            </w:r>
          </w:p>
        </w:tc>
        <w:tc>
          <w:tcPr>
            <w:tcW w:w="1867" w:type="dxa"/>
            <w:tcBorders>
              <w:bottom w:val="single" w:sz="4" w:space="0" w:color="auto"/>
            </w:tcBorders>
            <w:shd w:val="clear" w:color="auto" w:fill="auto"/>
            <w:noWrap/>
          </w:tcPr>
          <w:p w14:paraId="61F898EE" w14:textId="77777777" w:rsidR="008930CB" w:rsidRPr="00A71133" w:rsidRDefault="008930CB" w:rsidP="00A32BBA">
            <w:pPr>
              <w:widowControl/>
              <w:rPr>
                <w:rFonts w:ascii="Times New Roman" w:eastAsia="等线" w:hAnsi="Times New Roman" w:cs="Times New Roman"/>
                <w:color w:val="000000"/>
                <w:kern w:val="0"/>
                <w:sz w:val="20"/>
                <w:szCs w:val="20"/>
              </w:rPr>
            </w:pPr>
            <w:r w:rsidRPr="00A71133">
              <w:rPr>
                <w:rFonts w:ascii="Times New Roman" w:eastAsia="等线" w:hAnsi="Times New Roman" w:cs="Times New Roman"/>
                <w:color w:val="000000"/>
                <w:kern w:val="0"/>
                <w:sz w:val="20"/>
                <w:szCs w:val="20"/>
              </w:rPr>
              <w:t>49.82±2.35A</w:t>
            </w:r>
          </w:p>
        </w:tc>
        <w:tc>
          <w:tcPr>
            <w:tcW w:w="236" w:type="dxa"/>
            <w:tcBorders>
              <w:bottom w:val="single" w:sz="4" w:space="0" w:color="auto"/>
            </w:tcBorders>
          </w:tcPr>
          <w:p w14:paraId="190FDEEB"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86" w:type="dxa"/>
            <w:tcBorders>
              <w:bottom w:val="single" w:sz="4" w:space="0" w:color="auto"/>
            </w:tcBorders>
            <w:shd w:val="clear" w:color="auto" w:fill="auto"/>
            <w:noWrap/>
            <w:hideMark/>
          </w:tcPr>
          <w:p w14:paraId="10E7ABE6"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87" w:type="dxa"/>
            <w:tcBorders>
              <w:bottom w:val="single" w:sz="4" w:space="0" w:color="auto"/>
            </w:tcBorders>
            <w:shd w:val="clear" w:color="auto" w:fill="auto"/>
            <w:noWrap/>
            <w:hideMark/>
          </w:tcPr>
          <w:p w14:paraId="22BA57D2"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52" w:type="dxa"/>
            <w:tcBorders>
              <w:bottom w:val="single" w:sz="4" w:space="0" w:color="auto"/>
            </w:tcBorders>
            <w:shd w:val="clear" w:color="auto" w:fill="auto"/>
            <w:noWrap/>
            <w:hideMark/>
          </w:tcPr>
          <w:p w14:paraId="61C7CEC8"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910" w:type="dxa"/>
            <w:tcBorders>
              <w:bottom w:val="single" w:sz="4" w:space="0" w:color="auto"/>
            </w:tcBorders>
            <w:shd w:val="clear" w:color="auto" w:fill="auto"/>
            <w:noWrap/>
            <w:hideMark/>
          </w:tcPr>
          <w:p w14:paraId="4954B109"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78" w:type="dxa"/>
            <w:tcBorders>
              <w:bottom w:val="single" w:sz="4" w:space="0" w:color="auto"/>
            </w:tcBorders>
            <w:shd w:val="clear" w:color="auto" w:fill="auto"/>
            <w:noWrap/>
            <w:hideMark/>
          </w:tcPr>
          <w:p w14:paraId="51189311"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236" w:type="dxa"/>
            <w:tcBorders>
              <w:bottom w:val="single" w:sz="4" w:space="0" w:color="auto"/>
            </w:tcBorders>
          </w:tcPr>
          <w:p w14:paraId="36CEC320"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846" w:type="dxa"/>
            <w:tcBorders>
              <w:bottom w:val="single" w:sz="4" w:space="0" w:color="auto"/>
            </w:tcBorders>
            <w:shd w:val="clear" w:color="auto" w:fill="auto"/>
            <w:noWrap/>
            <w:hideMark/>
          </w:tcPr>
          <w:p w14:paraId="35207532" w14:textId="77777777" w:rsidR="008930CB" w:rsidRPr="00A71133" w:rsidRDefault="008930CB" w:rsidP="00A32BBA">
            <w:pPr>
              <w:widowControl/>
              <w:rPr>
                <w:rFonts w:ascii="Times New Roman" w:eastAsia="等线" w:hAnsi="Times New Roman" w:cs="Times New Roman"/>
                <w:color w:val="000000"/>
                <w:kern w:val="0"/>
                <w:sz w:val="20"/>
                <w:szCs w:val="20"/>
              </w:rPr>
            </w:pPr>
          </w:p>
        </w:tc>
        <w:tc>
          <w:tcPr>
            <w:tcW w:w="1043" w:type="dxa"/>
            <w:tcBorders>
              <w:bottom w:val="single" w:sz="4" w:space="0" w:color="auto"/>
            </w:tcBorders>
            <w:shd w:val="clear" w:color="auto" w:fill="auto"/>
            <w:noWrap/>
            <w:hideMark/>
          </w:tcPr>
          <w:p w14:paraId="393CDF73" w14:textId="77777777" w:rsidR="008930CB" w:rsidRPr="00A71133" w:rsidRDefault="008930CB" w:rsidP="00A32BBA">
            <w:pPr>
              <w:widowControl/>
              <w:rPr>
                <w:rFonts w:ascii="Times New Roman" w:eastAsia="等线" w:hAnsi="Times New Roman" w:cs="Times New Roman"/>
                <w:color w:val="000000"/>
                <w:kern w:val="0"/>
                <w:sz w:val="20"/>
                <w:szCs w:val="20"/>
              </w:rPr>
            </w:pPr>
          </w:p>
        </w:tc>
      </w:tr>
    </w:tbl>
    <w:p w14:paraId="2B373E42" w14:textId="77777777" w:rsidR="008930CB" w:rsidRPr="00A71133" w:rsidRDefault="008930CB" w:rsidP="008930CB">
      <w:pPr>
        <w:tabs>
          <w:tab w:val="left" w:pos="1875"/>
        </w:tabs>
        <w:rPr>
          <w:rFonts w:ascii="Times New Roman" w:hAnsi="Times New Roman" w:cs="Times New Roman"/>
          <w:sz w:val="20"/>
          <w:szCs w:val="20"/>
        </w:rPr>
        <w:sectPr w:rsidR="008930CB" w:rsidRPr="00A71133" w:rsidSect="001634F3">
          <w:pgSz w:w="16838" w:h="11906" w:orient="landscape"/>
          <w:pgMar w:top="567" w:right="1134" w:bottom="851" w:left="1134" w:header="851" w:footer="283" w:gutter="0"/>
          <w:lnNumType w:countBy="1" w:restart="continuous"/>
          <w:cols w:space="425"/>
          <w:docGrid w:type="lines" w:linePitch="312"/>
        </w:sectPr>
      </w:pPr>
      <w:r w:rsidRPr="00A71133">
        <w:rPr>
          <w:rFonts w:ascii="Times New Roman" w:hAnsi="Times New Roman" w:cs="Times New Roman" w:hint="eastAsia"/>
          <w:b/>
          <w:bCs/>
          <w:sz w:val="20"/>
          <w:szCs w:val="20"/>
        </w:rPr>
        <w:t>N</w:t>
      </w:r>
      <w:r w:rsidRPr="00A71133">
        <w:rPr>
          <w:rFonts w:ascii="Times New Roman" w:hAnsi="Times New Roman" w:cs="Times New Roman"/>
          <w:b/>
          <w:bCs/>
          <w:sz w:val="20"/>
          <w:szCs w:val="20"/>
        </w:rPr>
        <w:t>ote:</w:t>
      </w:r>
      <w:r w:rsidRPr="00A71133">
        <w:rPr>
          <w:rFonts w:ascii="Times New Roman" w:hAnsi="Times New Roman" w:cs="Times New Roman"/>
          <w:sz w:val="20"/>
          <w:szCs w:val="20"/>
        </w:rPr>
        <w:t xml:space="preserve"> Values were mean ± standard error. Different lowercase and uppercase letters indicate that the significant difference among the three surveyed years in graminoids and forbs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 &lt; 0.05), respectively. The asterisks (*, **, ***, or “</w:t>
      </w:r>
      <w:r w:rsidRPr="00A71133">
        <w:rPr>
          <w:rFonts w:ascii="Times New Roman" w:hAnsi="Times New Roman" w:cs="Times New Roman"/>
          <w:sz w:val="20"/>
          <w:szCs w:val="20"/>
          <w:vertAlign w:val="superscript"/>
        </w:rPr>
        <w:t>ns</w:t>
      </w:r>
      <w:r w:rsidRPr="00A71133">
        <w:rPr>
          <w:rFonts w:ascii="Times New Roman" w:hAnsi="Times New Roman" w:cs="Times New Roman"/>
          <w:sz w:val="20"/>
          <w:szCs w:val="20"/>
        </w:rPr>
        <w:t>”) indicate the significant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 &lt; 0.05, 0.01, 0.001, respectively) or insignificant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 &gt; 0.05) difference of relevant variables between graminoids and forbs. LT, leaf thickness; SLA, specific leaf area; LDMC, leaf dry matter content; Ng, N concentration in green leaf; </w:t>
      </w:r>
      <w:proofErr w:type="spellStart"/>
      <w:r w:rsidRPr="00A71133">
        <w:rPr>
          <w:rFonts w:ascii="Times New Roman" w:hAnsi="Times New Roman" w:cs="Times New Roman"/>
          <w:sz w:val="20"/>
          <w:szCs w:val="20"/>
        </w:rPr>
        <w:t>Pg</w:t>
      </w:r>
      <w:proofErr w:type="spellEnd"/>
      <w:r w:rsidRPr="00A71133">
        <w:rPr>
          <w:rFonts w:ascii="Times New Roman" w:hAnsi="Times New Roman" w:cs="Times New Roman"/>
          <w:sz w:val="20"/>
          <w:szCs w:val="20"/>
        </w:rPr>
        <w:t>, P concentration in green leaf; leaf [N:P]g, N:P ratio in green leaf; Ns, N concentration in senesced leaf; Ps, P concentration in senesced leaf; leaf [N:P]s, N:P ratio in senesced leaf; NRE, nitrogen resorption efficiency; PRE, phosphorus resorption efficiency.</w:t>
      </w:r>
    </w:p>
    <w:p w14:paraId="015C3223" w14:textId="77777777" w:rsidR="008930CB" w:rsidRPr="00A71133" w:rsidRDefault="008930CB" w:rsidP="008930CB">
      <w:pPr>
        <w:spacing w:afterLines="100" w:after="312" w:line="360" w:lineRule="auto"/>
        <w:rPr>
          <w:rFonts w:ascii="Times New Roman" w:hAnsi="Times New Roman" w:cs="Times New Roman"/>
          <w:b/>
          <w:bCs/>
          <w:i/>
          <w:iCs/>
          <w:sz w:val="20"/>
          <w:szCs w:val="20"/>
        </w:rPr>
      </w:pPr>
      <w:r w:rsidRPr="00A71133">
        <w:rPr>
          <w:rFonts w:ascii="Times New Roman" w:hAnsi="Times New Roman" w:cs="Times New Roman"/>
          <w:b/>
          <w:bCs/>
          <w:i/>
          <w:iCs/>
          <w:noProof/>
          <w:sz w:val="20"/>
          <w:szCs w:val="20"/>
        </w:rPr>
        <w:lastRenderedPageBreak/>
        <w:drawing>
          <wp:inline distT="0" distB="0" distL="0" distR="0" wp14:anchorId="306860CB" wp14:editId="2F5614F4">
            <wp:extent cx="5274310" cy="43446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a:stretch>
                      <a:fillRect/>
                    </a:stretch>
                  </pic:blipFill>
                  <pic:spPr>
                    <a:xfrm>
                      <a:off x="0" y="0"/>
                      <a:ext cx="5274310" cy="4344670"/>
                    </a:xfrm>
                    <a:prstGeom prst="rect">
                      <a:avLst/>
                    </a:prstGeom>
                  </pic:spPr>
                </pic:pic>
              </a:graphicData>
            </a:graphic>
          </wp:inline>
        </w:drawing>
      </w:r>
    </w:p>
    <w:p w14:paraId="48FC191E" w14:textId="77777777" w:rsidR="008930CB" w:rsidRPr="00A71133" w:rsidRDefault="008930CB" w:rsidP="00000C3A">
      <w:pPr>
        <w:spacing w:afterLines="100" w:after="312" w:line="480" w:lineRule="auto"/>
        <w:rPr>
          <w:rFonts w:ascii="Times New Roman" w:hAnsi="Times New Roman" w:cs="Times New Roman"/>
          <w:sz w:val="20"/>
          <w:szCs w:val="20"/>
        </w:rPr>
      </w:pPr>
      <w:r w:rsidRPr="00A71133">
        <w:rPr>
          <w:rFonts w:ascii="Times New Roman" w:hAnsi="Times New Roman" w:cs="Times New Roman"/>
          <w:b/>
          <w:bCs/>
          <w:sz w:val="20"/>
          <w:szCs w:val="20"/>
        </w:rPr>
        <w:t>Fig. S1</w:t>
      </w:r>
      <w:r w:rsidRPr="00A71133">
        <w:rPr>
          <w:rFonts w:ascii="Times New Roman" w:hAnsi="Times New Roman" w:cs="Times New Roman"/>
          <w:sz w:val="20"/>
          <w:szCs w:val="20"/>
        </w:rPr>
        <w:t xml:space="preserve"> Structural equation model development. </w:t>
      </w:r>
      <w:r w:rsidRPr="00A71133">
        <w:rPr>
          <w:rFonts w:ascii="Times New Roman" w:hAnsi="Times New Roman" w:cs="Times New Roman"/>
          <w:b/>
          <w:bCs/>
          <w:sz w:val="20"/>
          <w:szCs w:val="20"/>
        </w:rPr>
        <w:t>(a)</w:t>
      </w:r>
      <w:r w:rsidRPr="00A71133">
        <w:rPr>
          <w:rFonts w:ascii="Times New Roman" w:hAnsi="Times New Roman" w:cs="Times New Roman"/>
          <w:sz w:val="20"/>
          <w:szCs w:val="20"/>
        </w:rPr>
        <w:t xml:space="preserve"> A theoretical and empirical structural equation model framework was built based on the results reported by previous studies. Specifically, changes of soil temperature and moisture caused by air temperature and precipitation could affect </w:t>
      </w:r>
      <w:bookmarkStart w:id="3" w:name="OLE_LINK13"/>
      <w:r w:rsidRPr="00A71133">
        <w:rPr>
          <w:rFonts w:ascii="Times New Roman" w:hAnsi="Times New Roman" w:cs="Times New Roman"/>
          <w:sz w:val="20"/>
          <w:szCs w:val="20"/>
        </w:rPr>
        <w:t>soil nutrient status</w:t>
      </w:r>
      <w:bookmarkEnd w:id="3"/>
      <w:r w:rsidRPr="00A71133">
        <w:rPr>
          <w:rFonts w:ascii="Times New Roman" w:hAnsi="Times New Roman" w:cs="Times New Roman"/>
          <w:sz w:val="20"/>
          <w:szCs w:val="20"/>
        </w:rPr>
        <w:t xml:space="preserve"> </w:t>
      </w:r>
      <w:r w:rsidRPr="00A71133">
        <w:rPr>
          <w:rFonts w:ascii="Times New Roman" w:hAnsi="Times New Roman" w:cs="Times New Roman"/>
          <w:sz w:val="20"/>
          <w:szCs w:val="20"/>
        </w:rPr>
        <w:fldChar w:fldCharType="begin" w:fldLock="1"/>
      </w:r>
      <w:r w:rsidRPr="00A71133">
        <w:rPr>
          <w:rFonts w:ascii="Times New Roman" w:hAnsi="Times New Roman" w:cs="Times New Roman"/>
          <w:sz w:val="20"/>
          <w:szCs w:val="20"/>
        </w:rPr>
        <w:instrText>ADDIN CSL_CITATION {"citationItems":[{"id":"ITEM-1","itemData":{"DOI":"10.1016/j.ecoleng.2021.106155","ISSN":"09258574","abstract":"Understanding environmental factors controlling vegetation and soil attributes is crucial for the prediction of future climate change impacts on ecosystem functioning. This study conducted at 10 sites in South Mediterranean grasslands along aridity gradient aims to determine the possible controlling factors (mean annual precipitation MAP, mean annual temperature MAT and soil pH) that may affect vegetation attributes (total plant PC and grass cover GC, plant width density PWD, number of plant patches NPP and plant interdistance PI), soil nutrient contents (organic carbon SOC, total nitrogen TN, and available phosphorus AP) and activities of hydrolase enzymes (β-glucosidase and phosphatase) using multiple linear regressions analysis and structural equation modeling. The current research reported a strong effect of soil pH and climate factors on vegetation attributes. P values obtained from multiple linear regressions are highly significant for PC (P = 0.0001), GC (P = 0.045), PWD (P = 0.0005), PI (P = 0.039) and NPP (P = 0.007). Soil pH exerted negative effects on all the measured variables. MAP and MAT affected positively and negatively PC, GC and PWD, respectively. Decreased MAP and increased MAT resulted in higher interdistance between plant patches (PI) and consequently the dominance of bare ground areas. NPP may increase with decreasing MAP and MAT suggesting higher frequency of facilitative interactions as resource (water, nutrients) limitation increases. SEM analysis revealed a negative total effect of soil pH on SOC (β = -0.49), TN (β = -0.69) and AP (β = -0.76) that can be related to its effect on the leaching of dissolved organic carbon and dissolved organic nitrogen, and on the solubility of soil phosphate. Our results reported also a negative effect of soil pH on the activities of the hydrolases β-glucosidase (β = -0.38) and phosphatase (β = -0.3). Climate factors influence the availability of soil nutrients and the activities of hydrolase enzymes. MAP exerted positive effects on SOC (β = 0.73), TN (β = 0.45) and the measured hydrolases (β = 0.57 for β-glucosidase and β = 0.66 for phosphatase). MAP exerted mainly indirect positive control on TN and on the activity β-glucosidase through its effect on SOC. However, MAT is found not a limiting factor on SOC, TN and activities of hydrolases at the temperature range of 15–20 °C. On the contrary, AP was highly controlled by MAT (β = 0.57) but not MAP (β = -0.06). MAT exerted a positive effect on AP …","author":[{"dropping-particle":"","family":"Ghiloufi","given":"Wahida","non-dropping-particle":"","parse-names":false,"suffix":""},{"dropping-particle":"","family":"Chaieb","given":"Mohamed","non-dropping-particle":"","parse-names":false,"suffix":""}],"container-title":"Ecological Engineering","id":"ITEM-1","issue":"January","issued":{"date-parts":[["2021"]]},"page":"106155","publisher":"Elsevier B.V.","title":"Environmental factors controlling vegetation attributes, soil nutrients and hydrolases in South Mediterranean arid grasslands","type":"article-journal","volume":"161"},"uris":["http://www.mendeley.com/documents/?uuid=c124231a-c335-48c6-adee-a6e80ff96e64"]},{"id":"ITEM-2","itemData":{"DOI":"10.1016/j.geoderma.2018.12.009","ISSN":"00167061","abstract":"Changes in soil nutrient availability attributed to climate change and associated permafrost degradation have been reported in several ecosystems. However, little is known about the changes of soil nutrient availability in alpine grassland ecosystems. Based on a comprehensive dataset and random forest models, we investigated soil available nutrients changes and their relationships with environmental factors for the top 10 cm soils across Tibetan grassland between the 1980s and 2010s. During this period, topsoil available nitrogen stocks increased significantly by 24%, while available phosphorus and potassium stocks decreased significantly by 3% and 23%, respectively. Topsoil nutrient availability dynamics varied substantially among vegetation types. Initial nutrient stocks explained the largest proportions of available nutrients changes, though climate, permafrost, vegetation, soil properties, and their interactions also had significant contributions. The increasing rate of active layer thickness was negatively related to soil available nitrogen dynamics but did not significantly change available phosphorus and potassium, indicating that the increase in the annual depth of surface thaw of the permafrost was associated with an increase in soil nitrogen availability but no significant changes in available phosphorus and potassium. These results suggest that the Tibetan alpine grassland ecosystems may shift from nitrogen-limited to phosphorus or potassium-limited in the future.","author":[{"dropping-particle":"","family":"Tian","given":"Liming","non-dropping-particle":"","parse-names":false,"suffix":""},{"dropping-particle":"","family":"Zhao","given":"Lin","non-dropping-particle":"","parse-names":false,"suffix":""},{"dropping-particle":"","family":"Wu","given":"Xiaodong","non-dropping-particle":"","parse-names":false,"suffix":""},{"dropping-particle":"","family":"Hu","given":"Guojie","non-dropping-particle":"","parse-names":false,"suffix":""},{"dropping-particle":"","family":"Fang","given":"Hongbing","non-dropping-particle":"","parse-names":false,"suffix":""},{"dropping-particle":"","family":"Zhao","given":"Yonghua","non-dropping-particle":"","parse-names":false,"suffix":""},{"dropping-particle":"","family":"Sheng","given":"Yu","non-dropping-particle":"","parse-names":false,"suffix":""},{"dropping-particle":"","family":"Chen","given":"Ji","non-dropping-particle":"","parse-names":false,"suffix":""},{"dropping-particle":"","family":"Wu","given":"Jichun","non-dropping-particle":"","parse-names":false,"suffix":""},{"dropping-particle":"","family":"Li","given":"Wangping","non-dropping-particle":"","parse-names":false,"suffix":""},{"dropping-particle":"","family":"Ping","given":"Chien Lu","non-dropping-particle":"","parse-names":false,"suffix":""},{"dropping-particle":"","family":"Pang","given":"Qiangqiang","non-dropping-particle":"","parse-names":false,"suffix":""},{"dropping-particle":"","family":"Liu","given":"Yang","non-dropping-particle":"","parse-names":false,"suffix":""},{"dropping-particle":"","family":"Shi","given":"Wei","non-dropping-particle":"","parse-names":false,"suffix":""},{"dropping-particle":"","family":"Wu","given":"Tonghua","non-dropping-particle":"","parse-names":false,"suffix":""},{"dropping-particle":"","family":"Zhang","given":"Xiumin","non-dropping-particle":"","parse-names":false,"suffix":""}],"container-title":"Geoderma","id":"ITEM-2","issue":"February 2018","issued":{"date-parts":[["2019"]]},"page":"197-205","publisher":"Elsevier","title":"Variations in soil nutrient availability across Tibetan grassland from the 1980s to 2010s","type":"article-journal","volume":"338"},"uris":["http://www.mendeley.com/documents/?uuid=893b402e-4c26-4163-bb29-213265505bae"]}],"mendeley":{"formattedCitation":"(Ghiloufi and Chaieb, 2021; Tian et al., 2019)","manualFormatting":"(Tian et al., 2019; Ghiloufi and Chaieb, 2021)","plainTextFormattedCitation":"(Ghiloufi and Chaieb, 2021; Tian et al., 2019)","previouslyFormattedCitation":"(Ghiloufi and Chaieb, 2021; Tian et al., 2019)"},"properties":{"noteIndex":0},"schema":"https://github.com/citation-style-language/schema/raw/master/csl-citation.json"}</w:instrText>
      </w:r>
      <w:r w:rsidRPr="00A71133">
        <w:rPr>
          <w:rFonts w:ascii="Times New Roman" w:hAnsi="Times New Roman" w:cs="Times New Roman"/>
          <w:sz w:val="20"/>
          <w:szCs w:val="20"/>
        </w:rPr>
        <w:fldChar w:fldCharType="separate"/>
      </w:r>
      <w:r w:rsidRPr="00A71133">
        <w:rPr>
          <w:rFonts w:ascii="Times New Roman" w:hAnsi="Times New Roman" w:cs="Times New Roman"/>
          <w:noProof/>
          <w:sz w:val="20"/>
          <w:szCs w:val="20"/>
        </w:rPr>
        <w:t>(Tian et al., 2019; Ghiloufi and Chaieb, 2021)</w:t>
      </w:r>
      <w:r w:rsidRPr="00A71133">
        <w:rPr>
          <w:rFonts w:ascii="Times New Roman" w:hAnsi="Times New Roman" w:cs="Times New Roman"/>
          <w:sz w:val="20"/>
          <w:szCs w:val="20"/>
        </w:rPr>
        <w:fldChar w:fldCharType="end"/>
      </w:r>
      <w:r w:rsidRPr="00A71133">
        <w:rPr>
          <w:rFonts w:ascii="Times New Roman" w:hAnsi="Times New Roman" w:cs="Times New Roman"/>
          <w:sz w:val="20"/>
          <w:szCs w:val="20"/>
        </w:rPr>
        <w:t xml:space="preserve">, which subsequently influences leaf functional traits such as foliar morphological trait and nutrient concentration </w:t>
      </w:r>
      <w:r w:rsidRPr="00A71133">
        <w:rPr>
          <w:rFonts w:ascii="Times New Roman" w:hAnsi="Times New Roman" w:cs="Times New Roman"/>
          <w:sz w:val="20"/>
          <w:szCs w:val="20"/>
        </w:rPr>
        <w:fldChar w:fldCharType="begin" w:fldLock="1"/>
      </w:r>
      <w:r w:rsidRPr="00A71133">
        <w:rPr>
          <w:rFonts w:ascii="Times New Roman" w:hAnsi="Times New Roman" w:cs="Times New Roman"/>
          <w:sz w:val="20"/>
          <w:szCs w:val="20"/>
        </w:rPr>
        <w:instrText>ADDIN CSL_CITATION {"citationItems":[{"id":"ITEM-1","itemData":{"DOI":"10.1111/j.1466-8238.2008.00441.x","ISSN":"1466822X","abstract":"Aim: This first global quantification of the relationship between leaf traits and soil nutrient fertility reflects the trade-off between growth and nutrient conservation. The power of soils versus climate in predicting leaf trait values is assessed in bivariate and multivariate analyses and is compared with the distribution of growth forms (as a discrete classification of vegetation) across gradients of soil fertility and climate. Location: All continents except for Antarctica. Methods: Data on specific leaf area (SLA), leaf N concentration (LNC), leaf P concentration (LPC) and leaf N:P were collected for 474 species distributed across 99 sites (809 records), together with abiotic information from each study site. Individual and combined effects of soils and climate on leaf traits were quantified using maximum likelihood methods. Differences in occurrence of growth form across soil fertility and climate were determined by one-way ANOVA. Results: There was a consistent increase in SLA, LNC and LPC with increasing soil fertility. SLA was related to proxies of N supply, LNC to both soil total N and P and LPC was only related to proxies of P supply. Soil nutrient measures explained more variance in leaf traits among sites than climate in bivariate analysis. Multivariate analysis showed that climate interacted with soil nutrients for SLA and area-based LNC. Mass-based LNC and LPC were determined mostly by soil fertility, but soil P was highly correlated to precipitation. Relationships of leaf traits to soil nutrients were stronger than those of growth form versus soil nutrients. In contrast, climate determined distribution of growth form more strongly than it did leaf traits. Main conclusions: We provide the first global quantification of the trade-off between traits associated with growth and resource conservation 'strategies' in relation to soil fertility. Precipitation but not temperature affected this trade-off. Continuous leaf traits might be better predictors of plant responses to nutrient supply than growth form, but growth forms reflect important aspects of plant species distribution with climate. © 2009 The Authors Journal compilation © 2009 Blackwell Publishing.","author":[{"dropping-particle":"","family":"Ordoñez","given":"Jenny C.","non-dropping-particle":"","parse-names":false,"suffix":""},{"dropping-particle":"","family":"Bodegom","given":"Peter M.","non-dropping-particle":"Van","parse-names":false,"suffix":""},{"dropping-particle":"","family":"Witte","given":"Jan Philip M.","non-dropping-particle":"","parse-names":false,"suffix":""},{"dropping-particle":"","family":"Wright","given":"Ian J.","non-dropping-particle":"","parse-names":false,"suffix":""},{"dropping-particle":"","family":"Reich","given":"Peter B.","non-dropping-particle":"","parse-names":false,"suffix":""},{"dropping-particle":"","family":"Aerts","given":"Rien","non-dropping-particle":"","parse-names":false,"suffix":""}],"container-title":"Global Ecology and Biogeography","id":"ITEM-1","issue":"2","issued":{"date-parts":[["2009"]]},"page":"137-149","title":"A global study of relationships between leaf traits, climate and soil measures of nutrient fertility","type":"article-journal","volume":"18"},"uris":["http://www.mendeley.com/documents/?uuid=6d1c7275-bae9-4f20-a225-f699df1402db"]},{"id":"ITEM-2","itemData":{"DOI":"10.3389/fpls.2018.01431","ISSN":"1664462X","abstract":"Nutrient resorption plays an important role in ecology because it has a profound effect on subsequent plant growth. However, our current knowledge about patterns of nutrient resorption, particularly among herbaceous species, at a global scale is still inadequate. Here, we present a meta-analysis using a global dataset of nitrogen (N) and phosphorus (P) resorption efficiency encompassing 227 perennial herbaceous species. This analysis shows that the N and P resorption efficiency (NRE and PRE, respectively), and N:P resorption ratios (NRE:PRE) across all herbaceous plant groups are 59.4, 67.5, and 0.89%, respectively. Across all species, NRE, PRE, and NRE:PRE, exhibited different patterns along climatic and soil nutrient gradients, i.e., NRE decreases with increasing mean annual precipitation (MAP) and soil N, PRE increases with aridity index (AI) but decreases with MAP and soil P, and NRE:PRE decreases with increasing potential evapotranspiration (PET), AI, and soil N:P. NRE, PRE, and NRE:PRE also differed in functional species group (graminoids vs. forbs). Soil nutrient level was the largest contributor to the total variations in NRE, PRE, and NRE:PRE, while climate and herbaceous types had relatively smaller effects on NRE, PRE, and NRE:PRE. Collectively, these trends can inform attempts to model biogeochemical cycling at a global scale.","author":[{"dropping-particle":"","family":"Wang","given":"Zhiqiang","non-dropping-particle":"","parse-names":false,"suffix":""},{"dropping-particle":"","family":"Fan","given":"Zhexuan","non-dropping-particle":"","parse-names":false,"suffix":""},{"dropping-particle":"","family":"Zhao","given":"Qi","non-dropping-particle":"","parse-names":false,"suffix":""},{"dropping-particle":"","family":"Wang","given":"Mingcheng","non-dropping-particle":"","parse-names":false,"suffix":""},{"dropping-particle":"","family":"Ran","given":"Jinzhi","non-dropping-particle":"","parse-names":false,"suffix":""},{"dropping-particle":"","family":"Huang","given":"Heng","non-dropping-particle":"","parse-names":false,"suffix":""},{"dropping-particle":"","family":"Niklas","given":"Karl J.","non-dropping-particle":"","parse-names":false,"suffix":""}],"container-title":"Frontiers in Plant Science","id":"ITEM-2","issue":"September","issued":{"date-parts":[["2018"]]},"page":"1-8","title":"Global data analysis shows that soil nutrient levels dominate foliar nutrient resorption efficiency in herbaceous species","type":"article-journal","volume":"9"},"uris":["http://www.mendeley.com/documents/?uuid=080382b8-d0b7-4782-bd2b-6789d3ad18bf"]}],"mendeley":{"formattedCitation":"(Ordoñez et al., 2009; Wang et al., 2018)","plainTextFormattedCitation":"(Ordoñez et al., 2009; Wang et al., 2018)","previouslyFormattedCitation":"(Ordoñez et al., 2009; Wang et al., 2018)"},"properties":{"noteIndex":0},"schema":"https://github.com/citation-style-language/schema/raw/master/csl-citation.json"}</w:instrText>
      </w:r>
      <w:r w:rsidRPr="00A71133">
        <w:rPr>
          <w:rFonts w:ascii="Times New Roman" w:hAnsi="Times New Roman" w:cs="Times New Roman"/>
          <w:sz w:val="20"/>
          <w:szCs w:val="20"/>
        </w:rPr>
        <w:fldChar w:fldCharType="separate"/>
      </w:r>
      <w:r w:rsidRPr="00A71133">
        <w:rPr>
          <w:rFonts w:ascii="Times New Roman" w:hAnsi="Times New Roman" w:cs="Times New Roman"/>
          <w:noProof/>
          <w:sz w:val="20"/>
          <w:szCs w:val="20"/>
        </w:rPr>
        <w:t>(Ordoñez et al., 2009; Wang et al., 2018)</w:t>
      </w:r>
      <w:r w:rsidRPr="00A71133">
        <w:rPr>
          <w:rFonts w:ascii="Times New Roman" w:hAnsi="Times New Roman" w:cs="Times New Roman"/>
          <w:sz w:val="20"/>
          <w:szCs w:val="20"/>
        </w:rPr>
        <w:fldChar w:fldCharType="end"/>
      </w:r>
      <w:r w:rsidRPr="00A71133">
        <w:rPr>
          <w:rFonts w:ascii="Times New Roman" w:hAnsi="Times New Roman" w:cs="Times New Roman"/>
          <w:sz w:val="20"/>
          <w:szCs w:val="20"/>
        </w:rPr>
        <w:t xml:space="preserve">. Meanwhile, variations of air temperature and precipitation also could control directly leaf functional trait and nutrient resorption </w:t>
      </w:r>
      <w:r w:rsidRPr="00A71133">
        <w:rPr>
          <w:rFonts w:ascii="Times New Roman" w:hAnsi="Times New Roman" w:cs="Times New Roman"/>
          <w:sz w:val="20"/>
          <w:szCs w:val="20"/>
        </w:rPr>
        <w:fldChar w:fldCharType="begin" w:fldLock="1"/>
      </w:r>
      <w:r w:rsidRPr="00A71133">
        <w:rPr>
          <w:rFonts w:ascii="Times New Roman" w:hAnsi="Times New Roman" w:cs="Times New Roman"/>
          <w:sz w:val="20"/>
          <w:szCs w:val="20"/>
        </w:rPr>
        <w:instrText>ADDIN CSL_CITATION {"citationItems":[{"id":"ITEM-1","itemData":{"DOI":"10.1016/j.gecco.2020.e00904","ISSN":"23519894","abstract":"The spatial differentiation of plant functional traits reflects the survival strategies of plants to adapt to climate change. However, the mechanisms that guide this phenomenon, especially along latitude gradients, remain unclear. Leaf traits data, namely specific leaf area, leaf nitrogen content, leaf phosphorus content and leaf dry matter content in northeast China along the latitude was used to identify potential underlying climate and soil drivers of latitudinal gradients in plant traits. (1) Leaf traits of all life forms showed a wide variation across the study locations in northeastern China and the variation was strongly correlated with latitude. The latitudinal interpretation of leaf N and P content spatial differentiation is higher than other functional traits. (2)The latitudinal differences of functional traits were significantly correlated with climatic factors. With the increase of annual average temperature and annual average precipitation (MAT and MAP), specific leaf area (SLA) of leaves increased significantly, while leaf dry matter content (LDMC) decreased significantly (P &lt; 0.05), The N content and P content of leaves showed significant nonlinear changes. The explanation degree of MAT to the spatial differentiation of most leaf traits is higher than the annual average precipitation (MAP). Soil factors also play an important role in shaping the spatial differentiation of leaf functional properties. With the increase of soil N and P content, leaf SLA and leaf N and P content also increased significantly (P &lt; 0.05). The contribution of soil N content is higher than that of soil P content in shaping leaf traits. (3) The independent contribution of climate factors to the latitudinal difference of leaf function was 32.7%, slightly higher than that of soil factors (21.9%).","author":[{"dropping-particle":"","family":"Gong","given":"Hede","non-dropping-particle":"","parse-names":false,"suffix":""},{"dropping-particle":"","family":"Cui","given":"Qingjiang","non-dropping-particle":"","parse-names":false,"suffix":""},{"dropping-particle":"","family":"Gao","given":"Jie","non-dropping-particle":"","parse-names":false,"suffix":""}],"container-title":"Global Ecology and Conservation","id":"ITEM-1","issued":{"date-parts":[["2020"]]},"page":"e00904","publisher":"Elsevier Ltd","title":"Latitudinal, soil and climate effects on key leaf traits in northeastern China","type":"article-journal","volume":"22"},"uris":["http://www.mendeley.com/documents/?uuid=eb990f27-4174-44e0-9b64-29a368d603cb"]},{"id":"ITEM-2","itemData":{"DOI":"10.1111/j.1469-8137.2012.04249.x","ISSN":"0028646X","PMID":"22882279","abstract":"• Nutrient resorption is a fundamental process through which plants withdraw nutrients from leaves before abscission. Nutrient resorption patterns have the potential to reflect gradients in plant nutrient limitation and to affect a suite of terrestrial ecosystem functions. • Here, we used a stoichiometric approach to assess patterns in foliar resorption at a variety of scales, specifically exploring how N:P resorption ratios relate to presumed variation in N and/or P limitation and possible relationships between N:P resorption r</w:instrText>
      </w:r>
      <w:r w:rsidRPr="00A71133">
        <w:rPr>
          <w:rFonts w:ascii="Times New Roman" w:hAnsi="Times New Roman" w:cs="Times New Roman" w:hint="eastAsia"/>
          <w:sz w:val="20"/>
          <w:szCs w:val="20"/>
        </w:rPr>
        <w:instrText xml:space="preserve">atios and soil nutrient availability. </w:instrText>
      </w:r>
      <w:r w:rsidRPr="00A71133">
        <w:rPr>
          <w:rFonts w:ascii="Times New Roman" w:hAnsi="Times New Roman" w:cs="Times New Roman" w:hint="eastAsia"/>
          <w:sz w:val="20"/>
          <w:szCs w:val="20"/>
        </w:rPr>
        <w:instrText>•</w:instrText>
      </w:r>
      <w:r w:rsidRPr="00A71133">
        <w:rPr>
          <w:rFonts w:ascii="Times New Roman" w:hAnsi="Times New Roman" w:cs="Times New Roman" w:hint="eastAsia"/>
          <w:sz w:val="20"/>
          <w:szCs w:val="20"/>
        </w:rPr>
        <w:instrText xml:space="preserve"> N:P resorption ratios varied significantly at the global scale, increasing with latitude and decreasing with mean annual temperature and precipitation. In general, tropical sites (absolute latitudes &lt;23</w:instrText>
      </w:r>
      <w:r w:rsidRPr="00A71133">
        <w:rPr>
          <w:rFonts w:ascii="Times New Roman" w:hAnsi="Times New Roman" w:cs="Times New Roman" w:hint="eastAsia"/>
          <w:sz w:val="20"/>
          <w:szCs w:val="20"/>
        </w:rPr>
        <w:instrText>°</w:instrText>
      </w:r>
      <w:r w:rsidRPr="00A71133">
        <w:rPr>
          <w:rFonts w:ascii="Times New Roman" w:hAnsi="Times New Roman" w:cs="Times New Roman" w:hint="eastAsia"/>
          <w:sz w:val="20"/>
          <w:szCs w:val="20"/>
        </w:rPr>
        <w:instrText>26</w:instrText>
      </w:r>
      <w:r w:rsidRPr="00A71133">
        <w:rPr>
          <w:rFonts w:ascii="Times New Roman" w:hAnsi="Times New Roman" w:cs="Times New Roman" w:hint="eastAsia"/>
          <w:sz w:val="20"/>
          <w:szCs w:val="20"/>
        </w:rPr>
        <w:instrText>′</w:instrText>
      </w:r>
      <w:r w:rsidRPr="00A71133">
        <w:rPr>
          <w:rFonts w:ascii="Times New Roman" w:hAnsi="Times New Roman" w:cs="Times New Roman" w:hint="eastAsia"/>
          <w:sz w:val="20"/>
          <w:szCs w:val="20"/>
        </w:rPr>
        <w:instrText>) had N:P</w:instrText>
      </w:r>
      <w:r w:rsidRPr="00A71133">
        <w:rPr>
          <w:rFonts w:ascii="Times New Roman" w:hAnsi="Times New Roman" w:cs="Times New Roman"/>
          <w:sz w:val="20"/>
          <w:szCs w:val="20"/>
        </w:rPr>
        <w:instrText xml:space="preserve"> resorption ratios of &lt;1, and plants growing on highly weathered tropical soils maintained the lowest N:P resorption ratios. Resorption ratios also varied with forest age along an Amazonian forest regeneration chronosequence and among species in a diverse Costa Rican rain forest. • These results suggest that variations in N:P resorption stoichiometry offer insight into nutrient cycling and limitation at a variety of spatial scales, complementing other metrics of plant nutrient biogeochemistry. The extent to which the stoichiometric flexibility of resorption will help regulate terrestrial responses to global change merits further investigation. © 2012 The Authors New Phytologist © 2012 New Phytologist Trust.","author":[{"dropping-particle":"","family":"Reed","given":"Sasha C.","non-dropping-particle":"","parse-names":false,"suffix":""},{"dropping-particle":"","family":"Townsend","given":"Alan R.","non-dropping-particle":"","parse-names":false,"suffix":""},{"dropping-particle":"","family":"Davidson","given":"Eric A.","non-dropping-particle":"","parse-names":false,"suffix":""},{"dropping-particle":"","family":"Cleveland","given":"Cory C.","non-dropping-particle":"","parse-names":false,"suffix":""}],"container-title":"New Phytologist","id":"ITEM-2","issue":"1","issued":{"date-parts":[["2012"]]},"page":"173-180","title":"Stoichiometric patterns in foliar nutrient resorption across multiple scales","type":"article-journal","volume":"196"},"uris":["http://www.mendeley.com/documents/?uuid=a66af349-980b-4f17-b774-01d887802d80"]}],"mendeley":{"formattedCitation":"(Gong et al., 2020; Reed et al., 2012)","manualFormatting":"(Reed et al., 2012; Gong et al., 2020)","plainTextFormattedCitation":"(Gong et al., 2020; Reed et al., 2012)","previouslyFormattedCitation":"(Gong et al., 2020; Reed et al., 2012)"},"properties":{"noteIndex":0},"schema":"https://github.com/citation-style-language/schema/raw/master/csl-citation.json"}</w:instrText>
      </w:r>
      <w:r w:rsidRPr="00A71133">
        <w:rPr>
          <w:rFonts w:ascii="Times New Roman" w:hAnsi="Times New Roman" w:cs="Times New Roman"/>
          <w:sz w:val="20"/>
          <w:szCs w:val="20"/>
        </w:rPr>
        <w:fldChar w:fldCharType="separate"/>
      </w:r>
      <w:r w:rsidRPr="00A71133">
        <w:rPr>
          <w:rFonts w:ascii="Times New Roman" w:hAnsi="Times New Roman" w:cs="Times New Roman"/>
          <w:noProof/>
          <w:sz w:val="20"/>
          <w:szCs w:val="20"/>
        </w:rPr>
        <w:t>(Reed et al., 2012; Gong et al., 2020)</w:t>
      </w:r>
      <w:r w:rsidRPr="00A71133">
        <w:rPr>
          <w:rFonts w:ascii="Times New Roman" w:hAnsi="Times New Roman" w:cs="Times New Roman"/>
          <w:sz w:val="20"/>
          <w:szCs w:val="20"/>
        </w:rPr>
        <w:fldChar w:fldCharType="end"/>
      </w:r>
      <w:r w:rsidRPr="00A71133">
        <w:rPr>
          <w:rFonts w:ascii="Times New Roman" w:hAnsi="Times New Roman" w:cs="Times New Roman"/>
          <w:sz w:val="20"/>
          <w:szCs w:val="20"/>
        </w:rPr>
        <w:t xml:space="preserve">. Further, there is close relationships between </w:t>
      </w:r>
      <w:r w:rsidRPr="00A71133">
        <w:rPr>
          <w:rFonts w:ascii="Times New Roman" w:hAnsi="Times New Roman" w:cs="Times New Roman" w:hint="eastAsia"/>
          <w:sz w:val="20"/>
          <w:szCs w:val="20"/>
        </w:rPr>
        <w:t>soil</w:t>
      </w:r>
      <w:r w:rsidRPr="00A71133">
        <w:rPr>
          <w:rFonts w:ascii="Times New Roman" w:hAnsi="Times New Roman" w:cs="Times New Roman"/>
          <w:sz w:val="20"/>
          <w:szCs w:val="20"/>
        </w:rPr>
        <w:t xml:space="preserve"> </w:t>
      </w:r>
      <w:r w:rsidRPr="00A71133">
        <w:rPr>
          <w:rFonts w:ascii="Times New Roman" w:hAnsi="Times New Roman" w:cs="Times New Roman" w:hint="eastAsia"/>
          <w:sz w:val="20"/>
          <w:szCs w:val="20"/>
        </w:rPr>
        <w:t>nutrients</w:t>
      </w:r>
      <w:r w:rsidRPr="00A71133">
        <w:rPr>
          <w:rFonts w:ascii="Times New Roman" w:hAnsi="Times New Roman" w:cs="Times New Roman"/>
          <w:sz w:val="20"/>
          <w:szCs w:val="20"/>
        </w:rPr>
        <w:t xml:space="preserve"> and nutrient resorption and between leaf functional trait and nutrient resorption </w:t>
      </w:r>
      <w:r w:rsidRPr="00A71133">
        <w:rPr>
          <w:rFonts w:ascii="Times New Roman" w:hAnsi="Times New Roman" w:cs="Times New Roman"/>
          <w:sz w:val="20"/>
          <w:szCs w:val="20"/>
        </w:rPr>
        <w:fldChar w:fldCharType="begin" w:fldLock="1"/>
      </w:r>
      <w:r w:rsidRPr="00A71133">
        <w:rPr>
          <w:rFonts w:ascii="Times New Roman" w:hAnsi="Times New Roman" w:cs="Times New Roman"/>
          <w:sz w:val="20"/>
          <w:szCs w:val="20"/>
        </w:rPr>
        <w:instrText>ADDIN CSL_CITATION {"citationItems":[{"id":"ITEM-1","itemData":{"DOI":"10.1890/12-0781.1","ISSN":"00129658","abstract":"The removal of nutrients from senescing tissues, nutrient resorption, is a key strategy for conserving nutrients in plants. However, our understanding of what drives patterns of nutrient resorption in tropical trees is limited. We examined the effects of nutrient sources (stand-level and tree-level soil fertility) and sinks (reproductive effort) on nitrogen (N) and phosphorus (P) resorption. We evaluated resorption efficiency (percentage of original nutrients removed during senescence) and resorption proficiency (indicated by senesced-leaf nutrient concentrations) in a symbiotic N-fixing tree species, Pentaclethra macroloba, common to tropical forests in Costa Rica. Although tree-level soil P alone did not drive patterns in nutrient resorption, P efficiency and proficiency declined with increasing tree-level soil P when reproductive status was also considered. Nutrient resorption declined with increasing tree-level soil P in trees that were actively fruiting or that experienced high seedfall the year prior to sampling. Trees with greater short- and long-term reproductive demands had lower senescedleaf N and P concentrations than trees with smaller reproductive demands indicating that trees increase resorption proficiency in response to phenological demand. P. macroloba is the dominant tree species in this tropical ecosystem. Thus, source-sink relationships will feed back on nutrient cycling in these forests. © 2013 by the Ecological Society of America.","author":[{"dropping-particle":"","family":"Tully","given":"Katherine L.","non-dropping-particle":"","parse-names":false,"suffix":""},{"dropping-particle":"","family":"Wood","given":"Tana E.","non-dropping-particle":"","parse-names":false,"suffix":""},{"dropping-particle":"","family":"Schwantes","given":"Amanda M.","non-dropping-particle":"","parse-names":false,"suffix":""},{"dropping-particle":"","family":"Lawrence","given":"Deborah","non-dropping-particle":"","parse-names":false,"suffix":""}],"container-title":"Ecology","id":"ITEM-1","issue":"4","issued":{"date-parts":[["2013"]]},"page":"930-940","title":"Soil nutrient availability and reproductive effort drive patterns in nutrient resorption in Pentaclethra macroloba","type":"article-journal","volume":"94"},"uris":["http://www.mendeley.com/documents/?uuid=0a8771fe-2256-42d2-8f38-bba6daca98f7"]},{"id":"ITEM-2","itemData":{"DOI":"10.1002/ece3.3283","ISSN":"20457758","abstract":"Nutrient resorption from senesced leaves as a nutrient conservation strategy is important for plants to adapt to nutrient deficiency, particularly in alpine and arid environment. However, the leaf nutrient resorption patterns of different functional plants across environmental gradient remain unclear. In this study, we conducted a transect survey of 12 communities to address foliar nitrogen (N) and phosphorus (P) resorption strategies of four functional groups along an eastward increasing precipitation gradient in northern Tibetan Changtang Plateau. Soil nutrient availability, leaf nutrient concentration, and N:P ratio in green leaves ([N:P]g) were linearly correlated with precipitation. Nitrogen resorption efficiency decreased, whereas phosphorus resorption efficiency except for sedge increased with increasing precipitation, indicating a greater nutrient conservation in nutrient-poor environment. The surveyed alpine plants except for legume had obviously higher N and P resorption efficiencies than the world mean levels. Legumes had higher N concentrations in green and senesced leaves, but lowest resorption efficiency than nonlegumes. Sedge species had much lower P concentration in senesced leaves but highest P resorption efficiency, suggesting highly competitive P conservation. Leaf nutrient resorption efficiencies of N and P were largely controlled by soil and plant nutrient, and indirectly regulated by precipitation. Nutrient resorption efficiencies were more determined by soil nutrient availability, while resorption proficiencies were more controlled by leaf nutrient and N:P of green leaves. Overall, our results suggest strong internal nutrient cycling through foliar nutrient resorption in the alpine nutrient-poor ecosystems on the Plateau. The patterns of soil nutrient availability and resorption also imply a transit from more N limitation in the west to a more P limitation in the east Changtang. Our findings offer insights into understanding nutrient conservation strategy in the precipitation and its derived soil nutrient availability gradient.","author":[{"dropping-particle":"","family":"Zhao","given":"Guangshuai","non-dropping-particle":"","parse-names":false,"suffix":""},{"dropping-particle":"","family":"Shi","given":"Peili","non-dropping-particle":"","parse-names":false,"suffix":""},{"dropping-particle":"","family":"Wu","given":"Jianshuang","non-dropping-particle":"","parse-names":false,"suffix":""},{"dropping-particle":"","family":"Xiong","given":"Dingpeng","non-dropping-particle":"","parse-names":false,"suffix":""},{"dropping-particle":"","family":"Zong","given":"Ning","non-dropping-particle":"","parse-names":false,"suffix":""},{"dropping-particle":"","family":"Zhang","given":"Xianzhou","non-dropping-particle":"","parse-names":false,"suffix":""}],"container-title":"Ecology and Evolution","id":"ITEM-2","issue":"18","issued":{"date-parts":[["2017"]]},"page":"7201-7212","title":"Foliar nutrient resorption patterns of four functional plants along a precipitation gradient on the Tibetan Changtang Plateau","type":"article-journal","volume":"7"},"uris":["http://www.mendeley.com/documents/?uuid=23be1d60-3100-41c3-ae2f-2c2d7d1b3405"]},{"id":"ITEM-3","itemData":{"DOI":"10.3389/fpls.2018.01431","ISSN":"1664462X","abstract":"Nutrient resorption plays an important role in ecology because it has a profound effect on subsequent plant growth. However, our current knowledge about patterns of nutrient resorption, particularly among herbaceous species, at a global scale is still inadequate. Here, we present a meta-analysis using a global dataset of nitrogen (N) and phosphorus (P) resorption efficiency encompassing 227 perennial herbaceous species. This analysis shows that the N and P resorption efficiency (NRE and PRE, respectively), and N:P resorption ratios (NRE:PRE) across all herbaceous plant groups are 59.4, 67.5, and 0.89%, respectively. Across all species, NRE, PRE, and NRE:PRE, exhibited different patterns along climatic and soil nutrient gradients, i.e., NRE decreases with increasing mean annual precipitation (MAP) and soil N, PRE increases with aridity index (AI) but decreases with MAP and soil P, and NRE:PRE decreases with increasing potential evapotranspiration (PET), AI, and soil N:P. NRE, PRE, and NRE:PRE also differed in functional species group (graminoids vs. forbs). Soil nutrient level was the largest contributor to the total variations in NRE, PRE, and NRE:PRE, while climate and herbaceous types had relatively smaller effects on NRE, PRE, and NRE:PRE. Collectively, these trends can inform attempts to model biogeochemical cycling at a global scale.","author":[{"dropping-particle":"","family":"Wang","given":"Zhiqiang","non-dropping-particle":"","parse-names":false,"suffix":""},{"dropping-particle":"","family":"Fan","given":"Zhexuan","non-dropping-particle":"","parse-names":false,"suffix":""},{"dropping-particle":"","family":"Zhao","given":"Qi","non-dropping-particle":"","parse-names":false,"suffix":""},{"dropping-particle":"","family":"Wang","given":"Mingcheng","non-dropping-particle":"","parse-names":false,"suffix":""},{"dropping-particle":"","family":"Ran","given":"Jinzhi","non-dropping-particle":"","parse-names":false,"suffix":""},{"dropping-particle":"","family":"Huang","given":"Heng","non-dropping-particle":"","parse-names":false,"suffix":""},{"dropping-particle":"","family":"Niklas","given":"Karl J.","non-dropping-particle":"","parse-names":false,"suffix":""}],"container-title":"Frontiers in Plant Science","id":"ITEM-3","issue":"September","issued":{"date-parts":[["2018"]]},"page":"1-8","title":"Global data analysis shows that soil nutrient levels dominate foliar nutrient resorption efficiency in herbaceous species","type":"article-journal","volume":"9"},"uris":["http://www.mendeley.com/documents/?uuid=080382b8-d0b7-4782-bd2b-6789d3ad18bf"]}],"mendeley":{"formattedCitation":"(Tully et al., 2013; Wang et al., 2018; Zhao et al., 2017)","manualFormatting":"(Tully et al., 2013; Zhao et al., 2017; Wang et al., 2018)","plainTextFormattedCitation":"(Tully et al., 2013; Wang et al., 2018; Zhao et al., 2017)","previouslyFormattedCitation":"(Tully et al., 2013; Wang et al., 2018; Zhao et al., 2017)"},"properties":{"noteIndex":0},"schema":"https://github.com/citation-style-language/schema/raw/master/csl-citation.json"}</w:instrText>
      </w:r>
      <w:r w:rsidRPr="00A71133">
        <w:rPr>
          <w:rFonts w:ascii="Times New Roman" w:hAnsi="Times New Roman" w:cs="Times New Roman"/>
          <w:sz w:val="20"/>
          <w:szCs w:val="20"/>
        </w:rPr>
        <w:fldChar w:fldCharType="separate"/>
      </w:r>
      <w:r w:rsidRPr="00A71133">
        <w:rPr>
          <w:rFonts w:ascii="Times New Roman" w:hAnsi="Times New Roman" w:cs="Times New Roman"/>
          <w:noProof/>
          <w:sz w:val="20"/>
          <w:szCs w:val="20"/>
        </w:rPr>
        <w:t>(Tully et al., 2013; Zhao et al., 2017; Wang et al., 2018)</w:t>
      </w:r>
      <w:r w:rsidRPr="00A71133">
        <w:rPr>
          <w:rFonts w:ascii="Times New Roman" w:hAnsi="Times New Roman" w:cs="Times New Roman"/>
          <w:sz w:val="20"/>
          <w:szCs w:val="20"/>
        </w:rPr>
        <w:fldChar w:fldCharType="end"/>
      </w:r>
      <w:r w:rsidRPr="00A71133">
        <w:rPr>
          <w:rFonts w:ascii="Times New Roman" w:hAnsi="Times New Roman" w:cs="Times New Roman"/>
          <w:sz w:val="20"/>
          <w:szCs w:val="20"/>
        </w:rPr>
        <w:t xml:space="preserve">. However, in current study, few significant correlations were observed between soil nutrients and leaf functional trait and nutrient resorption, as well as between leaf functional trait and nutrient resorption, except between N:P ratio of green leaf ([N:P]g) (Fig. 3-4; </w:t>
      </w:r>
      <w:r w:rsidRPr="00A71133">
        <w:rPr>
          <w:rFonts w:ascii="Times New Roman" w:hAnsi="Times New Roman" w:cs="Times New Roman"/>
          <w:sz w:val="20"/>
          <w:szCs w:val="20"/>
        </w:rPr>
        <w:lastRenderedPageBreak/>
        <w:t xml:space="preserve">Fig. S5). Similarly, only growing season temperature (GST) correlated to nutrient resorption, while growing season precipitation (GSP) showed the significant relationships with [N:P]g (Fig. 3). Therefore, three key factors (GST, GSP and [N:P]g) were screened out to establish the three alternatively priori structural equation models </w:t>
      </w:r>
      <w:r w:rsidRPr="00A71133">
        <w:rPr>
          <w:rFonts w:ascii="Times New Roman" w:hAnsi="Times New Roman" w:cs="Times New Roman"/>
          <w:b/>
          <w:bCs/>
          <w:sz w:val="20"/>
          <w:szCs w:val="20"/>
        </w:rPr>
        <w:t>(b-d)</w:t>
      </w:r>
      <w:r w:rsidRPr="00A71133">
        <w:rPr>
          <w:rFonts w:ascii="Times New Roman" w:hAnsi="Times New Roman" w:cs="Times New Roman"/>
          <w:sz w:val="20"/>
          <w:szCs w:val="20"/>
        </w:rPr>
        <w:t xml:space="preserve">. Then, for graminoids, two alternative structural models were selected. The two models differed primarily in terms of which direct effects of GST </w:t>
      </w:r>
      <w:r w:rsidRPr="00A71133">
        <w:rPr>
          <w:rFonts w:ascii="Times New Roman" w:hAnsi="Times New Roman" w:cs="Times New Roman"/>
          <w:b/>
          <w:bCs/>
          <w:sz w:val="20"/>
          <w:szCs w:val="20"/>
        </w:rPr>
        <w:t>(b)</w:t>
      </w:r>
      <w:r w:rsidRPr="00A71133">
        <w:rPr>
          <w:rFonts w:ascii="Times New Roman" w:hAnsi="Times New Roman" w:cs="Times New Roman"/>
          <w:sz w:val="20"/>
          <w:szCs w:val="20"/>
        </w:rPr>
        <w:t xml:space="preserve"> or GSP </w:t>
      </w:r>
      <w:r w:rsidRPr="00A71133">
        <w:rPr>
          <w:rFonts w:ascii="Times New Roman" w:hAnsi="Times New Roman" w:cs="Times New Roman"/>
          <w:b/>
          <w:bCs/>
          <w:sz w:val="20"/>
          <w:szCs w:val="20"/>
        </w:rPr>
        <w:t>(c)</w:t>
      </w:r>
      <w:r w:rsidRPr="00A71133">
        <w:rPr>
          <w:rFonts w:ascii="Times New Roman" w:hAnsi="Times New Roman" w:cs="Times New Roman"/>
          <w:sz w:val="20"/>
          <w:szCs w:val="20"/>
        </w:rPr>
        <w:t xml:space="preserve"> on nutrient resorption were included. In detail, the model </w:t>
      </w:r>
      <w:r w:rsidRPr="00A71133">
        <w:rPr>
          <w:rFonts w:ascii="Times New Roman" w:hAnsi="Times New Roman" w:cs="Times New Roman"/>
          <w:b/>
          <w:bCs/>
          <w:sz w:val="20"/>
          <w:szCs w:val="20"/>
        </w:rPr>
        <w:t>(b)</w:t>
      </w:r>
      <w:r w:rsidRPr="00A71133">
        <w:rPr>
          <w:rFonts w:ascii="Times New Roman" w:hAnsi="Times New Roman" w:cs="Times New Roman"/>
          <w:sz w:val="20"/>
          <w:szCs w:val="20"/>
        </w:rPr>
        <w:t xml:space="preserve"> </w:t>
      </w:r>
      <w:r w:rsidRPr="00A71133">
        <w:rPr>
          <w:rFonts w:ascii="Times New Roman" w:hAnsi="Times New Roman" w:cs="Times New Roman" w:hint="eastAsia"/>
          <w:sz w:val="20"/>
          <w:szCs w:val="20"/>
        </w:rPr>
        <w:t>was fitted well</w:t>
      </w:r>
      <w:r w:rsidRPr="00A71133">
        <w:rPr>
          <w:rFonts w:ascii="Times New Roman" w:hAnsi="Times New Roman" w:cs="Times New Roman"/>
          <w:sz w:val="20"/>
          <w:szCs w:val="20"/>
        </w:rPr>
        <w:t xml:space="preserve"> for both nitrogen resorption efficiency (NRE, Fisher’s C=0.207,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=0.902) and phosphorus resorption efficiency (PRE, Fisher’s C=3.331,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=0.189), and the significantly direct effects of GST on nutrient resorption were also confirmed. Moreover, the model </w:t>
      </w:r>
      <w:r w:rsidRPr="00A71133">
        <w:rPr>
          <w:rFonts w:ascii="Times New Roman" w:hAnsi="Times New Roman" w:cs="Times New Roman"/>
          <w:b/>
          <w:bCs/>
          <w:sz w:val="20"/>
          <w:szCs w:val="20"/>
        </w:rPr>
        <w:t>(c)</w:t>
      </w:r>
      <w:r w:rsidRPr="00A71133">
        <w:rPr>
          <w:rFonts w:ascii="Times New Roman" w:hAnsi="Times New Roman" w:cs="Times New Roman" w:hint="eastAsia"/>
          <w:b/>
          <w:bCs/>
          <w:sz w:val="20"/>
          <w:szCs w:val="20"/>
        </w:rPr>
        <w:t xml:space="preserve"> </w:t>
      </w:r>
      <w:r w:rsidRPr="00A71133">
        <w:rPr>
          <w:rFonts w:ascii="Times New Roman" w:hAnsi="Times New Roman" w:cs="Times New Roman" w:hint="eastAsia"/>
          <w:sz w:val="20"/>
          <w:szCs w:val="20"/>
        </w:rPr>
        <w:t xml:space="preserve">fitted </w:t>
      </w:r>
      <w:r w:rsidRPr="00A71133">
        <w:rPr>
          <w:rFonts w:ascii="Times New Roman" w:hAnsi="Times New Roman" w:cs="Times New Roman"/>
          <w:sz w:val="20"/>
          <w:szCs w:val="20"/>
        </w:rPr>
        <w:t xml:space="preserve">badly for NRE (Fisher’s C=5.856,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=0.054) and PRE (Fisher’s C=10.294, </w:t>
      </w:r>
      <w:r w:rsidRPr="00A71133">
        <w:rPr>
          <w:rFonts w:ascii="Times New Roman" w:hAnsi="Times New Roman" w:cs="Times New Roman"/>
          <w:i/>
          <w:iCs/>
          <w:sz w:val="20"/>
          <w:szCs w:val="20"/>
        </w:rPr>
        <w:t>P</w:t>
      </w:r>
      <w:r w:rsidRPr="00A71133">
        <w:rPr>
          <w:rFonts w:ascii="Times New Roman" w:hAnsi="Times New Roman" w:cs="Times New Roman"/>
          <w:sz w:val="20"/>
          <w:szCs w:val="20"/>
        </w:rPr>
        <w:t>=0.006), and with insignificantly direct effects of GSP on nutrient resorptions.</w:t>
      </w:r>
      <w:r w:rsidRPr="00A71133">
        <w:rPr>
          <w:rFonts w:ascii="Times New Roman" w:hAnsi="Times New Roman" w:cs="Times New Roman" w:hint="eastAsia"/>
          <w:sz w:val="20"/>
          <w:szCs w:val="20"/>
        </w:rPr>
        <w:t xml:space="preserve"> </w:t>
      </w:r>
      <w:r w:rsidRPr="00A71133">
        <w:rPr>
          <w:rFonts w:ascii="Times New Roman" w:hAnsi="Times New Roman" w:cs="Times New Roman"/>
          <w:sz w:val="20"/>
          <w:szCs w:val="20"/>
        </w:rPr>
        <w:t xml:space="preserve">Additionally, for forbs, the three models were all performed and filtered. The model </w:t>
      </w:r>
      <w:r w:rsidRPr="00A71133">
        <w:rPr>
          <w:rFonts w:ascii="Times New Roman" w:hAnsi="Times New Roman" w:cs="Times New Roman"/>
          <w:b/>
          <w:bCs/>
          <w:sz w:val="20"/>
          <w:szCs w:val="20"/>
        </w:rPr>
        <w:t>(b)</w:t>
      </w:r>
      <w:r w:rsidRPr="00A71133">
        <w:rPr>
          <w:rFonts w:ascii="Times New Roman" w:hAnsi="Times New Roman" w:cs="Times New Roman"/>
          <w:sz w:val="20"/>
          <w:szCs w:val="20"/>
        </w:rPr>
        <w:t xml:space="preserve"> was not fitted well for both NRE (Fisher’s C=12.582,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=0.002) and PRE (Fisher’s C=6.504,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=0.039), as well as model </w:t>
      </w:r>
      <w:r w:rsidRPr="00A71133">
        <w:rPr>
          <w:rFonts w:ascii="Times New Roman" w:hAnsi="Times New Roman" w:cs="Times New Roman"/>
          <w:b/>
          <w:bCs/>
          <w:sz w:val="20"/>
          <w:szCs w:val="20"/>
        </w:rPr>
        <w:t>(c)</w:t>
      </w:r>
      <w:r w:rsidRPr="00A71133">
        <w:rPr>
          <w:rFonts w:ascii="Times New Roman" w:hAnsi="Times New Roman" w:cs="Times New Roman"/>
          <w:sz w:val="20"/>
          <w:szCs w:val="20"/>
        </w:rPr>
        <w:t xml:space="preserve"> for both NRE (Fisher’s C=12.095,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=0.002) and PRE (Fisher’s C=8.221,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=0.016). However, model </w:t>
      </w:r>
      <w:r w:rsidRPr="00A71133">
        <w:rPr>
          <w:rFonts w:ascii="Times New Roman" w:hAnsi="Times New Roman" w:cs="Times New Roman"/>
          <w:b/>
          <w:bCs/>
          <w:sz w:val="20"/>
          <w:szCs w:val="20"/>
        </w:rPr>
        <w:t>(d)</w:t>
      </w:r>
      <w:r w:rsidRPr="00A71133">
        <w:rPr>
          <w:rFonts w:ascii="Times New Roman" w:hAnsi="Times New Roman" w:cs="Times New Roman"/>
          <w:sz w:val="20"/>
          <w:szCs w:val="20"/>
        </w:rPr>
        <w:t xml:space="preserve"> was fitted well for NRE (Fisher’s C=7.172,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=0.127) and PRE (Fisher’s C=4.999,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=0.287). Therefore, the model </w:t>
      </w:r>
      <w:r w:rsidRPr="00A71133">
        <w:rPr>
          <w:rFonts w:ascii="Times New Roman" w:hAnsi="Times New Roman" w:cs="Times New Roman"/>
          <w:b/>
          <w:bCs/>
          <w:sz w:val="20"/>
          <w:szCs w:val="20"/>
        </w:rPr>
        <w:t>(b)</w:t>
      </w:r>
      <w:r w:rsidRPr="00A71133">
        <w:rPr>
          <w:rFonts w:ascii="Times New Roman" w:hAnsi="Times New Roman" w:cs="Times New Roman"/>
          <w:sz w:val="20"/>
          <w:szCs w:val="20"/>
        </w:rPr>
        <w:t xml:space="preserve"> and </w:t>
      </w:r>
      <w:r w:rsidRPr="00A71133">
        <w:rPr>
          <w:rFonts w:ascii="Times New Roman" w:hAnsi="Times New Roman" w:cs="Times New Roman"/>
          <w:b/>
          <w:bCs/>
          <w:sz w:val="20"/>
          <w:szCs w:val="20"/>
        </w:rPr>
        <w:t>(d)</w:t>
      </w:r>
      <w:r w:rsidRPr="00A71133">
        <w:rPr>
          <w:rFonts w:ascii="Times New Roman" w:hAnsi="Times New Roman" w:cs="Times New Roman"/>
          <w:sz w:val="20"/>
          <w:szCs w:val="20"/>
        </w:rPr>
        <w:t xml:space="preserve"> were finally adopted to explore the direct and indirect effects of climate and leaf functional traits on nutrient resorption efficiencies for graminoids and forbs, respectively.</w:t>
      </w:r>
    </w:p>
    <w:p w14:paraId="0A5C7AC8" w14:textId="77777777" w:rsidR="008930CB" w:rsidRPr="00A71133" w:rsidRDefault="008930CB" w:rsidP="00000C3A">
      <w:pPr>
        <w:spacing w:line="480" w:lineRule="auto"/>
        <w:rPr>
          <w:rFonts w:ascii="Times New Roman" w:hAnsi="Times New Roman" w:cs="Times New Roman"/>
          <w:b/>
          <w:bCs/>
          <w:sz w:val="20"/>
          <w:szCs w:val="20"/>
        </w:rPr>
      </w:pPr>
      <w:r w:rsidRPr="00A71133">
        <w:rPr>
          <w:rFonts w:ascii="Times New Roman" w:hAnsi="Times New Roman" w:cs="Times New Roman"/>
          <w:b/>
          <w:bCs/>
          <w:sz w:val="20"/>
          <w:szCs w:val="20"/>
        </w:rPr>
        <w:t>References</w:t>
      </w:r>
    </w:p>
    <w:p w14:paraId="18DEF24C" w14:textId="669949D2" w:rsidR="008930CB" w:rsidRPr="00D45790" w:rsidRDefault="008930CB" w:rsidP="00000C3A">
      <w:pPr>
        <w:spacing w:line="480" w:lineRule="auto"/>
        <w:ind w:left="400" w:hangingChars="200" w:hanging="400"/>
        <w:rPr>
          <w:rFonts w:ascii="Times New Roman" w:hAnsi="Times New Roman" w:cs="Times New Roman"/>
          <w:color w:val="0000FF"/>
          <w:sz w:val="20"/>
          <w:szCs w:val="20"/>
        </w:rPr>
      </w:pPr>
      <w:r w:rsidRPr="00D45790">
        <w:rPr>
          <w:rFonts w:ascii="Times New Roman" w:hAnsi="Times New Roman" w:cs="Times New Roman"/>
          <w:sz w:val="20"/>
          <w:szCs w:val="20"/>
        </w:rPr>
        <w:t xml:space="preserve">Chen Z F, </w:t>
      </w:r>
      <w:proofErr w:type="spellStart"/>
      <w:r w:rsidRPr="00D45790">
        <w:rPr>
          <w:rFonts w:ascii="Times New Roman" w:hAnsi="Times New Roman" w:cs="Times New Roman"/>
          <w:sz w:val="20"/>
          <w:szCs w:val="20"/>
        </w:rPr>
        <w:t>Xiong</w:t>
      </w:r>
      <w:proofErr w:type="spellEnd"/>
      <w:r w:rsidRPr="00D45790">
        <w:rPr>
          <w:rFonts w:ascii="Times New Roman" w:hAnsi="Times New Roman" w:cs="Times New Roman"/>
          <w:sz w:val="20"/>
          <w:szCs w:val="20"/>
        </w:rPr>
        <w:t xml:space="preserve"> P F, Zhou J </w:t>
      </w:r>
      <w:proofErr w:type="spellStart"/>
      <w:r w:rsidRPr="00D45790">
        <w:rPr>
          <w:rFonts w:ascii="Times New Roman" w:hAnsi="Times New Roman" w:cs="Times New Roman"/>
          <w:sz w:val="20"/>
          <w:szCs w:val="20"/>
        </w:rPr>
        <w:t>J</w:t>
      </w:r>
      <w:proofErr w:type="spellEnd"/>
      <w:r w:rsidRPr="00D45790">
        <w:rPr>
          <w:rFonts w:ascii="Times New Roman" w:hAnsi="Times New Roman" w:cs="Times New Roman"/>
          <w:sz w:val="20"/>
          <w:szCs w:val="20"/>
        </w:rPr>
        <w:t xml:space="preserve">, Yang Q, Wang Z, Xu B C. 2020. Grassland productivity and diversity changes in responses to N and P addition depend primarily on tall clonal and annual species in semiarid Loess Plateau. </w:t>
      </w:r>
      <w:proofErr w:type="spellStart"/>
      <w:r w:rsidRPr="00D45790">
        <w:rPr>
          <w:rFonts w:ascii="Times New Roman" w:hAnsi="Times New Roman" w:cs="Times New Roman"/>
          <w:sz w:val="20"/>
          <w:szCs w:val="20"/>
        </w:rPr>
        <w:t>Ecol</w:t>
      </w:r>
      <w:proofErr w:type="spellEnd"/>
      <w:r w:rsidRPr="00D45790">
        <w:rPr>
          <w:rFonts w:ascii="Times New Roman" w:hAnsi="Times New Roman" w:cs="Times New Roman"/>
          <w:sz w:val="20"/>
          <w:szCs w:val="20"/>
        </w:rPr>
        <w:t xml:space="preserve"> </w:t>
      </w:r>
      <w:proofErr w:type="spellStart"/>
      <w:r w:rsidRPr="00D45790">
        <w:rPr>
          <w:rFonts w:ascii="Times New Roman" w:hAnsi="Times New Roman" w:cs="Times New Roman"/>
          <w:sz w:val="20"/>
          <w:szCs w:val="20"/>
        </w:rPr>
        <w:t>Eng</w:t>
      </w:r>
      <w:proofErr w:type="spellEnd"/>
      <w:r w:rsidRPr="00D45790">
        <w:rPr>
          <w:rFonts w:ascii="Times New Roman" w:hAnsi="Times New Roman" w:cs="Times New Roman"/>
          <w:sz w:val="20"/>
          <w:szCs w:val="20"/>
        </w:rPr>
        <w:t xml:space="preserve"> 145:105727. </w:t>
      </w:r>
      <w:r w:rsidR="00E317B3" w:rsidRPr="00D45790">
        <w:rPr>
          <w:rFonts w:ascii="Times New Roman" w:hAnsi="Times New Roman" w:cs="Times New Roman"/>
          <w:noProof/>
          <w:color w:val="0000FF"/>
          <w:kern w:val="0"/>
          <w:sz w:val="20"/>
          <w:szCs w:val="20"/>
        </w:rPr>
        <w:t>https://doi.org/</w:t>
      </w:r>
      <w:r w:rsidRPr="00D45790">
        <w:rPr>
          <w:rFonts w:ascii="Times New Roman" w:hAnsi="Times New Roman" w:cs="Times New Roman"/>
          <w:color w:val="0000FF"/>
          <w:sz w:val="20"/>
          <w:szCs w:val="20"/>
        </w:rPr>
        <w:t>10.1016/j.ecoleng.2020.105727</w:t>
      </w:r>
    </w:p>
    <w:p w14:paraId="3C020475" w14:textId="7CFFB859" w:rsidR="008930CB" w:rsidRPr="00D45790" w:rsidRDefault="008930CB" w:rsidP="00000C3A">
      <w:pPr>
        <w:spacing w:line="480" w:lineRule="auto"/>
        <w:ind w:left="400" w:hangingChars="200" w:hanging="400"/>
        <w:rPr>
          <w:rFonts w:ascii="Times New Roman" w:hAnsi="Times New Roman" w:cs="Times New Roman"/>
          <w:sz w:val="20"/>
          <w:szCs w:val="20"/>
        </w:rPr>
      </w:pPr>
      <w:r w:rsidRPr="00D45790">
        <w:rPr>
          <w:rFonts w:ascii="Times New Roman" w:hAnsi="Times New Roman" w:cs="Times New Roman"/>
          <w:sz w:val="20"/>
          <w:szCs w:val="20"/>
        </w:rPr>
        <w:t xml:space="preserve">Du E Z, </w:t>
      </w:r>
      <w:proofErr w:type="spellStart"/>
      <w:r w:rsidRPr="00D45790">
        <w:rPr>
          <w:rFonts w:ascii="Times New Roman" w:hAnsi="Times New Roman" w:cs="Times New Roman"/>
          <w:sz w:val="20"/>
          <w:szCs w:val="20"/>
        </w:rPr>
        <w:t>Terrer</w:t>
      </w:r>
      <w:proofErr w:type="spellEnd"/>
      <w:r w:rsidRPr="00D45790">
        <w:rPr>
          <w:rFonts w:ascii="Times New Roman" w:hAnsi="Times New Roman" w:cs="Times New Roman"/>
          <w:sz w:val="20"/>
          <w:szCs w:val="20"/>
        </w:rPr>
        <w:t xml:space="preserve"> C, Pellegrini A F A, </w:t>
      </w:r>
      <w:proofErr w:type="spellStart"/>
      <w:r w:rsidRPr="00D45790">
        <w:rPr>
          <w:rFonts w:ascii="Times New Roman" w:hAnsi="Times New Roman" w:cs="Times New Roman"/>
          <w:sz w:val="20"/>
          <w:szCs w:val="20"/>
        </w:rPr>
        <w:t>Ahlström</w:t>
      </w:r>
      <w:proofErr w:type="spellEnd"/>
      <w:r w:rsidRPr="00D45790">
        <w:rPr>
          <w:rFonts w:ascii="Times New Roman" w:hAnsi="Times New Roman" w:cs="Times New Roman"/>
          <w:sz w:val="20"/>
          <w:szCs w:val="20"/>
        </w:rPr>
        <w:t xml:space="preserve"> A, van Lissa C J, Zhao X, Xia N, Wu X H, Jackson R B. 2020. Global patterns of terrestrial nitrogen and phosphorus limitation. Nat </w:t>
      </w:r>
      <w:proofErr w:type="spellStart"/>
      <w:r w:rsidRPr="00D45790">
        <w:rPr>
          <w:rFonts w:ascii="Times New Roman" w:hAnsi="Times New Roman" w:cs="Times New Roman"/>
          <w:sz w:val="20"/>
          <w:szCs w:val="20"/>
        </w:rPr>
        <w:t>Geosci</w:t>
      </w:r>
      <w:proofErr w:type="spellEnd"/>
      <w:r w:rsidRPr="00D45790">
        <w:rPr>
          <w:rFonts w:ascii="Times New Roman" w:hAnsi="Times New Roman" w:cs="Times New Roman"/>
          <w:sz w:val="20"/>
          <w:szCs w:val="20"/>
        </w:rPr>
        <w:t xml:space="preserve"> 13:221–226. </w:t>
      </w:r>
      <w:r w:rsidR="00E317B3" w:rsidRPr="00D45790">
        <w:rPr>
          <w:rFonts w:ascii="Times New Roman" w:hAnsi="Times New Roman" w:cs="Times New Roman"/>
          <w:noProof/>
          <w:color w:val="0000FF"/>
          <w:kern w:val="0"/>
          <w:sz w:val="20"/>
          <w:szCs w:val="20"/>
        </w:rPr>
        <w:lastRenderedPageBreak/>
        <w:t>https://doi.org/</w:t>
      </w:r>
      <w:r w:rsidRPr="00D45790">
        <w:rPr>
          <w:rFonts w:ascii="Times New Roman" w:hAnsi="Times New Roman" w:cs="Times New Roman"/>
          <w:color w:val="0000FF"/>
          <w:sz w:val="20"/>
          <w:szCs w:val="20"/>
        </w:rPr>
        <w:t>10.1038/s41561-019-0530-4</w:t>
      </w:r>
    </w:p>
    <w:p w14:paraId="3471D4D8" w14:textId="29A929BD" w:rsidR="008930CB" w:rsidRPr="00D45790" w:rsidRDefault="008930CB" w:rsidP="00000C3A">
      <w:pPr>
        <w:spacing w:line="480" w:lineRule="auto"/>
        <w:ind w:left="400" w:hangingChars="200" w:hanging="400"/>
        <w:rPr>
          <w:rFonts w:ascii="Times New Roman" w:hAnsi="Times New Roman" w:cs="Times New Roman"/>
          <w:sz w:val="20"/>
          <w:szCs w:val="20"/>
        </w:rPr>
      </w:pPr>
      <w:proofErr w:type="spellStart"/>
      <w:r w:rsidRPr="00D45790">
        <w:rPr>
          <w:rFonts w:ascii="Times New Roman" w:eastAsia="宋体" w:hAnsi="Times New Roman" w:cs="Times New Roman"/>
          <w:color w:val="000000" w:themeColor="text1"/>
          <w:sz w:val="20"/>
          <w:szCs w:val="20"/>
        </w:rPr>
        <w:t>Ghiloufi</w:t>
      </w:r>
      <w:proofErr w:type="spellEnd"/>
      <w:r w:rsidRPr="00D45790">
        <w:rPr>
          <w:rFonts w:ascii="Times New Roman" w:eastAsia="宋体" w:hAnsi="Times New Roman" w:cs="Times New Roman"/>
          <w:color w:val="000000" w:themeColor="text1"/>
          <w:sz w:val="20"/>
          <w:szCs w:val="20"/>
        </w:rPr>
        <w:t xml:space="preserve"> W, </w:t>
      </w:r>
      <w:proofErr w:type="spellStart"/>
      <w:r w:rsidRPr="00D45790">
        <w:rPr>
          <w:rFonts w:ascii="Times New Roman" w:eastAsia="宋体" w:hAnsi="Times New Roman" w:cs="Times New Roman"/>
          <w:color w:val="000000" w:themeColor="text1"/>
          <w:sz w:val="20"/>
          <w:szCs w:val="20"/>
        </w:rPr>
        <w:t>Chaieb</w:t>
      </w:r>
      <w:proofErr w:type="spellEnd"/>
      <w:r w:rsidRPr="00D45790">
        <w:rPr>
          <w:rFonts w:ascii="Times New Roman" w:eastAsia="宋体" w:hAnsi="Times New Roman" w:cs="Times New Roman"/>
          <w:color w:val="000000" w:themeColor="text1"/>
          <w:sz w:val="20"/>
          <w:szCs w:val="20"/>
        </w:rPr>
        <w:t xml:space="preserve"> M. 2021. Environmental factors controlling vegetation attributes, soil nutrients and hydrolases in South Mediterranean arid grasslands. </w:t>
      </w:r>
      <w:proofErr w:type="spellStart"/>
      <w:r w:rsidRPr="00D45790">
        <w:rPr>
          <w:rFonts w:ascii="Times New Roman" w:eastAsia="宋体" w:hAnsi="Times New Roman" w:cs="Times New Roman"/>
          <w:color w:val="000000" w:themeColor="text1"/>
          <w:sz w:val="20"/>
          <w:szCs w:val="20"/>
        </w:rPr>
        <w:t>Ecol</w:t>
      </w:r>
      <w:proofErr w:type="spellEnd"/>
      <w:r w:rsidRPr="00D45790">
        <w:rPr>
          <w:rFonts w:ascii="Times New Roman" w:eastAsia="宋体" w:hAnsi="Times New Roman" w:cs="Times New Roman"/>
          <w:color w:val="000000" w:themeColor="text1"/>
          <w:sz w:val="20"/>
          <w:szCs w:val="20"/>
        </w:rPr>
        <w:t xml:space="preserve"> </w:t>
      </w:r>
      <w:proofErr w:type="spellStart"/>
      <w:r w:rsidRPr="00D45790">
        <w:rPr>
          <w:rFonts w:ascii="Times New Roman" w:eastAsia="宋体" w:hAnsi="Times New Roman" w:cs="Times New Roman"/>
          <w:color w:val="000000" w:themeColor="text1"/>
          <w:sz w:val="20"/>
          <w:szCs w:val="20"/>
        </w:rPr>
        <w:t>Eng</w:t>
      </w:r>
      <w:proofErr w:type="spellEnd"/>
      <w:r w:rsidRPr="00D45790">
        <w:rPr>
          <w:rFonts w:ascii="Times New Roman" w:eastAsia="宋体" w:hAnsi="Times New Roman" w:cs="Times New Roman"/>
          <w:color w:val="000000" w:themeColor="text1"/>
          <w:sz w:val="20"/>
          <w:szCs w:val="20"/>
        </w:rPr>
        <w:t xml:space="preserve"> 161:106155. </w:t>
      </w:r>
      <w:r w:rsidR="00E317B3" w:rsidRPr="00D45790">
        <w:rPr>
          <w:rFonts w:ascii="Times New Roman" w:hAnsi="Times New Roman" w:cs="Times New Roman"/>
          <w:noProof/>
          <w:color w:val="0000FF"/>
          <w:kern w:val="0"/>
          <w:sz w:val="20"/>
          <w:szCs w:val="20"/>
        </w:rPr>
        <w:t>https://doi.org/</w:t>
      </w:r>
      <w:r w:rsidRPr="00D45790">
        <w:rPr>
          <w:rFonts w:ascii="Times New Roman" w:eastAsia="宋体" w:hAnsi="Times New Roman" w:cs="Times New Roman"/>
          <w:color w:val="0000FF"/>
          <w:sz w:val="20"/>
          <w:szCs w:val="20"/>
        </w:rPr>
        <w:t>10.1016/j.ecoleng.2021.106155</w:t>
      </w:r>
    </w:p>
    <w:p w14:paraId="0DFF423B" w14:textId="17C8C1B4" w:rsidR="008930CB" w:rsidRPr="00D45790" w:rsidRDefault="008930CB" w:rsidP="00000C3A">
      <w:pPr>
        <w:spacing w:line="480" w:lineRule="auto"/>
        <w:ind w:left="400" w:hangingChars="200" w:hanging="400"/>
        <w:rPr>
          <w:rFonts w:ascii="Times New Roman" w:hAnsi="Times New Roman" w:cs="Times New Roman"/>
          <w:sz w:val="20"/>
          <w:szCs w:val="20"/>
        </w:rPr>
      </w:pPr>
      <w:r w:rsidRPr="00D45790">
        <w:rPr>
          <w:rFonts w:ascii="Times New Roman" w:hAnsi="Times New Roman" w:cs="Times New Roman"/>
          <w:sz w:val="20"/>
          <w:szCs w:val="20"/>
        </w:rPr>
        <w:t xml:space="preserve">Gong H D, Cui Q J, Gao J. 2020. Latitudinal, soil and climate effects on key leaf traits in northeastern China. Glob </w:t>
      </w:r>
      <w:proofErr w:type="spellStart"/>
      <w:r w:rsidRPr="00D45790">
        <w:rPr>
          <w:rFonts w:ascii="Times New Roman" w:hAnsi="Times New Roman" w:cs="Times New Roman"/>
          <w:sz w:val="20"/>
          <w:szCs w:val="20"/>
        </w:rPr>
        <w:t>Ecol</w:t>
      </w:r>
      <w:proofErr w:type="spellEnd"/>
      <w:r w:rsidRPr="00D45790">
        <w:rPr>
          <w:rFonts w:ascii="Times New Roman" w:hAnsi="Times New Roman" w:cs="Times New Roman"/>
          <w:sz w:val="20"/>
          <w:szCs w:val="20"/>
        </w:rPr>
        <w:t xml:space="preserve"> </w:t>
      </w:r>
      <w:proofErr w:type="spellStart"/>
      <w:r w:rsidRPr="00D45790">
        <w:rPr>
          <w:rFonts w:ascii="Times New Roman" w:hAnsi="Times New Roman" w:cs="Times New Roman"/>
          <w:sz w:val="20"/>
          <w:szCs w:val="20"/>
        </w:rPr>
        <w:t>Conserv</w:t>
      </w:r>
      <w:proofErr w:type="spellEnd"/>
      <w:r w:rsidRPr="00D45790">
        <w:rPr>
          <w:rFonts w:ascii="Times New Roman" w:hAnsi="Times New Roman" w:cs="Times New Roman"/>
          <w:sz w:val="20"/>
          <w:szCs w:val="20"/>
        </w:rPr>
        <w:t xml:space="preserve"> 22:e00904. </w:t>
      </w:r>
      <w:r w:rsidR="00E317B3" w:rsidRPr="00D45790">
        <w:rPr>
          <w:rFonts w:ascii="Times New Roman" w:hAnsi="Times New Roman" w:cs="Times New Roman"/>
          <w:noProof/>
          <w:color w:val="0000FF"/>
          <w:kern w:val="0"/>
          <w:sz w:val="20"/>
          <w:szCs w:val="20"/>
        </w:rPr>
        <w:t>https://doi.org/</w:t>
      </w:r>
      <w:r w:rsidRPr="00D45790">
        <w:rPr>
          <w:rFonts w:ascii="Times New Roman" w:hAnsi="Times New Roman" w:cs="Times New Roman"/>
          <w:color w:val="0000FF"/>
          <w:sz w:val="20"/>
          <w:szCs w:val="20"/>
        </w:rPr>
        <w:t>10.1016/j.gecco.2020.e00904</w:t>
      </w:r>
    </w:p>
    <w:p w14:paraId="149C8A28" w14:textId="056AC6D9" w:rsidR="008930CB" w:rsidRPr="00D45790" w:rsidRDefault="008930CB" w:rsidP="00000C3A">
      <w:pPr>
        <w:spacing w:line="480" w:lineRule="auto"/>
        <w:ind w:left="400" w:hangingChars="200" w:hanging="400"/>
        <w:rPr>
          <w:rFonts w:ascii="Times New Roman" w:eastAsia="宋体" w:hAnsi="Times New Roman" w:cs="Times New Roman"/>
          <w:color w:val="0000FF"/>
          <w:sz w:val="20"/>
          <w:szCs w:val="20"/>
        </w:rPr>
      </w:pPr>
      <w:proofErr w:type="spellStart"/>
      <w:r w:rsidRPr="00D45790">
        <w:rPr>
          <w:rFonts w:ascii="Times New Roman" w:eastAsia="宋体" w:hAnsi="Times New Roman" w:cs="Times New Roman"/>
          <w:sz w:val="20"/>
          <w:szCs w:val="20"/>
        </w:rPr>
        <w:t>Ordoñez</w:t>
      </w:r>
      <w:proofErr w:type="spellEnd"/>
      <w:r w:rsidRPr="00D45790">
        <w:rPr>
          <w:rFonts w:ascii="Times New Roman" w:eastAsia="宋体" w:hAnsi="Times New Roman" w:cs="Times New Roman"/>
          <w:sz w:val="20"/>
          <w:szCs w:val="20"/>
        </w:rPr>
        <w:t xml:space="preserve"> J C, van </w:t>
      </w:r>
      <w:proofErr w:type="spellStart"/>
      <w:r w:rsidRPr="00D45790">
        <w:rPr>
          <w:rFonts w:ascii="Times New Roman" w:eastAsia="宋体" w:hAnsi="Times New Roman" w:cs="Times New Roman"/>
          <w:sz w:val="20"/>
          <w:szCs w:val="20"/>
        </w:rPr>
        <w:t>Bodegom</w:t>
      </w:r>
      <w:proofErr w:type="spellEnd"/>
      <w:r w:rsidRPr="00D45790">
        <w:rPr>
          <w:rFonts w:ascii="Times New Roman" w:eastAsia="宋体" w:hAnsi="Times New Roman" w:cs="Times New Roman"/>
          <w:sz w:val="20"/>
          <w:szCs w:val="20"/>
        </w:rPr>
        <w:t xml:space="preserve"> P M, Witte J P M, Wright I J, Reich PB, </w:t>
      </w:r>
      <w:proofErr w:type="spellStart"/>
      <w:r w:rsidRPr="00D45790">
        <w:rPr>
          <w:rFonts w:ascii="Times New Roman" w:eastAsia="宋体" w:hAnsi="Times New Roman" w:cs="Times New Roman"/>
          <w:sz w:val="20"/>
          <w:szCs w:val="20"/>
        </w:rPr>
        <w:t>Aerts</w:t>
      </w:r>
      <w:proofErr w:type="spellEnd"/>
      <w:r w:rsidRPr="00D45790">
        <w:rPr>
          <w:rFonts w:ascii="Times New Roman" w:eastAsia="宋体" w:hAnsi="Times New Roman" w:cs="Times New Roman"/>
          <w:sz w:val="20"/>
          <w:szCs w:val="20"/>
        </w:rPr>
        <w:t xml:space="preserve"> R. 2009. A global study of relationships between leaf traits, climate and soil measures of nutrient fertility. Glob </w:t>
      </w:r>
      <w:proofErr w:type="spellStart"/>
      <w:r w:rsidRPr="00D45790">
        <w:rPr>
          <w:rFonts w:ascii="Times New Roman" w:eastAsia="宋体" w:hAnsi="Times New Roman" w:cs="Times New Roman"/>
          <w:sz w:val="20"/>
          <w:szCs w:val="20"/>
        </w:rPr>
        <w:t>Ecol</w:t>
      </w:r>
      <w:proofErr w:type="spellEnd"/>
      <w:r w:rsidRPr="00D45790">
        <w:rPr>
          <w:rFonts w:ascii="Times New Roman" w:eastAsia="宋体" w:hAnsi="Times New Roman" w:cs="Times New Roman"/>
          <w:sz w:val="20"/>
          <w:szCs w:val="20"/>
        </w:rPr>
        <w:t xml:space="preserve"> </w:t>
      </w:r>
      <w:proofErr w:type="spellStart"/>
      <w:r w:rsidRPr="00D45790">
        <w:rPr>
          <w:rFonts w:ascii="Times New Roman" w:eastAsia="宋体" w:hAnsi="Times New Roman" w:cs="Times New Roman"/>
          <w:sz w:val="20"/>
          <w:szCs w:val="20"/>
        </w:rPr>
        <w:t>Biogeogr</w:t>
      </w:r>
      <w:proofErr w:type="spellEnd"/>
      <w:r w:rsidR="00D45790" w:rsidRPr="00D45790">
        <w:rPr>
          <w:rFonts w:ascii="Times New Roman" w:eastAsia="宋体" w:hAnsi="Times New Roman" w:cs="Times New Roman"/>
          <w:sz w:val="20"/>
          <w:szCs w:val="20"/>
        </w:rPr>
        <w:t xml:space="preserve"> </w:t>
      </w:r>
      <w:r w:rsidRPr="00D45790">
        <w:rPr>
          <w:rFonts w:ascii="Times New Roman" w:eastAsia="宋体" w:hAnsi="Times New Roman" w:cs="Times New Roman"/>
          <w:sz w:val="20"/>
          <w:szCs w:val="20"/>
        </w:rPr>
        <w:t xml:space="preserve">18: 137–149. </w:t>
      </w:r>
      <w:r w:rsidR="00E317B3" w:rsidRPr="00D45790">
        <w:rPr>
          <w:rFonts w:ascii="Times New Roman" w:hAnsi="Times New Roman" w:cs="Times New Roman"/>
          <w:noProof/>
          <w:color w:val="0000FF"/>
          <w:kern w:val="0"/>
          <w:sz w:val="20"/>
          <w:szCs w:val="20"/>
        </w:rPr>
        <w:t>https://doi.org/</w:t>
      </w:r>
      <w:r w:rsidRPr="00D45790">
        <w:rPr>
          <w:rFonts w:ascii="Times New Roman" w:eastAsia="宋体" w:hAnsi="Times New Roman" w:cs="Times New Roman"/>
          <w:color w:val="0000FF"/>
          <w:sz w:val="20"/>
          <w:szCs w:val="20"/>
        </w:rPr>
        <w:t>10.1111/j.1466-8238.2008.00441.x</w:t>
      </w:r>
    </w:p>
    <w:p w14:paraId="546CE743" w14:textId="02FEE98F" w:rsidR="008930CB" w:rsidRPr="00D45790" w:rsidRDefault="008930CB" w:rsidP="00000C3A">
      <w:pPr>
        <w:tabs>
          <w:tab w:val="center" w:pos="4153"/>
          <w:tab w:val="left" w:pos="4775"/>
        </w:tabs>
        <w:spacing w:line="480" w:lineRule="auto"/>
        <w:ind w:left="400" w:hangingChars="200" w:hanging="400"/>
        <w:rPr>
          <w:rFonts w:ascii="Times New Roman" w:eastAsia="宋体" w:hAnsi="Times New Roman" w:cs="Times New Roman"/>
          <w:color w:val="0000FF"/>
          <w:sz w:val="20"/>
          <w:szCs w:val="20"/>
        </w:rPr>
      </w:pPr>
      <w:r w:rsidRPr="00D45790">
        <w:rPr>
          <w:rFonts w:ascii="Times New Roman" w:eastAsia="宋体" w:hAnsi="Times New Roman" w:cs="Times New Roman"/>
          <w:sz w:val="20"/>
          <w:szCs w:val="20"/>
        </w:rPr>
        <w:t xml:space="preserve">Reed S C, Townsend A R, Davidson E A, Cleveland C </w:t>
      </w:r>
      <w:proofErr w:type="spellStart"/>
      <w:r w:rsidRPr="00D45790">
        <w:rPr>
          <w:rFonts w:ascii="Times New Roman" w:eastAsia="宋体" w:hAnsi="Times New Roman" w:cs="Times New Roman"/>
          <w:sz w:val="20"/>
          <w:szCs w:val="20"/>
        </w:rPr>
        <w:t>C</w:t>
      </w:r>
      <w:proofErr w:type="spellEnd"/>
      <w:r w:rsidRPr="00D45790">
        <w:rPr>
          <w:rFonts w:ascii="Times New Roman" w:eastAsia="宋体" w:hAnsi="Times New Roman" w:cs="Times New Roman"/>
          <w:sz w:val="20"/>
          <w:szCs w:val="20"/>
        </w:rPr>
        <w:t xml:space="preserve">. 2012. Stoichiometric patterns in foliar nutrient resorption across multiple scales. New Phytol 196:173–180. </w:t>
      </w:r>
      <w:r w:rsidR="00E317B3" w:rsidRPr="00D45790">
        <w:rPr>
          <w:rFonts w:ascii="Times New Roman" w:hAnsi="Times New Roman" w:cs="Times New Roman"/>
          <w:noProof/>
          <w:color w:val="0000FF"/>
          <w:kern w:val="0"/>
          <w:sz w:val="20"/>
          <w:szCs w:val="20"/>
        </w:rPr>
        <w:t>https://doi.org/</w:t>
      </w:r>
      <w:r w:rsidRPr="00D45790">
        <w:rPr>
          <w:rFonts w:ascii="Times New Roman" w:eastAsia="宋体" w:hAnsi="Times New Roman" w:cs="Times New Roman"/>
          <w:color w:val="0000FF"/>
          <w:sz w:val="20"/>
          <w:szCs w:val="20"/>
        </w:rPr>
        <w:t>10.1111/j.1469-8137.2012.04249.x</w:t>
      </w:r>
    </w:p>
    <w:p w14:paraId="70F0E129" w14:textId="04C5E87D" w:rsidR="008930CB" w:rsidRPr="00D45790" w:rsidRDefault="008930CB" w:rsidP="00000C3A">
      <w:pPr>
        <w:spacing w:line="480" w:lineRule="auto"/>
        <w:ind w:left="400" w:hangingChars="200" w:hanging="400"/>
        <w:rPr>
          <w:rFonts w:ascii="Times New Roman" w:hAnsi="Times New Roman" w:cs="Times New Roman"/>
          <w:sz w:val="20"/>
          <w:szCs w:val="20"/>
        </w:rPr>
      </w:pPr>
      <w:r w:rsidRPr="00D45790">
        <w:rPr>
          <w:rFonts w:ascii="Times New Roman" w:hAnsi="Times New Roman" w:cs="Times New Roman"/>
          <w:sz w:val="20"/>
          <w:szCs w:val="20"/>
        </w:rPr>
        <w:t xml:space="preserve">Tian L M, Zhao L, Wu X D, Hu G J, Fang H B, Zhao Y H, Sheng Y, Chen J, Wu J C, Li W P, Ping C L, Pang Q </w:t>
      </w:r>
      <w:proofErr w:type="spellStart"/>
      <w:r w:rsidRPr="00D45790">
        <w:rPr>
          <w:rFonts w:ascii="Times New Roman" w:hAnsi="Times New Roman" w:cs="Times New Roman"/>
          <w:sz w:val="20"/>
          <w:szCs w:val="20"/>
        </w:rPr>
        <w:t>Q</w:t>
      </w:r>
      <w:proofErr w:type="spellEnd"/>
      <w:r w:rsidRPr="00D45790">
        <w:rPr>
          <w:rFonts w:ascii="Times New Roman" w:hAnsi="Times New Roman" w:cs="Times New Roman"/>
          <w:sz w:val="20"/>
          <w:szCs w:val="20"/>
        </w:rPr>
        <w:t xml:space="preserve">, Liu Y, Shi W, Wu T H, Zhang X M. 2019. Variations in soil nutrient availability across Tibetan grassland from the 1980s to 2010s. </w:t>
      </w:r>
      <w:proofErr w:type="spellStart"/>
      <w:r w:rsidRPr="00D45790">
        <w:rPr>
          <w:rFonts w:ascii="Times New Roman" w:hAnsi="Times New Roman" w:cs="Times New Roman"/>
          <w:sz w:val="20"/>
          <w:szCs w:val="20"/>
        </w:rPr>
        <w:t>Geoderma</w:t>
      </w:r>
      <w:proofErr w:type="spellEnd"/>
      <w:r w:rsidRPr="00D45790">
        <w:rPr>
          <w:rFonts w:ascii="Times New Roman" w:hAnsi="Times New Roman" w:cs="Times New Roman"/>
          <w:sz w:val="20"/>
          <w:szCs w:val="20"/>
        </w:rPr>
        <w:t xml:space="preserve"> 338:197–205. </w:t>
      </w:r>
      <w:r w:rsidR="00E317B3" w:rsidRPr="00D45790">
        <w:rPr>
          <w:rFonts w:ascii="Times New Roman" w:hAnsi="Times New Roman" w:cs="Times New Roman"/>
          <w:noProof/>
          <w:color w:val="0000FF"/>
          <w:kern w:val="0"/>
          <w:sz w:val="20"/>
          <w:szCs w:val="20"/>
        </w:rPr>
        <w:t>https://doi.org/</w:t>
      </w:r>
      <w:r w:rsidRPr="00D45790">
        <w:rPr>
          <w:rFonts w:ascii="Times New Roman" w:hAnsi="Times New Roman" w:cs="Times New Roman"/>
          <w:color w:val="0000FF"/>
          <w:sz w:val="20"/>
          <w:szCs w:val="20"/>
        </w:rPr>
        <w:t>10.1016/j.geoderma.2018.12.009</w:t>
      </w:r>
    </w:p>
    <w:p w14:paraId="63FACA58" w14:textId="37A71C20" w:rsidR="008930CB" w:rsidRPr="00D45790" w:rsidRDefault="008930CB" w:rsidP="00000C3A">
      <w:pPr>
        <w:tabs>
          <w:tab w:val="center" w:pos="4153"/>
          <w:tab w:val="left" w:pos="4775"/>
        </w:tabs>
        <w:spacing w:line="480" w:lineRule="auto"/>
        <w:ind w:left="400" w:hangingChars="200" w:hanging="400"/>
        <w:rPr>
          <w:rFonts w:ascii="Times New Roman" w:eastAsia="宋体" w:hAnsi="Times New Roman" w:cs="Times New Roman"/>
          <w:sz w:val="20"/>
          <w:szCs w:val="20"/>
        </w:rPr>
      </w:pPr>
      <w:r w:rsidRPr="00D45790">
        <w:rPr>
          <w:rFonts w:ascii="Times New Roman" w:eastAsia="宋体" w:hAnsi="Times New Roman" w:cs="Times New Roman"/>
          <w:sz w:val="20"/>
          <w:szCs w:val="20"/>
        </w:rPr>
        <w:t xml:space="preserve">Tully K L, Wood T E, </w:t>
      </w:r>
      <w:proofErr w:type="spellStart"/>
      <w:r w:rsidRPr="00D45790">
        <w:rPr>
          <w:rFonts w:ascii="Times New Roman" w:eastAsia="宋体" w:hAnsi="Times New Roman" w:cs="Times New Roman"/>
          <w:sz w:val="20"/>
          <w:szCs w:val="20"/>
        </w:rPr>
        <w:t>Schwantes</w:t>
      </w:r>
      <w:proofErr w:type="spellEnd"/>
      <w:r w:rsidRPr="00D45790">
        <w:rPr>
          <w:rFonts w:ascii="Times New Roman" w:eastAsia="宋体" w:hAnsi="Times New Roman" w:cs="Times New Roman"/>
          <w:sz w:val="20"/>
          <w:szCs w:val="20"/>
        </w:rPr>
        <w:t xml:space="preserve"> A M, Lawrence D. 2013. Soil nutrient availability and reproductive effort drive patterns in nutrient resorption in </w:t>
      </w:r>
      <w:proofErr w:type="spellStart"/>
      <w:r w:rsidRPr="00D45790">
        <w:rPr>
          <w:rFonts w:ascii="Times New Roman" w:eastAsia="宋体" w:hAnsi="Times New Roman" w:cs="Times New Roman"/>
          <w:i/>
          <w:iCs/>
          <w:sz w:val="20"/>
          <w:szCs w:val="20"/>
        </w:rPr>
        <w:t>Pentaclethra</w:t>
      </w:r>
      <w:proofErr w:type="spellEnd"/>
      <w:r w:rsidRPr="00D45790">
        <w:rPr>
          <w:rFonts w:ascii="Times New Roman" w:eastAsia="宋体" w:hAnsi="Times New Roman" w:cs="Times New Roman"/>
          <w:i/>
          <w:iCs/>
          <w:sz w:val="20"/>
          <w:szCs w:val="20"/>
        </w:rPr>
        <w:t xml:space="preserve"> </w:t>
      </w:r>
      <w:proofErr w:type="spellStart"/>
      <w:r w:rsidRPr="00D45790">
        <w:rPr>
          <w:rFonts w:ascii="Times New Roman" w:eastAsia="宋体" w:hAnsi="Times New Roman" w:cs="Times New Roman"/>
          <w:i/>
          <w:iCs/>
          <w:sz w:val="20"/>
          <w:szCs w:val="20"/>
        </w:rPr>
        <w:t>macroloba</w:t>
      </w:r>
      <w:proofErr w:type="spellEnd"/>
      <w:r w:rsidRPr="00D45790">
        <w:rPr>
          <w:rFonts w:ascii="Times New Roman" w:eastAsia="宋体" w:hAnsi="Times New Roman" w:cs="Times New Roman"/>
          <w:sz w:val="20"/>
          <w:szCs w:val="20"/>
        </w:rPr>
        <w:t xml:space="preserve">. Ecology 94:930–940. </w:t>
      </w:r>
      <w:r w:rsidR="00E317B3" w:rsidRPr="00D45790">
        <w:rPr>
          <w:rFonts w:ascii="Times New Roman" w:hAnsi="Times New Roman" w:cs="Times New Roman"/>
          <w:noProof/>
          <w:color w:val="0000FF"/>
          <w:kern w:val="0"/>
          <w:sz w:val="20"/>
          <w:szCs w:val="20"/>
        </w:rPr>
        <w:t>https://doi.org/</w:t>
      </w:r>
      <w:r w:rsidRPr="00D45790">
        <w:rPr>
          <w:rFonts w:ascii="Times New Roman" w:eastAsia="宋体" w:hAnsi="Times New Roman" w:cs="Times New Roman"/>
          <w:color w:val="0000FF"/>
          <w:sz w:val="20"/>
          <w:szCs w:val="20"/>
        </w:rPr>
        <w:t>10.1890/12-0781.1</w:t>
      </w:r>
    </w:p>
    <w:p w14:paraId="273173E7" w14:textId="6520046B" w:rsidR="008930CB" w:rsidRPr="00D45790" w:rsidRDefault="008930CB" w:rsidP="00000C3A">
      <w:pPr>
        <w:tabs>
          <w:tab w:val="center" w:pos="4153"/>
          <w:tab w:val="left" w:pos="4775"/>
        </w:tabs>
        <w:spacing w:line="480" w:lineRule="auto"/>
        <w:ind w:left="400" w:hangingChars="200" w:hanging="400"/>
        <w:rPr>
          <w:rFonts w:ascii="Times New Roman" w:eastAsia="宋体" w:hAnsi="Times New Roman" w:cs="Times New Roman"/>
          <w:sz w:val="20"/>
          <w:szCs w:val="20"/>
        </w:rPr>
      </w:pPr>
      <w:r w:rsidRPr="00D45790">
        <w:rPr>
          <w:rFonts w:ascii="Times New Roman" w:eastAsia="宋体" w:hAnsi="Times New Roman" w:cs="Times New Roman"/>
          <w:sz w:val="20"/>
          <w:szCs w:val="20"/>
        </w:rPr>
        <w:t xml:space="preserve">Wang Z Q, Fan Z X, Zhao Q, Wan, M C, Ran J Z, Huang H, </w:t>
      </w:r>
      <w:proofErr w:type="spellStart"/>
      <w:r w:rsidRPr="00D45790">
        <w:rPr>
          <w:rFonts w:ascii="Times New Roman" w:eastAsia="宋体" w:hAnsi="Times New Roman" w:cs="Times New Roman"/>
          <w:sz w:val="20"/>
          <w:szCs w:val="20"/>
        </w:rPr>
        <w:t>Niklas</w:t>
      </w:r>
      <w:proofErr w:type="spellEnd"/>
      <w:r w:rsidRPr="00D45790">
        <w:rPr>
          <w:rFonts w:ascii="Times New Roman" w:eastAsia="宋体" w:hAnsi="Times New Roman" w:cs="Times New Roman"/>
          <w:sz w:val="20"/>
          <w:szCs w:val="20"/>
        </w:rPr>
        <w:t xml:space="preserve"> K J. 2018. Global data analysis shows that soil nutrient levels dominate foliar nutrient resorption efficiency in herbaceous species. Front</w:t>
      </w:r>
      <w:r w:rsidR="00D45790" w:rsidRPr="00D45790">
        <w:rPr>
          <w:rFonts w:ascii="Times New Roman" w:eastAsia="宋体" w:hAnsi="Times New Roman" w:cs="Times New Roman"/>
          <w:sz w:val="20"/>
          <w:szCs w:val="20"/>
        </w:rPr>
        <w:t xml:space="preserve"> </w:t>
      </w:r>
      <w:r w:rsidRPr="00D45790">
        <w:rPr>
          <w:rFonts w:ascii="Times New Roman" w:eastAsia="宋体" w:hAnsi="Times New Roman" w:cs="Times New Roman"/>
          <w:sz w:val="20"/>
          <w:szCs w:val="20"/>
        </w:rPr>
        <w:t xml:space="preserve">Plant Sci 9:1431. </w:t>
      </w:r>
      <w:r w:rsidR="00E317B3" w:rsidRPr="00D45790">
        <w:rPr>
          <w:rFonts w:ascii="Times New Roman" w:hAnsi="Times New Roman" w:cs="Times New Roman"/>
          <w:noProof/>
          <w:color w:val="0000FF"/>
          <w:kern w:val="0"/>
          <w:sz w:val="20"/>
          <w:szCs w:val="20"/>
        </w:rPr>
        <w:t>https://doi.org/</w:t>
      </w:r>
      <w:r w:rsidRPr="00D45790">
        <w:rPr>
          <w:rFonts w:ascii="Times New Roman" w:eastAsia="宋体" w:hAnsi="Times New Roman" w:cs="Times New Roman"/>
          <w:color w:val="0000FF"/>
          <w:sz w:val="20"/>
          <w:szCs w:val="20"/>
        </w:rPr>
        <w:t>10.3389/fpls.2018.01431</w:t>
      </w:r>
    </w:p>
    <w:p w14:paraId="2F3827E8" w14:textId="34A60CB9" w:rsidR="008930CB" w:rsidRPr="00D45790" w:rsidRDefault="008930CB" w:rsidP="00000C3A">
      <w:pPr>
        <w:tabs>
          <w:tab w:val="center" w:pos="4153"/>
          <w:tab w:val="left" w:pos="4775"/>
        </w:tabs>
        <w:spacing w:line="480" w:lineRule="auto"/>
        <w:ind w:left="400" w:hangingChars="200" w:hanging="400"/>
        <w:rPr>
          <w:rFonts w:ascii="Times New Roman" w:eastAsia="宋体" w:hAnsi="Times New Roman" w:cs="Times New Roman"/>
          <w:color w:val="0000FF"/>
          <w:sz w:val="20"/>
          <w:szCs w:val="20"/>
        </w:rPr>
      </w:pPr>
      <w:r w:rsidRPr="00D45790">
        <w:rPr>
          <w:rFonts w:ascii="Times New Roman" w:eastAsia="宋体" w:hAnsi="Times New Roman" w:cs="Times New Roman"/>
          <w:sz w:val="20"/>
          <w:szCs w:val="20"/>
        </w:rPr>
        <w:lastRenderedPageBreak/>
        <w:t xml:space="preserve">Zhao G S, Shi P L, Wu J S, </w:t>
      </w:r>
      <w:proofErr w:type="spellStart"/>
      <w:r w:rsidRPr="00D45790">
        <w:rPr>
          <w:rFonts w:ascii="Times New Roman" w:eastAsia="宋体" w:hAnsi="Times New Roman" w:cs="Times New Roman"/>
          <w:sz w:val="20"/>
          <w:szCs w:val="20"/>
        </w:rPr>
        <w:t>Xiong</w:t>
      </w:r>
      <w:proofErr w:type="spellEnd"/>
      <w:r w:rsidRPr="00D45790">
        <w:rPr>
          <w:rFonts w:ascii="Times New Roman" w:eastAsia="宋体" w:hAnsi="Times New Roman" w:cs="Times New Roman"/>
          <w:sz w:val="20"/>
          <w:szCs w:val="20"/>
        </w:rPr>
        <w:t xml:space="preserve"> D P, </w:t>
      </w:r>
      <w:proofErr w:type="spellStart"/>
      <w:r w:rsidRPr="00D45790">
        <w:rPr>
          <w:rFonts w:ascii="Times New Roman" w:eastAsia="宋体" w:hAnsi="Times New Roman" w:cs="Times New Roman"/>
          <w:sz w:val="20"/>
          <w:szCs w:val="20"/>
        </w:rPr>
        <w:t>Zong</w:t>
      </w:r>
      <w:proofErr w:type="spellEnd"/>
      <w:r w:rsidRPr="00D45790">
        <w:rPr>
          <w:rFonts w:ascii="Times New Roman" w:eastAsia="宋体" w:hAnsi="Times New Roman" w:cs="Times New Roman"/>
          <w:sz w:val="20"/>
          <w:szCs w:val="20"/>
        </w:rPr>
        <w:t xml:space="preserve"> N, Zhang X Z. 2017. Foliar nutrient resorption patterns of four functional plants along a precipitation gradient on the Tibetan </w:t>
      </w:r>
      <w:proofErr w:type="spellStart"/>
      <w:r w:rsidRPr="00D45790">
        <w:rPr>
          <w:rFonts w:ascii="Times New Roman" w:eastAsia="宋体" w:hAnsi="Times New Roman" w:cs="Times New Roman"/>
          <w:sz w:val="20"/>
          <w:szCs w:val="20"/>
        </w:rPr>
        <w:t>Changtang</w:t>
      </w:r>
      <w:proofErr w:type="spellEnd"/>
      <w:r w:rsidRPr="00D45790">
        <w:rPr>
          <w:rFonts w:ascii="Times New Roman" w:eastAsia="宋体" w:hAnsi="Times New Roman" w:cs="Times New Roman"/>
          <w:sz w:val="20"/>
          <w:szCs w:val="20"/>
        </w:rPr>
        <w:t xml:space="preserve"> Plateau. </w:t>
      </w:r>
      <w:proofErr w:type="spellStart"/>
      <w:r w:rsidRPr="00D45790">
        <w:rPr>
          <w:rFonts w:ascii="Times New Roman" w:eastAsia="宋体" w:hAnsi="Times New Roman" w:cs="Times New Roman"/>
          <w:sz w:val="20"/>
          <w:szCs w:val="20"/>
        </w:rPr>
        <w:t>Ecol</w:t>
      </w:r>
      <w:proofErr w:type="spellEnd"/>
      <w:r w:rsidR="00E317B3" w:rsidRPr="00D45790">
        <w:rPr>
          <w:rFonts w:ascii="Times New Roman" w:eastAsia="宋体" w:hAnsi="Times New Roman" w:cs="Times New Roman"/>
          <w:sz w:val="20"/>
          <w:szCs w:val="20"/>
        </w:rPr>
        <w:t xml:space="preserve"> </w:t>
      </w:r>
      <w:proofErr w:type="spellStart"/>
      <w:r w:rsidRPr="00D45790">
        <w:rPr>
          <w:rFonts w:ascii="Times New Roman" w:eastAsia="宋体" w:hAnsi="Times New Roman" w:cs="Times New Roman"/>
          <w:sz w:val="20"/>
          <w:szCs w:val="20"/>
        </w:rPr>
        <w:t>Evol</w:t>
      </w:r>
      <w:proofErr w:type="spellEnd"/>
      <w:r w:rsidRPr="00D45790">
        <w:rPr>
          <w:rFonts w:ascii="Times New Roman" w:eastAsia="宋体" w:hAnsi="Times New Roman" w:cs="Times New Roman"/>
          <w:sz w:val="20"/>
          <w:szCs w:val="20"/>
        </w:rPr>
        <w:t xml:space="preserve"> 7: 1–12. </w:t>
      </w:r>
      <w:r w:rsidR="00E317B3" w:rsidRPr="00D45790">
        <w:rPr>
          <w:rFonts w:ascii="Times New Roman" w:hAnsi="Times New Roman" w:cs="Times New Roman"/>
          <w:noProof/>
          <w:color w:val="0000FF"/>
          <w:kern w:val="0"/>
          <w:sz w:val="20"/>
          <w:szCs w:val="20"/>
        </w:rPr>
        <w:t>https://doi.org/</w:t>
      </w:r>
      <w:r w:rsidRPr="00D45790">
        <w:rPr>
          <w:rFonts w:ascii="Times New Roman" w:eastAsia="宋体" w:hAnsi="Times New Roman" w:cs="Times New Roman"/>
          <w:color w:val="0000FF"/>
          <w:sz w:val="20"/>
          <w:szCs w:val="20"/>
        </w:rPr>
        <w:t>10.1002/ece3.3283</w:t>
      </w:r>
    </w:p>
    <w:p w14:paraId="185FB198" w14:textId="77777777" w:rsidR="008930CB" w:rsidRPr="00A71133" w:rsidRDefault="008930CB" w:rsidP="008930CB">
      <w:pPr>
        <w:jc w:val="center"/>
        <w:rPr>
          <w:rFonts w:ascii="Times New Roman" w:hAnsi="Times New Roman" w:cs="Times New Roman"/>
          <w:sz w:val="20"/>
          <w:szCs w:val="20"/>
        </w:rPr>
      </w:pPr>
    </w:p>
    <w:p w14:paraId="2A2CE48B" w14:textId="77777777" w:rsidR="008930CB" w:rsidRPr="00A71133" w:rsidRDefault="008930CB" w:rsidP="008930CB">
      <w:pPr>
        <w:jc w:val="center"/>
        <w:rPr>
          <w:rFonts w:ascii="Times New Roman" w:hAnsi="Times New Roman" w:cs="Times New Roman"/>
          <w:sz w:val="20"/>
          <w:szCs w:val="20"/>
        </w:rPr>
      </w:pPr>
    </w:p>
    <w:p w14:paraId="1748778C" w14:textId="77777777" w:rsidR="008930CB" w:rsidRPr="00A71133" w:rsidRDefault="008930CB" w:rsidP="008930CB">
      <w:pPr>
        <w:jc w:val="center"/>
        <w:rPr>
          <w:rFonts w:ascii="Times New Roman" w:hAnsi="Times New Roman" w:cs="Times New Roman"/>
          <w:sz w:val="20"/>
          <w:szCs w:val="20"/>
        </w:rPr>
      </w:pPr>
      <w:r w:rsidRPr="00A71133">
        <w:rPr>
          <w:rFonts w:ascii="Times New Roman" w:hAnsi="Times New Roman" w:cs="Times New Roman" w:hint="eastAsia"/>
          <w:noProof/>
          <w:sz w:val="20"/>
          <w:szCs w:val="20"/>
        </w:rPr>
        <w:drawing>
          <wp:inline distT="0" distB="0" distL="0" distR="0" wp14:anchorId="146E99E1" wp14:editId="7211F9EB">
            <wp:extent cx="4074566" cy="2852849"/>
            <wp:effectExtent l="0" t="0" r="254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a:stretch>
                      <a:fillRect/>
                    </a:stretch>
                  </pic:blipFill>
                  <pic:spPr>
                    <a:xfrm>
                      <a:off x="0" y="0"/>
                      <a:ext cx="4089192" cy="2863090"/>
                    </a:xfrm>
                    <a:prstGeom prst="rect">
                      <a:avLst/>
                    </a:prstGeom>
                  </pic:spPr>
                </pic:pic>
              </a:graphicData>
            </a:graphic>
          </wp:inline>
        </w:drawing>
      </w:r>
    </w:p>
    <w:p w14:paraId="521F0189" w14:textId="77777777" w:rsidR="008930CB" w:rsidRPr="00A71133" w:rsidRDefault="008930CB" w:rsidP="008930CB">
      <w:pPr>
        <w:spacing w:afterLines="100" w:after="312"/>
        <w:rPr>
          <w:rFonts w:ascii="Times New Roman" w:eastAsia="宋体" w:hAnsi="Times New Roman" w:cs="Times New Roman"/>
          <w:sz w:val="20"/>
          <w:szCs w:val="20"/>
        </w:rPr>
      </w:pPr>
      <w:r w:rsidRPr="00A71133">
        <w:rPr>
          <w:rFonts w:ascii="Times New Roman" w:eastAsia="宋体" w:hAnsi="Times New Roman" w:cs="Times New Roman"/>
          <w:b/>
          <w:bCs/>
          <w:sz w:val="20"/>
          <w:szCs w:val="20"/>
        </w:rPr>
        <w:t>F</w:t>
      </w:r>
      <w:r w:rsidRPr="00A71133">
        <w:rPr>
          <w:rFonts w:ascii="Times New Roman" w:eastAsia="宋体" w:hAnsi="Times New Roman" w:cs="Times New Roman" w:hint="eastAsia"/>
          <w:b/>
          <w:bCs/>
          <w:sz w:val="20"/>
          <w:szCs w:val="20"/>
        </w:rPr>
        <w:t>ig</w:t>
      </w:r>
      <w:r w:rsidRPr="00A71133">
        <w:rPr>
          <w:rFonts w:ascii="Times New Roman" w:eastAsia="宋体" w:hAnsi="Times New Roman" w:cs="Times New Roman"/>
          <w:b/>
          <w:bCs/>
          <w:sz w:val="20"/>
          <w:szCs w:val="20"/>
        </w:rPr>
        <w:t>. S2</w:t>
      </w:r>
      <w:r w:rsidRPr="00A71133">
        <w:rPr>
          <w:rFonts w:ascii="Times New Roman" w:eastAsia="宋体" w:hAnsi="Times New Roman" w:cs="Times New Roman"/>
          <w:sz w:val="20"/>
          <w:szCs w:val="20"/>
        </w:rPr>
        <w:t xml:space="preserve"> Variations of daily temperature and precipitation among selected years.</w:t>
      </w:r>
    </w:p>
    <w:p w14:paraId="0A8AD025" w14:textId="77777777" w:rsidR="008930CB" w:rsidRPr="00A71133" w:rsidRDefault="008930CB" w:rsidP="008930CB">
      <w:pPr>
        <w:jc w:val="center"/>
        <w:rPr>
          <w:rFonts w:ascii="Times New Roman" w:hAnsi="Times New Roman" w:cs="Times New Roman"/>
          <w:sz w:val="20"/>
          <w:szCs w:val="20"/>
        </w:rPr>
        <w:sectPr w:rsidR="008930CB" w:rsidRPr="00A71133" w:rsidSect="001634F3">
          <w:pgSz w:w="11906" w:h="16838"/>
          <w:pgMar w:top="1440" w:right="1800" w:bottom="1440" w:left="1800" w:header="851" w:footer="992" w:gutter="0"/>
          <w:lnNumType w:countBy="1" w:restart="continuous"/>
          <w:cols w:space="425"/>
          <w:docGrid w:type="lines" w:linePitch="312"/>
        </w:sectPr>
      </w:pPr>
    </w:p>
    <w:p w14:paraId="0A5FDA16" w14:textId="77777777" w:rsidR="008930CB" w:rsidRPr="00A71133" w:rsidRDefault="008930CB" w:rsidP="008930CB">
      <w:pPr>
        <w:jc w:val="center"/>
        <w:rPr>
          <w:rFonts w:ascii="Times New Roman" w:hAnsi="Times New Roman" w:cs="Times New Roman"/>
          <w:sz w:val="20"/>
          <w:szCs w:val="20"/>
        </w:rPr>
      </w:pPr>
      <w:r w:rsidRPr="00A71133">
        <w:rPr>
          <w:rFonts w:ascii="Times New Roman" w:hAnsi="Times New Roman" w:cs="Times New Roman"/>
          <w:noProof/>
          <w:sz w:val="20"/>
          <w:szCs w:val="20"/>
        </w:rPr>
        <w:lastRenderedPageBreak/>
        <w:drawing>
          <wp:inline distT="0" distB="0" distL="0" distR="0" wp14:anchorId="36AD9A84" wp14:editId="3D0D9464">
            <wp:extent cx="5274310" cy="175895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a:stretch>
                      <a:fillRect/>
                    </a:stretch>
                  </pic:blipFill>
                  <pic:spPr>
                    <a:xfrm>
                      <a:off x="0" y="0"/>
                      <a:ext cx="5274310" cy="1758950"/>
                    </a:xfrm>
                    <a:prstGeom prst="rect">
                      <a:avLst/>
                    </a:prstGeom>
                  </pic:spPr>
                </pic:pic>
              </a:graphicData>
            </a:graphic>
          </wp:inline>
        </w:drawing>
      </w:r>
    </w:p>
    <w:p w14:paraId="1A3E2BC7" w14:textId="77777777" w:rsidR="008930CB" w:rsidRPr="00A71133" w:rsidRDefault="008930CB" w:rsidP="00000C3A">
      <w:pPr>
        <w:spacing w:afterLines="100" w:after="312" w:line="480" w:lineRule="auto"/>
        <w:rPr>
          <w:rFonts w:ascii="Times New Roman" w:hAnsi="Times New Roman" w:cs="Times New Roman"/>
          <w:sz w:val="20"/>
          <w:szCs w:val="20"/>
        </w:rPr>
      </w:pPr>
      <w:r w:rsidRPr="00A71133">
        <w:rPr>
          <w:rFonts w:ascii="Times New Roman" w:hAnsi="Times New Roman" w:cs="Times New Roman"/>
          <w:b/>
          <w:bCs/>
          <w:sz w:val="20"/>
          <w:szCs w:val="20"/>
        </w:rPr>
        <w:t>Fig. S3</w:t>
      </w:r>
      <w:r w:rsidRPr="00A71133">
        <w:rPr>
          <w:rFonts w:ascii="Times New Roman" w:hAnsi="Times New Roman" w:cs="Times New Roman"/>
          <w:sz w:val="20"/>
          <w:szCs w:val="20"/>
        </w:rPr>
        <w:t xml:space="preserve"> Variation of soil nutrients among different years. Values are means ± standard error (n = 3). Different lowercase letters indicate that means are significantly different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 &lt; 0.05) among the three years. TOC, total organic carbon; AN, available nitrogen; AP, available </w:t>
      </w:r>
      <w:bookmarkStart w:id="4" w:name="_Hlk97802719"/>
      <w:r w:rsidRPr="00A71133">
        <w:rPr>
          <w:rFonts w:ascii="Times New Roman" w:hAnsi="Times New Roman" w:cs="Times New Roman"/>
          <w:sz w:val="20"/>
          <w:szCs w:val="20"/>
        </w:rPr>
        <w:t>phosphorus</w:t>
      </w:r>
      <w:bookmarkEnd w:id="4"/>
      <w:r w:rsidRPr="00A71133">
        <w:rPr>
          <w:rFonts w:ascii="Times New Roman" w:hAnsi="Times New Roman" w:cs="Times New Roman"/>
          <w:sz w:val="20"/>
          <w:szCs w:val="20"/>
        </w:rPr>
        <w:t>.</w:t>
      </w:r>
    </w:p>
    <w:p w14:paraId="5E222418" w14:textId="77777777" w:rsidR="008930CB" w:rsidRPr="00A71133" w:rsidRDefault="008930CB" w:rsidP="008930CB">
      <w:pPr>
        <w:jc w:val="center"/>
        <w:rPr>
          <w:rFonts w:ascii="Times New Roman" w:hAnsi="Times New Roman" w:cs="Times New Roman"/>
          <w:sz w:val="20"/>
          <w:szCs w:val="20"/>
        </w:rPr>
      </w:pPr>
      <w:r w:rsidRPr="00A71133">
        <w:rPr>
          <w:rFonts w:ascii="Times New Roman" w:hAnsi="Times New Roman" w:cs="Times New Roman"/>
          <w:noProof/>
          <w:sz w:val="20"/>
          <w:szCs w:val="20"/>
        </w:rPr>
        <w:drawing>
          <wp:inline distT="0" distB="0" distL="0" distR="0" wp14:anchorId="4D02A362" wp14:editId="7942C562">
            <wp:extent cx="4928260" cy="2466596"/>
            <wp:effectExtent l="0" t="0" r="571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1"/>
                    <a:stretch>
                      <a:fillRect/>
                    </a:stretch>
                  </pic:blipFill>
                  <pic:spPr>
                    <a:xfrm>
                      <a:off x="0" y="0"/>
                      <a:ext cx="4944905" cy="2474927"/>
                    </a:xfrm>
                    <a:prstGeom prst="rect">
                      <a:avLst/>
                    </a:prstGeom>
                  </pic:spPr>
                </pic:pic>
              </a:graphicData>
            </a:graphic>
          </wp:inline>
        </w:drawing>
      </w:r>
    </w:p>
    <w:p w14:paraId="5ECF8C67" w14:textId="77777777" w:rsidR="008930CB" w:rsidRPr="00A71133" w:rsidRDefault="008930CB" w:rsidP="00000C3A">
      <w:pPr>
        <w:spacing w:afterLines="100" w:after="312" w:line="480" w:lineRule="auto"/>
        <w:rPr>
          <w:rFonts w:ascii="Times New Roman" w:hAnsi="Times New Roman" w:cs="Times New Roman"/>
          <w:sz w:val="20"/>
          <w:szCs w:val="20"/>
        </w:rPr>
      </w:pPr>
      <w:r w:rsidRPr="00A71133">
        <w:rPr>
          <w:rFonts w:ascii="Times New Roman" w:hAnsi="Times New Roman" w:cs="Times New Roman" w:hint="eastAsia"/>
          <w:b/>
          <w:bCs/>
          <w:sz w:val="20"/>
          <w:szCs w:val="20"/>
        </w:rPr>
        <w:t>Fig</w:t>
      </w:r>
      <w:r w:rsidRPr="00A71133">
        <w:rPr>
          <w:rFonts w:ascii="Times New Roman" w:hAnsi="Times New Roman" w:cs="Times New Roman"/>
          <w:b/>
          <w:bCs/>
          <w:sz w:val="20"/>
          <w:szCs w:val="20"/>
        </w:rPr>
        <w:t xml:space="preserve">. S4 </w:t>
      </w:r>
      <w:r w:rsidRPr="00A71133">
        <w:rPr>
          <w:rFonts w:ascii="Times New Roman" w:hAnsi="Times New Roman" w:cs="Times New Roman"/>
          <w:sz w:val="20"/>
          <w:szCs w:val="20"/>
        </w:rPr>
        <w:t xml:space="preserve">Standard major axis (SMA) analysis determined whether nitrogen resorption efficiency (NRE) and phosphorus resorption efficiency (PRE) </w:t>
      </w:r>
      <w:r w:rsidRPr="00A71133">
        <w:rPr>
          <w:rFonts w:ascii="Times New Roman" w:hAnsi="Times New Roman" w:cs="Times New Roman" w:hint="eastAsia"/>
          <w:sz w:val="20"/>
          <w:szCs w:val="20"/>
        </w:rPr>
        <w:t>was</w:t>
      </w:r>
      <w:r w:rsidRPr="00A71133">
        <w:rPr>
          <w:rFonts w:ascii="Times New Roman" w:hAnsi="Times New Roman" w:cs="Times New Roman"/>
          <w:sz w:val="20"/>
          <w:szCs w:val="20"/>
        </w:rPr>
        <w:t xml:space="preserve"> </w:t>
      </w:r>
      <w:r w:rsidRPr="00A71133">
        <w:rPr>
          <w:rFonts w:ascii="Times New Roman" w:hAnsi="Times New Roman" w:cs="Times New Roman" w:hint="eastAsia"/>
          <w:sz w:val="20"/>
          <w:szCs w:val="20"/>
        </w:rPr>
        <w:t>equal</w:t>
      </w:r>
      <w:r w:rsidRPr="00A71133">
        <w:rPr>
          <w:rFonts w:ascii="Times New Roman" w:hAnsi="Times New Roman" w:cs="Times New Roman"/>
          <w:sz w:val="20"/>
          <w:szCs w:val="20"/>
        </w:rPr>
        <w:t xml:space="preserve"> (a), and ln</w:t>
      </w:r>
      <w:r w:rsidRPr="00A71133">
        <w:rPr>
          <w:rFonts w:ascii="Times New Roman" w:eastAsia="宋体" w:hAnsi="Times New Roman" w:cs="Times New Roman"/>
          <w:sz w:val="20"/>
          <w:szCs w:val="20"/>
        </w:rPr>
        <w:t>-</w:t>
      </w:r>
      <w:r w:rsidRPr="00A71133">
        <w:rPr>
          <w:rFonts w:ascii="Times New Roman" w:hAnsi="Times New Roman" w:cs="Times New Roman"/>
          <w:sz w:val="20"/>
          <w:szCs w:val="20"/>
        </w:rPr>
        <w:t>NRE/PRE was used to deduced the nutrient limitation (b). The regression slope of NRE and PRE was not different from 1 (</w:t>
      </w:r>
      <w:r w:rsidRPr="00A71133">
        <w:rPr>
          <w:rFonts w:ascii="Times New Roman" w:hAnsi="Times New Roman" w:cs="Times New Roman"/>
          <w:i/>
          <w:iCs/>
          <w:sz w:val="20"/>
          <w:szCs w:val="20"/>
        </w:rPr>
        <w:t>P</w:t>
      </w:r>
      <w:r w:rsidRPr="00A71133">
        <w:rPr>
          <w:rFonts w:ascii="Times New Roman" w:hAnsi="Times New Roman" w:cs="Times New Roman"/>
          <w:sz w:val="20"/>
          <w:szCs w:val="20"/>
        </w:rPr>
        <w:t xml:space="preserve">&gt;0.05) indicated NRE was nearly </w:t>
      </w:r>
      <w:r w:rsidRPr="00A71133">
        <w:rPr>
          <w:rFonts w:ascii="Times New Roman" w:hAnsi="Times New Roman" w:cs="Times New Roman" w:hint="eastAsia"/>
          <w:sz w:val="20"/>
          <w:szCs w:val="20"/>
        </w:rPr>
        <w:t>equal</w:t>
      </w:r>
      <w:r w:rsidRPr="00A71133">
        <w:rPr>
          <w:rFonts w:ascii="Times New Roman" w:hAnsi="Times New Roman" w:cs="Times New Roman"/>
          <w:sz w:val="20"/>
          <w:szCs w:val="20"/>
        </w:rPr>
        <w:t xml:space="preserve"> with PRE in both graminoids and forbs (i.e., NRE: PRE=1). The error bar was the variation (95% CI) of ln-transformed NRE/PRE. According to the results of </w:t>
      </w:r>
      <w:r w:rsidRPr="00A71133">
        <w:rPr>
          <w:rFonts w:ascii="Times New Roman" w:hAnsi="Times New Roman" w:cs="Times New Roman"/>
          <w:sz w:val="20"/>
          <w:szCs w:val="20"/>
        </w:rPr>
        <w:fldChar w:fldCharType="begin" w:fldLock="1"/>
      </w:r>
      <w:r w:rsidRPr="00A71133">
        <w:rPr>
          <w:rFonts w:ascii="Times New Roman" w:hAnsi="Times New Roman" w:cs="Times New Roman"/>
          <w:sz w:val="20"/>
          <w:szCs w:val="20"/>
        </w:rPr>
        <w:instrText>ADDIN CSL_CITATION {"citationItems":[{"id":"ITEM-1","itemData":{"DOI":"10.1038/s41561-019-0530-4","ISSN":"17520908","abstract":"Nitrogen (N) and phosphorus (P) limitation constrains the magnitude of terrestrial carbon uptake in response to elevated carbon dioxide and climate change. However, global maps of nutrient limitation are still lacking. Here we examined global N and P limitation using the ratio of site-averaged leaf N and P resorption efficiencies of the dominant species across 171 sites. We evaluated our predictions using a global database of N- and P-limitation experiments based on nutrient additions at 106 and 53 sites, respectively. Globally, we found a shift from relative P to N limitation for both higher latitudes and precipitation seasonality and lower mean annual temperature, temperature seasonality, mean annual precipitation and soil clay fraction. Excluding cropland, urban and glacial areas, we estimate that 18% of the natural terrestrial land area is significantly limited by N, whereas 43% is relatively P limited. The remaining 39% of the natural terrestrial land area could be co-limited by N and P or weakly limited by either nutrient alone. This work provides both a new framework for testing nutrient limitation and a benchmark of N and P limitation for models to constrain predictions of the terrestrial carbon sink.","author":[{"dropping-particle":"","family":"Du","given":"Enzai","non-dropping-particle":"","parse-names":false,"suffix":""},{"dropping-particle":"","family":"Terrer","given":"César","non-dropping-particle":"","parse-names":false,"suffix":""},{"dropping-particle":"","family":"Pellegrini","given":"Adam F.A.","non-dropping-particle":"","parse-names":false,"suffix":""},{"dropping-particle":"","family":"Ahlström","given":"Anders","non-dropping-particle":"","parse-names":false,"suffix":""},{"dropping-particle":"","family":"Lissa","given":"Caspar J.","non-dropping-particle":"van","parse-names":false,"suffix":""},{"dropping-particle":"","family":"Zhao","given":"Xia","non-dropping-particle":"","parse-names":false,"suffix":""},{"dropping-particle":"","family":"Xia","given":"Nan","non-dropping-particle":"","parse-names":false,"suffix":""},{"dropping-particle":"","family":"Wu","given":"Xinhui","non-dropping-particle":"","parse-names":false,"suffix":""},{"dropping-particle":"","family":"Jackson","given":"Robert B.","non-dropping-particle":"","parse-names":false,"suffix":""}],"container-title":"Nature Geoscience","id":"ITEM-1","issue":"3","issued":{"date-parts":[["2020"]]},"page":"221-226","title":"Global patterns of terrestrial nitrogen and phosphorus limitation","type":"article-journal","volume":"13"},"uris":["http://www.mendeley.com/documents/?uuid=d47c5923-5f17-453c-bdbc-3e34ad6be2e7"]}],"mendeley":{"formattedCitation":"(Du et al., 2020)","manualFormatting":"Du et al. (2020)","plainTextFormattedCitation":"(Du et al., 2020)","previouslyFormattedCitation":"(Du et al., 2020)"},"properties":{"noteIndex":0},"schema":"https://github.com/citation-style-language/schema/raw/master/csl-citation.json"}</w:instrText>
      </w:r>
      <w:r w:rsidRPr="00A71133">
        <w:rPr>
          <w:rFonts w:ascii="Times New Roman" w:hAnsi="Times New Roman" w:cs="Times New Roman"/>
          <w:sz w:val="20"/>
          <w:szCs w:val="20"/>
        </w:rPr>
        <w:fldChar w:fldCharType="separate"/>
      </w:r>
      <w:r w:rsidRPr="00A71133">
        <w:rPr>
          <w:rFonts w:ascii="Times New Roman" w:hAnsi="Times New Roman" w:cs="Times New Roman"/>
          <w:noProof/>
          <w:sz w:val="20"/>
          <w:szCs w:val="20"/>
        </w:rPr>
        <w:t>Du et al. (2020)</w:t>
      </w:r>
      <w:r w:rsidRPr="00A71133">
        <w:rPr>
          <w:rFonts w:ascii="Times New Roman" w:hAnsi="Times New Roman" w:cs="Times New Roman"/>
          <w:sz w:val="20"/>
          <w:szCs w:val="20"/>
        </w:rPr>
        <w:fldChar w:fldCharType="end"/>
      </w:r>
      <w:r w:rsidRPr="00A71133">
        <w:rPr>
          <w:rFonts w:ascii="Times New Roman" w:hAnsi="Times New Roman" w:cs="Times New Roman"/>
          <w:sz w:val="20"/>
          <w:szCs w:val="20"/>
        </w:rPr>
        <w:t xml:space="preserve">, the value of </w:t>
      </w:r>
      <w:r w:rsidRPr="00A71133">
        <w:rPr>
          <w:rFonts w:ascii="Times New Roman" w:hAnsi="Times New Roman" w:cs="Times New Roman" w:hint="eastAsia"/>
          <w:sz w:val="20"/>
          <w:szCs w:val="20"/>
        </w:rPr>
        <w:t>l</w:t>
      </w:r>
      <w:r w:rsidRPr="00A71133">
        <w:rPr>
          <w:rFonts w:ascii="Times New Roman" w:hAnsi="Times New Roman" w:cs="Times New Roman"/>
          <w:sz w:val="20"/>
          <w:szCs w:val="20"/>
        </w:rPr>
        <w:t>n (NRE/PRE) that ranged from −0.16 to</w:t>
      </w:r>
      <w:r w:rsidRPr="00A71133">
        <w:rPr>
          <w:rFonts w:ascii="Times New Roman" w:hAnsi="Times New Roman" w:cs="Times New Roman" w:hint="eastAsia"/>
          <w:sz w:val="20"/>
          <w:szCs w:val="20"/>
        </w:rPr>
        <w:t xml:space="preserve"> </w:t>
      </w:r>
      <w:r w:rsidRPr="00A71133">
        <w:rPr>
          <w:rFonts w:ascii="Times New Roman" w:hAnsi="Times New Roman" w:cs="Times New Roman"/>
          <w:sz w:val="20"/>
          <w:szCs w:val="20"/>
        </w:rPr>
        <w:t>0.16 indicated co-limited by N and P or weakly limited by either nutrient alone. Meanwhile, previous studies showed that</w:t>
      </w:r>
      <w:r w:rsidRPr="00A71133">
        <w:rPr>
          <w:sz w:val="20"/>
          <w:szCs w:val="20"/>
        </w:rPr>
        <w:t xml:space="preserve"> </w:t>
      </w:r>
      <w:r w:rsidRPr="00A71133">
        <w:rPr>
          <w:rFonts w:ascii="Times New Roman" w:hAnsi="Times New Roman" w:cs="Times New Roman"/>
          <w:sz w:val="20"/>
          <w:szCs w:val="20"/>
        </w:rPr>
        <w:t>the Loess Plateau was a nutrient</w:t>
      </w:r>
      <w:r w:rsidRPr="00A71133">
        <w:rPr>
          <w:rFonts w:ascii="Times New Roman" w:hAnsi="Times New Roman" w:cs="Times New Roman" w:hint="eastAsia"/>
          <w:sz w:val="20"/>
          <w:szCs w:val="20"/>
        </w:rPr>
        <w:t>-</w:t>
      </w:r>
      <w:r w:rsidRPr="00A71133">
        <w:rPr>
          <w:rFonts w:ascii="Times New Roman" w:hAnsi="Times New Roman" w:cs="Times New Roman"/>
          <w:sz w:val="20"/>
          <w:szCs w:val="20"/>
        </w:rPr>
        <w:t xml:space="preserve">poor </w:t>
      </w:r>
      <w:r w:rsidRPr="00A71133">
        <w:rPr>
          <w:rFonts w:ascii="Times New Roman" w:hAnsi="Times New Roman" w:cs="Times New Roman" w:hint="eastAsia"/>
          <w:sz w:val="20"/>
          <w:szCs w:val="20"/>
        </w:rPr>
        <w:t>region</w:t>
      </w:r>
      <w:r w:rsidRPr="00A71133">
        <w:rPr>
          <w:rFonts w:ascii="Times New Roman" w:hAnsi="Times New Roman" w:cs="Times New Roman"/>
          <w:sz w:val="20"/>
          <w:szCs w:val="20"/>
        </w:rPr>
        <w:t xml:space="preserve"> </w:t>
      </w:r>
      <w:r w:rsidRPr="00A71133">
        <w:rPr>
          <w:rFonts w:ascii="Times New Roman" w:hAnsi="Times New Roman" w:cs="Times New Roman"/>
          <w:sz w:val="20"/>
          <w:szCs w:val="20"/>
        </w:rPr>
        <w:fldChar w:fldCharType="begin" w:fldLock="1"/>
      </w:r>
      <w:r w:rsidRPr="00A71133">
        <w:rPr>
          <w:rFonts w:ascii="Times New Roman" w:hAnsi="Times New Roman" w:cs="Times New Roman"/>
          <w:sz w:val="20"/>
          <w:szCs w:val="20"/>
        </w:rPr>
        <w:instrText>ADDIN CSL_CITATION {"citationItems":[{"id":"ITEM-1","itemData":{"DOI":"10.1016/j.ecoleng.2020.105727","ISSN":"09258574","abstract":"Ecological benefits and production of grassland on the Loess Plateau are limited by low soil N and P availability. Extraneous N and P fertilization is an efficient management measure to enhance grassland productivity and accelerate grassland restoration. However, biodiversity decline and species loss induced by N and P addition must be noticed. Two grassland communities dominated by tall clonal grass (TCG) and tall clonal forb (TCF) on Loess Plateau were selected. A two-year split-plot experiment (main-plot: 0, 25, 50, and 100 kgN ha−1 yr−1; subplot: 0, 20, 40 and 80 kg P2O5 ha−1 yr−1) was conducted to evaluate the effect of N and P addition on aboveground net primary production (ANPP), light availability, diversity and functional group composition. N and P addition slightly increased ANPP mainly benefiting from clonal species and had few effects on species composition and diversity due to the deficient precipitation during growing season in 2017. However, N or P addition alone resulted in significant ANPP increase, and adding N and P together had larger effects in 2018. The changes in ANPP and diversity after P alone addition were driven by legumes. The ANPP responses to 50 and 100 kg N ha−1 yr−1 combined with P addition in 2018 were mainly driven by pronounced increases in tall clonal or annual species. This large shift of species composition caused diversity decline only in TCF community. The extent of diversity decline was significantly correlated with the degree of light availability reduction. Diversity decline in TCF was a result of strong and uniform light availability reduction induced by increased tall annual forb. Tall clonal and annual species are the key functional groups that drive changes in productivity and diversity in the two communities. The optimum N and P amount to tradeoff productivity improvement and diversity decline were 50 kg N ha−1 yr−1 and 20 kg P2O5 ha−1 yr−1 combination for TCG and 25 kg N ha−1 yr−1 and 20 kg P2O5 ha−1 yr−1 combination for TCF.","author":[{"dropping-particle":"","family":"Chen","given":"Zhifei","non-dropping-particle":"","parse-names":false,"suffix":""},{"dropping-particle":"","family":"Xiong","given":"Peifeng","non-dropping-particle":"","parse-names":false,"suffix":""},{"dropping-particle":"","family":"Zhou","given":"Junjie","non-dropping-particle":"","parse-names":false,"suffix":""},{"dropping-particle":"","family":"Yang","given":"Quan","non-dropping-particle":"","parse-names":false,"suffix":""},{"dropping-particle":"","family":"Wang","given":"Zhi","non-dropping-particle":"","parse-names":false,"suffix":""},{"dropping-particle":"","family":"Xu","given":"Bingcheng","non-dropping-particle":"","parse-names":false,"suffix":""}],"container-title":"Ecological Engineering","id":"ITEM-1","issue":"June 2019","issued":{"date-parts":[["2020"]]},"page":"105727","publisher":"Elsevier","title":"Grassland productivity and diversity changes in responses to N and P addition depend primarily on tall clonal and annual species in semiarid Loess Plateau","type":"article-journal","volume":"145"},"uris":["http://www.mendeley.com/documents/?uuid=c6e145f1-dafe-4a2d-9334-8ef1cd97b9c9"]}],"mendeley":{"formattedCitation":"(Chen et al., 2020)","plainTextFormattedCitation":"(Chen et al., 2020)","previouslyFormattedCitation":"(Chen et al., 2020)"},"properties":{"noteIndex":0},"schema":"https://github.com/citation-style-language/schema/raw/master/csl-citation.json"}</w:instrText>
      </w:r>
      <w:r w:rsidRPr="00A71133">
        <w:rPr>
          <w:rFonts w:ascii="Times New Roman" w:hAnsi="Times New Roman" w:cs="Times New Roman"/>
          <w:sz w:val="20"/>
          <w:szCs w:val="20"/>
        </w:rPr>
        <w:fldChar w:fldCharType="separate"/>
      </w:r>
      <w:r w:rsidRPr="00A71133">
        <w:rPr>
          <w:rFonts w:ascii="Times New Roman" w:hAnsi="Times New Roman" w:cs="Times New Roman"/>
          <w:noProof/>
          <w:sz w:val="20"/>
          <w:szCs w:val="20"/>
        </w:rPr>
        <w:t>(Chen et al., 2020)</w:t>
      </w:r>
      <w:r w:rsidRPr="00A71133">
        <w:rPr>
          <w:rFonts w:ascii="Times New Roman" w:hAnsi="Times New Roman" w:cs="Times New Roman"/>
          <w:sz w:val="20"/>
          <w:szCs w:val="20"/>
        </w:rPr>
        <w:fldChar w:fldCharType="end"/>
      </w:r>
      <w:r w:rsidRPr="00A71133">
        <w:rPr>
          <w:rFonts w:ascii="Times New Roman" w:hAnsi="Times New Roman" w:cs="Times New Roman"/>
          <w:sz w:val="20"/>
          <w:szCs w:val="20"/>
        </w:rPr>
        <w:t xml:space="preserve">. Hence, </w:t>
      </w:r>
      <w:r w:rsidRPr="00A71133">
        <w:rPr>
          <w:rFonts w:ascii="Times New Roman" w:hAnsi="Times New Roman" w:cs="Times New Roman" w:hint="eastAsia"/>
          <w:sz w:val="20"/>
          <w:szCs w:val="20"/>
        </w:rPr>
        <w:t>based</w:t>
      </w:r>
      <w:r w:rsidRPr="00A71133">
        <w:rPr>
          <w:rFonts w:ascii="Times New Roman" w:hAnsi="Times New Roman" w:cs="Times New Roman"/>
          <w:sz w:val="20"/>
          <w:szCs w:val="20"/>
        </w:rPr>
        <w:t xml:space="preserve"> </w:t>
      </w:r>
      <w:r w:rsidRPr="00A71133">
        <w:rPr>
          <w:rFonts w:ascii="Times New Roman" w:hAnsi="Times New Roman" w:cs="Times New Roman" w:hint="eastAsia"/>
          <w:sz w:val="20"/>
          <w:szCs w:val="20"/>
        </w:rPr>
        <w:t>on</w:t>
      </w:r>
      <w:r w:rsidRPr="00A71133">
        <w:rPr>
          <w:rFonts w:ascii="Times New Roman" w:hAnsi="Times New Roman" w:cs="Times New Roman"/>
          <w:sz w:val="20"/>
          <w:szCs w:val="20"/>
        </w:rPr>
        <w:t xml:space="preserve"> </w:t>
      </w:r>
      <w:r w:rsidRPr="00A71133">
        <w:rPr>
          <w:rFonts w:ascii="Times New Roman" w:hAnsi="Times New Roman" w:cs="Times New Roman" w:hint="eastAsia"/>
          <w:sz w:val="20"/>
          <w:szCs w:val="20"/>
        </w:rPr>
        <w:t>above</w:t>
      </w:r>
      <w:r w:rsidRPr="00A71133">
        <w:rPr>
          <w:rFonts w:ascii="Times New Roman" w:hAnsi="Times New Roman" w:cs="Times New Roman"/>
          <w:sz w:val="20"/>
          <w:szCs w:val="20"/>
        </w:rPr>
        <w:t xml:space="preserve">, we believe that plants in this study region were </w:t>
      </w:r>
      <w:r w:rsidRPr="00A71133">
        <w:rPr>
          <w:rFonts w:ascii="Times New Roman" w:hAnsi="Times New Roman" w:cs="Times New Roman" w:hint="eastAsia"/>
          <w:sz w:val="20"/>
          <w:szCs w:val="20"/>
        </w:rPr>
        <w:t>co</w:t>
      </w:r>
      <w:r w:rsidRPr="00A71133">
        <w:rPr>
          <w:rFonts w:ascii="Times New Roman" w:hAnsi="Times New Roman" w:cs="Times New Roman"/>
          <w:sz w:val="20"/>
          <w:szCs w:val="20"/>
        </w:rPr>
        <w:t>-</w:t>
      </w:r>
      <w:r w:rsidRPr="00A71133">
        <w:rPr>
          <w:rFonts w:ascii="Times New Roman" w:hAnsi="Times New Roman" w:cs="Times New Roman"/>
          <w:sz w:val="20"/>
          <w:szCs w:val="20"/>
        </w:rPr>
        <w:lastRenderedPageBreak/>
        <w:t>limited by N and P.</w:t>
      </w:r>
    </w:p>
    <w:p w14:paraId="5B4A2388" w14:textId="77777777" w:rsidR="008930CB" w:rsidRPr="00A71133" w:rsidRDefault="008930CB" w:rsidP="00000C3A">
      <w:pPr>
        <w:spacing w:line="480" w:lineRule="auto"/>
        <w:rPr>
          <w:rFonts w:ascii="Times New Roman" w:hAnsi="Times New Roman" w:cs="Times New Roman"/>
          <w:b/>
          <w:bCs/>
          <w:sz w:val="20"/>
          <w:szCs w:val="20"/>
        </w:rPr>
      </w:pPr>
      <w:r w:rsidRPr="00A71133">
        <w:rPr>
          <w:rFonts w:ascii="Times New Roman" w:hAnsi="Times New Roman" w:cs="Times New Roman"/>
          <w:b/>
          <w:bCs/>
          <w:sz w:val="20"/>
          <w:szCs w:val="20"/>
        </w:rPr>
        <w:t>References</w:t>
      </w:r>
      <w:r w:rsidRPr="00A71133">
        <w:rPr>
          <w:rFonts w:ascii="Times New Roman" w:hAnsi="Times New Roman" w:cs="Times New Roman" w:hint="eastAsia"/>
          <w:b/>
          <w:bCs/>
          <w:sz w:val="20"/>
          <w:szCs w:val="20"/>
        </w:rPr>
        <w:t>:</w:t>
      </w:r>
      <w:r w:rsidRPr="00A71133">
        <w:rPr>
          <w:rFonts w:ascii="Times New Roman" w:hAnsi="Times New Roman" w:cs="Times New Roman"/>
          <w:b/>
          <w:bCs/>
          <w:sz w:val="20"/>
          <w:szCs w:val="20"/>
        </w:rPr>
        <w:t xml:space="preserve"> </w:t>
      </w:r>
    </w:p>
    <w:p w14:paraId="4642099F" w14:textId="6327C036" w:rsidR="008930CB" w:rsidRPr="00D45790" w:rsidRDefault="008930CB" w:rsidP="00000C3A">
      <w:pPr>
        <w:spacing w:line="480" w:lineRule="auto"/>
        <w:ind w:left="400" w:hangingChars="200" w:hanging="400"/>
        <w:rPr>
          <w:rFonts w:ascii="Times New Roman" w:hAnsi="Times New Roman" w:cs="Times New Roman"/>
          <w:sz w:val="20"/>
          <w:szCs w:val="20"/>
        </w:rPr>
      </w:pPr>
      <w:r w:rsidRPr="00D45790">
        <w:rPr>
          <w:rFonts w:ascii="Times New Roman" w:hAnsi="Times New Roman" w:cs="Times New Roman"/>
          <w:sz w:val="20"/>
          <w:szCs w:val="20"/>
        </w:rPr>
        <w:t xml:space="preserve">Du E Z, </w:t>
      </w:r>
      <w:proofErr w:type="spellStart"/>
      <w:r w:rsidRPr="00D45790">
        <w:rPr>
          <w:rFonts w:ascii="Times New Roman" w:hAnsi="Times New Roman" w:cs="Times New Roman"/>
          <w:sz w:val="20"/>
          <w:szCs w:val="20"/>
        </w:rPr>
        <w:t>Terrer</w:t>
      </w:r>
      <w:proofErr w:type="spellEnd"/>
      <w:r w:rsidRPr="00D45790">
        <w:rPr>
          <w:rFonts w:ascii="Times New Roman" w:hAnsi="Times New Roman" w:cs="Times New Roman"/>
          <w:sz w:val="20"/>
          <w:szCs w:val="20"/>
        </w:rPr>
        <w:t xml:space="preserve"> C, Pellegrini A F A, </w:t>
      </w:r>
      <w:proofErr w:type="spellStart"/>
      <w:r w:rsidRPr="00D45790">
        <w:rPr>
          <w:rFonts w:ascii="Times New Roman" w:hAnsi="Times New Roman" w:cs="Times New Roman"/>
          <w:sz w:val="20"/>
          <w:szCs w:val="20"/>
        </w:rPr>
        <w:t>Ahlström</w:t>
      </w:r>
      <w:proofErr w:type="spellEnd"/>
      <w:r w:rsidRPr="00D45790">
        <w:rPr>
          <w:rFonts w:ascii="Times New Roman" w:hAnsi="Times New Roman" w:cs="Times New Roman"/>
          <w:sz w:val="20"/>
          <w:szCs w:val="20"/>
        </w:rPr>
        <w:t xml:space="preserve"> A, van Lissa C J, Zhao X, Xia N, Wu X H, Jackson R B. 2020. Global patterns of terrestrial nitrogen and phosphorus limitation. Nat </w:t>
      </w:r>
      <w:proofErr w:type="spellStart"/>
      <w:r w:rsidRPr="00D45790">
        <w:rPr>
          <w:rFonts w:ascii="Times New Roman" w:hAnsi="Times New Roman" w:cs="Times New Roman"/>
          <w:sz w:val="20"/>
          <w:szCs w:val="20"/>
        </w:rPr>
        <w:t>Geosci</w:t>
      </w:r>
      <w:proofErr w:type="spellEnd"/>
      <w:r w:rsidRPr="00D45790">
        <w:rPr>
          <w:rFonts w:ascii="Times New Roman" w:hAnsi="Times New Roman" w:cs="Times New Roman"/>
          <w:sz w:val="20"/>
          <w:szCs w:val="20"/>
        </w:rPr>
        <w:t xml:space="preserve"> 13:221–226. </w:t>
      </w:r>
      <w:r w:rsidR="00E317B3" w:rsidRPr="00D45790">
        <w:rPr>
          <w:rFonts w:ascii="Times New Roman" w:hAnsi="Times New Roman" w:cs="Times New Roman"/>
          <w:noProof/>
          <w:color w:val="0000FF"/>
          <w:kern w:val="0"/>
          <w:sz w:val="20"/>
          <w:szCs w:val="20"/>
        </w:rPr>
        <w:t>https://doi.org/</w:t>
      </w:r>
      <w:r w:rsidRPr="00D45790">
        <w:rPr>
          <w:rFonts w:ascii="Times New Roman" w:hAnsi="Times New Roman" w:cs="Times New Roman"/>
          <w:color w:val="0000FF"/>
          <w:sz w:val="20"/>
          <w:szCs w:val="20"/>
        </w:rPr>
        <w:t>10.1038/s41561-019-0530-4</w:t>
      </w:r>
    </w:p>
    <w:p w14:paraId="6E780435" w14:textId="11EF3C3F" w:rsidR="008930CB" w:rsidRPr="00D45790" w:rsidRDefault="008930CB" w:rsidP="00000C3A">
      <w:pPr>
        <w:tabs>
          <w:tab w:val="center" w:pos="4153"/>
          <w:tab w:val="left" w:pos="4775"/>
        </w:tabs>
        <w:spacing w:line="480" w:lineRule="auto"/>
        <w:ind w:left="400" w:hangingChars="200" w:hanging="400"/>
        <w:rPr>
          <w:rFonts w:ascii="Times New Roman" w:eastAsia="宋体" w:hAnsi="Times New Roman" w:cs="Times New Roman"/>
          <w:sz w:val="20"/>
          <w:szCs w:val="20"/>
        </w:rPr>
        <w:sectPr w:rsidR="008930CB" w:rsidRPr="00D45790" w:rsidSect="002612C3">
          <w:pgSz w:w="11906" w:h="16838"/>
          <w:pgMar w:top="1440" w:right="1800" w:bottom="1440" w:left="1800" w:header="851" w:footer="992" w:gutter="0"/>
          <w:lnNumType w:countBy="1" w:restart="continuous"/>
          <w:cols w:space="425"/>
          <w:docGrid w:type="lines" w:linePitch="312"/>
        </w:sectPr>
      </w:pPr>
      <w:r w:rsidRPr="00D45790">
        <w:rPr>
          <w:rFonts w:ascii="Times New Roman" w:eastAsia="宋体" w:hAnsi="Times New Roman" w:cs="Times New Roman"/>
          <w:sz w:val="20"/>
          <w:szCs w:val="20"/>
        </w:rPr>
        <w:t xml:space="preserve">Chen Z F, </w:t>
      </w:r>
      <w:proofErr w:type="spellStart"/>
      <w:r w:rsidRPr="00D45790">
        <w:rPr>
          <w:rFonts w:ascii="Times New Roman" w:eastAsia="宋体" w:hAnsi="Times New Roman" w:cs="Times New Roman"/>
          <w:sz w:val="20"/>
          <w:szCs w:val="20"/>
        </w:rPr>
        <w:t>Xiong</w:t>
      </w:r>
      <w:proofErr w:type="spellEnd"/>
      <w:r w:rsidRPr="00D45790">
        <w:rPr>
          <w:rFonts w:ascii="Times New Roman" w:eastAsia="宋体" w:hAnsi="Times New Roman" w:cs="Times New Roman"/>
          <w:sz w:val="20"/>
          <w:szCs w:val="20"/>
        </w:rPr>
        <w:t xml:space="preserve"> P F, Zhou J </w:t>
      </w:r>
      <w:proofErr w:type="spellStart"/>
      <w:r w:rsidRPr="00D45790">
        <w:rPr>
          <w:rFonts w:ascii="Times New Roman" w:eastAsia="宋体" w:hAnsi="Times New Roman" w:cs="Times New Roman"/>
          <w:sz w:val="20"/>
          <w:szCs w:val="20"/>
        </w:rPr>
        <w:t>J</w:t>
      </w:r>
      <w:proofErr w:type="spellEnd"/>
      <w:r w:rsidRPr="00D45790">
        <w:rPr>
          <w:rFonts w:ascii="Times New Roman" w:eastAsia="宋体" w:hAnsi="Times New Roman" w:cs="Times New Roman"/>
          <w:sz w:val="20"/>
          <w:szCs w:val="20"/>
        </w:rPr>
        <w:t xml:space="preserve">, Yang Q, Wang Z, Xu B C. 2020. Grassland productivity and diversity changes in responses to N and P addition depend primarily on tall clonal and annual species in semiarid Loess Plateau. </w:t>
      </w:r>
      <w:proofErr w:type="spellStart"/>
      <w:r w:rsidRPr="00D45790">
        <w:rPr>
          <w:rFonts w:ascii="Times New Roman" w:eastAsia="宋体" w:hAnsi="Times New Roman" w:cs="Times New Roman"/>
          <w:sz w:val="20"/>
          <w:szCs w:val="20"/>
        </w:rPr>
        <w:t>Ecol</w:t>
      </w:r>
      <w:proofErr w:type="spellEnd"/>
      <w:r w:rsidRPr="00D45790">
        <w:rPr>
          <w:rFonts w:ascii="Times New Roman" w:eastAsia="宋体" w:hAnsi="Times New Roman" w:cs="Times New Roman"/>
          <w:sz w:val="20"/>
          <w:szCs w:val="20"/>
        </w:rPr>
        <w:t xml:space="preserve"> </w:t>
      </w:r>
      <w:proofErr w:type="spellStart"/>
      <w:r w:rsidRPr="00D45790">
        <w:rPr>
          <w:rFonts w:ascii="Times New Roman" w:eastAsia="宋体" w:hAnsi="Times New Roman" w:cs="Times New Roman"/>
          <w:sz w:val="20"/>
          <w:szCs w:val="20"/>
        </w:rPr>
        <w:t>Eng</w:t>
      </w:r>
      <w:proofErr w:type="spellEnd"/>
      <w:r w:rsidRPr="00D45790">
        <w:rPr>
          <w:rFonts w:ascii="Times New Roman" w:eastAsia="宋体" w:hAnsi="Times New Roman" w:cs="Times New Roman"/>
          <w:sz w:val="20"/>
          <w:szCs w:val="20"/>
        </w:rPr>
        <w:t xml:space="preserve"> 145:105727. </w:t>
      </w:r>
      <w:r w:rsidR="00E317B3" w:rsidRPr="00D45790">
        <w:rPr>
          <w:rFonts w:ascii="Times New Roman" w:hAnsi="Times New Roman" w:cs="Times New Roman"/>
          <w:noProof/>
          <w:color w:val="0000FF"/>
          <w:kern w:val="0"/>
          <w:sz w:val="20"/>
          <w:szCs w:val="20"/>
        </w:rPr>
        <w:t>https://doi.org/</w:t>
      </w:r>
      <w:r w:rsidRPr="00D45790">
        <w:rPr>
          <w:rFonts w:ascii="Times New Roman" w:eastAsia="宋体" w:hAnsi="Times New Roman" w:cs="Times New Roman"/>
          <w:color w:val="0000FF"/>
          <w:sz w:val="20"/>
          <w:szCs w:val="20"/>
        </w:rPr>
        <w:t>10.1016/j.ecoleng.2020.105727</w:t>
      </w:r>
    </w:p>
    <w:p w14:paraId="0D46513B" w14:textId="77777777" w:rsidR="008930CB" w:rsidRPr="00A71133" w:rsidRDefault="008930CB" w:rsidP="008930CB">
      <w:pPr>
        <w:jc w:val="center"/>
        <w:rPr>
          <w:rFonts w:ascii="Times New Roman" w:hAnsi="Times New Roman" w:cs="Times New Roman"/>
          <w:sz w:val="20"/>
          <w:szCs w:val="20"/>
        </w:rPr>
      </w:pPr>
      <w:r w:rsidRPr="00A71133">
        <w:rPr>
          <w:rFonts w:ascii="Times New Roman" w:hAnsi="Times New Roman" w:cs="Times New Roman"/>
          <w:noProof/>
          <w:sz w:val="20"/>
          <w:szCs w:val="20"/>
        </w:rPr>
        <w:lastRenderedPageBreak/>
        <w:drawing>
          <wp:inline distT="0" distB="0" distL="0" distR="0" wp14:anchorId="119B3831" wp14:editId="0AC75F62">
            <wp:extent cx="3061934" cy="2163209"/>
            <wp:effectExtent l="0" t="0" r="571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2"/>
                    <a:stretch>
                      <a:fillRect/>
                    </a:stretch>
                  </pic:blipFill>
                  <pic:spPr>
                    <a:xfrm>
                      <a:off x="0" y="0"/>
                      <a:ext cx="3061934" cy="2163209"/>
                    </a:xfrm>
                    <a:prstGeom prst="rect">
                      <a:avLst/>
                    </a:prstGeom>
                  </pic:spPr>
                </pic:pic>
              </a:graphicData>
            </a:graphic>
          </wp:inline>
        </w:drawing>
      </w:r>
    </w:p>
    <w:p w14:paraId="5DA6EE2B" w14:textId="77777777" w:rsidR="008930CB" w:rsidRPr="00A71133" w:rsidRDefault="008930CB" w:rsidP="00000C3A">
      <w:pPr>
        <w:spacing w:afterLines="100" w:after="312" w:line="480" w:lineRule="auto"/>
        <w:rPr>
          <w:rFonts w:ascii="Times New Roman" w:hAnsi="Times New Roman" w:cs="Times New Roman"/>
          <w:sz w:val="20"/>
          <w:szCs w:val="20"/>
        </w:rPr>
      </w:pPr>
      <w:r w:rsidRPr="00A71133">
        <w:rPr>
          <w:rFonts w:ascii="Times New Roman" w:hAnsi="Times New Roman" w:cs="Times New Roman"/>
          <w:b/>
          <w:bCs/>
          <w:sz w:val="20"/>
          <w:szCs w:val="20"/>
        </w:rPr>
        <w:t>Fig. S5</w:t>
      </w:r>
      <w:r w:rsidRPr="00A71133">
        <w:rPr>
          <w:rFonts w:ascii="Times New Roman" w:hAnsi="Times New Roman" w:cs="Times New Roman"/>
          <w:sz w:val="20"/>
          <w:szCs w:val="20"/>
        </w:rPr>
        <w:t xml:space="preserve"> Relationship between soil nutrients, leaf functional traits and resorption efficiency </w:t>
      </w:r>
      <w:r w:rsidRPr="00A71133">
        <w:rPr>
          <w:rFonts w:ascii="Times New Roman" w:hAnsi="Times New Roman" w:cs="Times New Roman" w:hint="eastAsia"/>
          <w:sz w:val="20"/>
          <w:szCs w:val="20"/>
        </w:rPr>
        <w:t>in</w:t>
      </w:r>
      <w:r w:rsidRPr="00A71133">
        <w:rPr>
          <w:rFonts w:ascii="Times New Roman" w:hAnsi="Times New Roman" w:cs="Times New Roman"/>
          <w:sz w:val="20"/>
          <w:szCs w:val="20"/>
        </w:rPr>
        <w:t xml:space="preserve"> </w:t>
      </w:r>
      <w:r w:rsidRPr="00A71133">
        <w:rPr>
          <w:rFonts w:ascii="Times New Roman" w:hAnsi="Times New Roman" w:cs="Times New Roman" w:hint="eastAsia"/>
          <w:sz w:val="20"/>
          <w:szCs w:val="20"/>
        </w:rPr>
        <w:t>graminoids</w:t>
      </w:r>
      <w:r w:rsidRPr="00A71133">
        <w:rPr>
          <w:rFonts w:ascii="Times New Roman" w:hAnsi="Times New Roman" w:cs="Times New Roman"/>
          <w:sz w:val="20"/>
          <w:szCs w:val="20"/>
        </w:rPr>
        <w:t xml:space="preserve"> (a) and forbs (b)</w:t>
      </w:r>
      <w:r w:rsidRPr="00A71133">
        <w:rPr>
          <w:rFonts w:ascii="Times New Roman" w:hAnsi="Times New Roman" w:cs="Times New Roman" w:hint="eastAsia"/>
          <w:sz w:val="20"/>
          <w:szCs w:val="20"/>
        </w:rPr>
        <w:t>.</w:t>
      </w:r>
      <w:r w:rsidRPr="00A71133">
        <w:rPr>
          <w:rFonts w:ascii="Times New Roman" w:hAnsi="Times New Roman" w:cs="Times New Roman"/>
          <w:b/>
          <w:bCs/>
          <w:sz w:val="20"/>
          <w:szCs w:val="20"/>
        </w:rPr>
        <w:t xml:space="preserve"> </w:t>
      </w:r>
      <w:r w:rsidRPr="00A71133">
        <w:rPr>
          <w:rFonts w:ascii="Times New Roman" w:hAnsi="Times New Roman" w:cs="Times New Roman" w:hint="eastAsia"/>
          <w:sz w:val="20"/>
          <w:szCs w:val="20"/>
        </w:rPr>
        <w:t>T</w:t>
      </w:r>
      <w:r w:rsidRPr="00A71133">
        <w:rPr>
          <w:rFonts w:ascii="Times New Roman" w:hAnsi="Times New Roman" w:cs="Times New Roman"/>
          <w:sz w:val="20"/>
          <w:szCs w:val="20"/>
        </w:rPr>
        <w:t xml:space="preserve">OC, total organic carbon; AN, available nitrogen; AP, available phosphorus; LT, leaf thickness; SLA, specific leaf area; LDMC, leaf dry matter content; Ng, N concentration in green leaf; </w:t>
      </w:r>
      <w:proofErr w:type="spellStart"/>
      <w:r w:rsidRPr="00A71133">
        <w:rPr>
          <w:rFonts w:ascii="Times New Roman" w:hAnsi="Times New Roman" w:cs="Times New Roman"/>
          <w:sz w:val="20"/>
          <w:szCs w:val="20"/>
        </w:rPr>
        <w:t>Pg</w:t>
      </w:r>
      <w:proofErr w:type="spellEnd"/>
      <w:r w:rsidRPr="00A71133">
        <w:rPr>
          <w:rFonts w:ascii="Times New Roman" w:hAnsi="Times New Roman" w:cs="Times New Roman"/>
          <w:sz w:val="20"/>
          <w:szCs w:val="20"/>
        </w:rPr>
        <w:t xml:space="preserve">, P concentration in green leaf; [N:P]g, N and P ratio in green leaf; NRE, nitrogen resorption efficiency; PRE, phosphorus resorption efficiency. *, </w:t>
      </w:r>
      <w:r w:rsidRPr="00A71133">
        <w:rPr>
          <w:rFonts w:ascii="Times New Roman" w:hAnsi="Times New Roman" w:cs="Times New Roman"/>
          <w:i/>
          <w:iCs/>
          <w:sz w:val="20"/>
          <w:szCs w:val="20"/>
        </w:rPr>
        <w:t>P</w:t>
      </w:r>
      <w:r w:rsidRPr="00A71133">
        <w:rPr>
          <w:rFonts w:ascii="Times New Roman" w:hAnsi="Times New Roman" w:cs="Times New Roman"/>
          <w:sz w:val="20"/>
          <w:szCs w:val="20"/>
        </w:rPr>
        <w:t>&lt;0.05.</w:t>
      </w:r>
    </w:p>
    <w:p w14:paraId="680BC820" w14:textId="77777777" w:rsidR="008930CB" w:rsidRPr="00A71133" w:rsidRDefault="008930CB" w:rsidP="008930CB">
      <w:pPr>
        <w:jc w:val="center"/>
        <w:rPr>
          <w:rFonts w:ascii="Times New Roman" w:hAnsi="Times New Roman" w:cs="Times New Roman"/>
          <w:b/>
          <w:bCs/>
          <w:sz w:val="20"/>
          <w:szCs w:val="20"/>
        </w:rPr>
      </w:pPr>
      <w:r w:rsidRPr="00A71133">
        <w:rPr>
          <w:rFonts w:ascii="Times New Roman" w:hAnsi="Times New Roman" w:cs="Times New Roman" w:hint="eastAsia"/>
          <w:noProof/>
          <w:sz w:val="20"/>
          <w:szCs w:val="20"/>
        </w:rPr>
        <w:drawing>
          <wp:inline distT="0" distB="0" distL="0" distR="0" wp14:anchorId="1DA2F331" wp14:editId="0F58684F">
            <wp:extent cx="2920621" cy="2920621"/>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3"/>
                    <a:stretch>
                      <a:fillRect/>
                    </a:stretch>
                  </pic:blipFill>
                  <pic:spPr>
                    <a:xfrm>
                      <a:off x="0" y="0"/>
                      <a:ext cx="2924738" cy="2924738"/>
                    </a:xfrm>
                    <a:prstGeom prst="rect">
                      <a:avLst/>
                    </a:prstGeom>
                  </pic:spPr>
                </pic:pic>
              </a:graphicData>
            </a:graphic>
          </wp:inline>
        </w:drawing>
      </w:r>
    </w:p>
    <w:p w14:paraId="418EF004" w14:textId="4A544E8B" w:rsidR="00837CA1" w:rsidRPr="00A71133" w:rsidRDefault="008930CB" w:rsidP="00000C3A">
      <w:pPr>
        <w:spacing w:line="480" w:lineRule="auto"/>
        <w:rPr>
          <w:rFonts w:ascii="Times New Roman" w:hAnsi="Times New Roman" w:cs="Times New Roman"/>
          <w:sz w:val="20"/>
          <w:szCs w:val="20"/>
        </w:rPr>
      </w:pPr>
      <w:r w:rsidRPr="00A71133">
        <w:rPr>
          <w:rFonts w:ascii="Times New Roman" w:hAnsi="Times New Roman" w:cs="Times New Roman"/>
          <w:b/>
          <w:bCs/>
          <w:sz w:val="20"/>
          <w:szCs w:val="20"/>
        </w:rPr>
        <w:t>Fig. S6</w:t>
      </w:r>
      <w:r w:rsidRPr="00A71133">
        <w:rPr>
          <w:rFonts w:ascii="Times New Roman" w:hAnsi="Times New Roman" w:cs="Times New Roman"/>
          <w:sz w:val="20"/>
          <w:szCs w:val="20"/>
        </w:rPr>
        <w:t xml:space="preserve"> Relationship between L</w:t>
      </w:r>
      <w:r w:rsidRPr="00A71133">
        <w:rPr>
          <w:rFonts w:ascii="Times New Roman" w:hAnsi="Times New Roman" w:cs="Times New Roman" w:hint="eastAsia"/>
          <w:sz w:val="20"/>
          <w:szCs w:val="20"/>
        </w:rPr>
        <w:t>eaf</w:t>
      </w:r>
      <w:r w:rsidRPr="00A71133">
        <w:rPr>
          <w:rFonts w:ascii="Times New Roman" w:hAnsi="Times New Roman" w:cs="Times New Roman"/>
          <w:sz w:val="20"/>
          <w:szCs w:val="20"/>
        </w:rPr>
        <w:t xml:space="preserve"> N:P </w:t>
      </w:r>
      <w:r w:rsidRPr="00A71133">
        <w:rPr>
          <w:rFonts w:ascii="Times New Roman" w:hAnsi="Times New Roman" w:cs="Times New Roman" w:hint="eastAsia"/>
          <w:sz w:val="20"/>
          <w:szCs w:val="20"/>
        </w:rPr>
        <w:t>ratio</w:t>
      </w:r>
      <w:r w:rsidRPr="00A71133">
        <w:rPr>
          <w:rFonts w:ascii="Times New Roman" w:hAnsi="Times New Roman" w:cs="Times New Roman"/>
          <w:sz w:val="20"/>
          <w:szCs w:val="20"/>
        </w:rPr>
        <w:t xml:space="preserve"> and NRE:PRE </w:t>
      </w:r>
      <w:r w:rsidRPr="00A71133">
        <w:rPr>
          <w:rFonts w:ascii="Times New Roman" w:hAnsi="Times New Roman" w:cs="Times New Roman" w:hint="eastAsia"/>
          <w:sz w:val="20"/>
          <w:szCs w:val="20"/>
        </w:rPr>
        <w:t>ratio</w:t>
      </w:r>
      <w:r w:rsidRPr="00A71133">
        <w:rPr>
          <w:rFonts w:ascii="Times New Roman" w:hAnsi="Times New Roman" w:cs="Times New Roman"/>
          <w:sz w:val="20"/>
          <w:szCs w:val="20"/>
        </w:rPr>
        <w:t>. Leaf N:P ratio, N:P ratio in green leaf. NRE, nitrogen resorption efficiency; PRE, phosphorus resorption efficiency.</w:t>
      </w:r>
    </w:p>
    <w:sectPr w:rsidR="00837CA1" w:rsidRPr="00A7113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5BE0D" w14:textId="77777777" w:rsidR="004641C4" w:rsidRDefault="004641C4" w:rsidP="00F438A3">
      <w:r>
        <w:separator/>
      </w:r>
    </w:p>
  </w:endnote>
  <w:endnote w:type="continuationSeparator" w:id="0">
    <w:p w14:paraId="004C338E" w14:textId="77777777" w:rsidR="004641C4" w:rsidRDefault="004641C4" w:rsidP="00F43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41412" w14:textId="77777777" w:rsidR="004641C4" w:rsidRDefault="004641C4" w:rsidP="00F438A3">
      <w:r>
        <w:separator/>
      </w:r>
    </w:p>
  </w:footnote>
  <w:footnote w:type="continuationSeparator" w:id="0">
    <w:p w14:paraId="772379E9" w14:textId="77777777" w:rsidR="004641C4" w:rsidRDefault="004641C4" w:rsidP="00F438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8F42B3"/>
    <w:multiLevelType w:val="hybridMultilevel"/>
    <w:tmpl w:val="0ADA908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8D5"/>
    <w:rsid w:val="00000C3A"/>
    <w:rsid w:val="00004EAE"/>
    <w:rsid w:val="002108AC"/>
    <w:rsid w:val="004641C4"/>
    <w:rsid w:val="004A1A35"/>
    <w:rsid w:val="005009A6"/>
    <w:rsid w:val="005079AB"/>
    <w:rsid w:val="00602F2F"/>
    <w:rsid w:val="006D5A3D"/>
    <w:rsid w:val="00837CA1"/>
    <w:rsid w:val="008930CB"/>
    <w:rsid w:val="008D18D5"/>
    <w:rsid w:val="00980AFE"/>
    <w:rsid w:val="00A21F2E"/>
    <w:rsid w:val="00A71133"/>
    <w:rsid w:val="00AA74D7"/>
    <w:rsid w:val="00BF43EF"/>
    <w:rsid w:val="00C67042"/>
    <w:rsid w:val="00CA6F7F"/>
    <w:rsid w:val="00D45790"/>
    <w:rsid w:val="00E317B3"/>
    <w:rsid w:val="00F438A3"/>
    <w:rsid w:val="00FF5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FAF82"/>
  <w15:chartTrackingRefBased/>
  <w15:docId w15:val="{1ADD7A99-7DA7-4660-AA1A-599054DB9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8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38A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38A3"/>
    <w:rPr>
      <w:sz w:val="18"/>
      <w:szCs w:val="18"/>
    </w:rPr>
  </w:style>
  <w:style w:type="paragraph" w:styleId="a5">
    <w:name w:val="footer"/>
    <w:basedOn w:val="a"/>
    <w:link w:val="a6"/>
    <w:uiPriority w:val="99"/>
    <w:unhideWhenUsed/>
    <w:rsid w:val="00F438A3"/>
    <w:pPr>
      <w:tabs>
        <w:tab w:val="center" w:pos="4153"/>
        <w:tab w:val="right" w:pos="8306"/>
      </w:tabs>
      <w:snapToGrid w:val="0"/>
      <w:jc w:val="left"/>
    </w:pPr>
    <w:rPr>
      <w:sz w:val="18"/>
      <w:szCs w:val="18"/>
    </w:rPr>
  </w:style>
  <w:style w:type="character" w:customStyle="1" w:styleId="a6">
    <w:name w:val="页脚 字符"/>
    <w:basedOn w:val="a0"/>
    <w:link w:val="a5"/>
    <w:uiPriority w:val="99"/>
    <w:rsid w:val="00F438A3"/>
    <w:rPr>
      <w:sz w:val="18"/>
      <w:szCs w:val="18"/>
    </w:rPr>
  </w:style>
  <w:style w:type="character" w:styleId="a7">
    <w:name w:val="line number"/>
    <w:basedOn w:val="a0"/>
    <w:uiPriority w:val="99"/>
    <w:semiHidden/>
    <w:unhideWhenUsed/>
    <w:rsid w:val="00F438A3"/>
  </w:style>
  <w:style w:type="paragraph" w:styleId="a8">
    <w:name w:val="List Paragraph"/>
    <w:basedOn w:val="a"/>
    <w:uiPriority w:val="34"/>
    <w:qFormat/>
    <w:rsid w:val="00FF569F"/>
    <w:pPr>
      <w:ind w:firstLineChars="200" w:firstLine="420"/>
    </w:pPr>
  </w:style>
  <w:style w:type="character" w:styleId="a9">
    <w:name w:val="Hyperlink"/>
    <w:basedOn w:val="a0"/>
    <w:uiPriority w:val="99"/>
    <w:unhideWhenUsed/>
    <w:qFormat/>
    <w:rsid w:val="00837C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5DB3E-0F14-41BD-8DA5-739F0C80D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6935</Words>
  <Characters>39536</Characters>
  <Application>Microsoft Office Word</Application>
  <DocSecurity>0</DocSecurity>
  <Lines>329</Lines>
  <Paragraphs>92</Paragraphs>
  <ScaleCrop>false</ScaleCrop>
  <Company/>
  <LinksUpToDate>false</LinksUpToDate>
  <CharactersWithSpaces>46379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Xiaowei Liu</dc:creator>
  <cp:keywords/>
  <dc:description/>
  <cp:lastModifiedBy>Abner</cp:lastModifiedBy>
  <cp:revision>16</cp:revision>
  <dcterms:created xsi:type="dcterms:W3CDTF">2022-10-05T02:52:00Z</dcterms:created>
  <dcterms:modified xsi:type="dcterms:W3CDTF">2022-12-28T02:25:00Z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http://www.zotero.org/styles/applied-soil-ecology</vt:lpwstr>
  </property>
  <property fmtid="{D5CDD505-2E9C-101B-9397-08002B2CF9AE}" pid="7" name="Mendeley Recent Style Name 2_1">
    <vt:lpwstr>Applied Soil Ecology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http://www.zotero.org/styles/soil-biology-and-biochemistry</vt:lpwstr>
  </property>
  <property fmtid="{D5CDD505-2E9C-101B-9397-08002B2CF9AE}" pid="21" name="Mendeley Recent Style Name 9_1">
    <vt:lpwstr>Soil Biology and Biochemistry</vt:lpwstr>
  </property>
  <property fmtid="{D5CDD505-2E9C-101B-9397-08002B2CF9AE}" pid="22" name="Mendeley Document_1">
    <vt:lpwstr>True</vt:lpwstr>
  </property>
  <property fmtid="{D5CDD505-2E9C-101B-9397-08002B2CF9AE}" pid="23" name="Mendeley Unique User Id_1">
    <vt:lpwstr>f24f00d0-06c9-30b0-9482-ed9aeaf2730f</vt:lpwstr>
  </property>
  <property fmtid="{D5CDD505-2E9C-101B-9397-08002B2CF9AE}" pid="24" name="Mendeley Citation Style_1">
    <vt:lpwstr>http://www.zotero.org/styles/nature</vt:lpwstr>
  </property>
</Properties>
</file>