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80" w:lineRule="auto"/>
        <w:jc w:val="center"/>
        <w:rPr>
          <w:rFonts w:hint="eastAsia" w:ascii="Times New Roman" w:hAnsi="Times New Roman" w:eastAsiaTheme="minorEastAsia"/>
          <w:b/>
          <w:sz w:val="20"/>
          <w:szCs w:val="20"/>
        </w:rPr>
      </w:pPr>
      <w:r>
        <w:rPr>
          <w:rFonts w:ascii="Times New Roman" w:hAnsi="Times New Roman" w:eastAsiaTheme="minorEastAsia"/>
          <w:b/>
          <w:sz w:val="20"/>
          <w:szCs w:val="20"/>
        </w:rPr>
        <w:t xml:space="preserve">Supplementary </w:t>
      </w:r>
      <w:r>
        <w:rPr>
          <w:rFonts w:hint="eastAsia" w:ascii="Times New Roman" w:hAnsi="Times New Roman" w:eastAsiaTheme="minorEastAsia"/>
          <w:b/>
          <w:sz w:val="20"/>
          <w:szCs w:val="20"/>
        </w:rPr>
        <w:t>information</w:t>
      </w:r>
    </w:p>
    <w:p>
      <w:pPr>
        <w:spacing w:before="156" w:beforeLines="50" w:after="156" w:afterLines="50" w:line="480" w:lineRule="auto"/>
        <w:jc w:val="center"/>
        <w:rPr>
          <w:rFonts w:hint="eastAsia" w:ascii="Times New Roman" w:hAnsi="Times New Roman" w:eastAsiaTheme="minorEastAsia"/>
          <w:b/>
          <w:sz w:val="20"/>
          <w:szCs w:val="20"/>
        </w:rPr>
      </w:pPr>
    </w:p>
    <w:p>
      <w:pPr>
        <w:spacing w:before="156" w:beforeLines="50" w:after="156" w:afterLines="50" w:line="360" w:lineRule="auto"/>
        <w:jc w:val="center"/>
        <w:rPr>
          <w:rFonts w:hint="default" w:ascii="Times New Roman" w:hAnsi="Times New Roman" w:eastAsia="宋体" w:cs="Times New Roman"/>
          <w:b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sz w:val="20"/>
          <w:szCs w:val="20"/>
          <w:lang w:val="en-US" w:eastAsia="zh-CN"/>
        </w:rPr>
        <w:t>FGF10 P</w:t>
      </w:r>
      <w:r>
        <w:rPr>
          <w:rFonts w:hint="default" w:ascii="Times New Roman" w:hAnsi="Times New Roman" w:eastAsia="宋体" w:cs="Times New Roman"/>
          <w:b/>
          <w:sz w:val="20"/>
          <w:szCs w:val="20"/>
          <w:lang w:val="en-US" w:eastAsia="zh-Hans"/>
        </w:rPr>
        <w:t xml:space="preserve">rotects aganist </w:t>
      </w:r>
      <w:r>
        <w:rPr>
          <w:rFonts w:hint="default" w:ascii="Times New Roman" w:hAnsi="Times New Roman" w:eastAsia="宋体" w:cs="Times New Roman"/>
          <w:b/>
          <w:sz w:val="20"/>
          <w:szCs w:val="20"/>
          <w:lang w:val="en-US" w:eastAsia="zh-CN"/>
        </w:rPr>
        <w:t xml:space="preserve">Myocardial Ischemia/Reperfusion Injury </w:t>
      </w:r>
    </w:p>
    <w:p>
      <w:pPr>
        <w:spacing w:before="156" w:beforeLines="50" w:after="156" w:afterLines="50" w:line="360" w:lineRule="auto"/>
        <w:jc w:val="center"/>
        <w:rPr>
          <w:rFonts w:hint="default" w:ascii="Times New Roman" w:hAnsi="Times New Roman" w:eastAsia="宋体" w:cs="Times New Roman"/>
          <w:b/>
          <w:sz w:val="20"/>
          <w:szCs w:val="20"/>
          <w:lang w:val="en-US" w:eastAsia="zh-Hans"/>
        </w:rPr>
      </w:pPr>
      <w:r>
        <w:rPr>
          <w:rFonts w:hint="default" w:ascii="Times New Roman" w:hAnsi="Times New Roman" w:eastAsia="宋体" w:cs="Times New Roman"/>
          <w:b/>
          <w:sz w:val="20"/>
          <w:szCs w:val="20"/>
          <w:lang w:val="en-US" w:eastAsia="zh-Hans"/>
        </w:rPr>
        <w:t>through AMPK/mTOR/TFEB Pathway</w:t>
      </w:r>
    </w:p>
    <w:p>
      <w:pPr>
        <w:spacing w:before="156" w:beforeLines="50" w:after="156" w:afterLines="50" w:line="360" w:lineRule="auto"/>
        <w:jc w:val="center"/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sz w:val="20"/>
          <w:szCs w:val="20"/>
          <w:lang w:eastAsia="zh-CN"/>
        </w:rPr>
        <w:t>Yu</w:t>
      </w:r>
      <w:r>
        <w:rPr>
          <w:rFonts w:hint="default" w:ascii="Times New Roman Regular" w:hAnsi="Times New Roman Regular" w:eastAsia="宋体" w:cs="Times New Roman Regular"/>
          <w:sz w:val="20"/>
          <w:szCs w:val="20"/>
          <w:lang w:val="en-US" w:eastAsia="zh-CN"/>
        </w:rPr>
        <w:t xml:space="preserve"> </w:t>
      </w:r>
      <w:r>
        <w:rPr>
          <w:rFonts w:hint="default" w:ascii="Times New Roman Regular" w:hAnsi="Times New Roman Regular" w:eastAsia="宋体" w:cs="Times New Roman Regular"/>
          <w:sz w:val="20"/>
          <w:szCs w:val="20"/>
          <w:lang w:eastAsia="zh-CN"/>
        </w:rPr>
        <w:t>Zh</w:t>
      </w:r>
      <w:r>
        <w:rPr>
          <w:rFonts w:hint="default" w:ascii="Times New Roman Regular" w:hAnsi="Times New Roman Regular" w:eastAsia="宋体" w:cs="Times New Roman Regular"/>
          <w:sz w:val="20"/>
          <w:szCs w:val="20"/>
          <w:lang w:val="en-US" w:eastAsia="zh-CN"/>
        </w:rPr>
        <w:t>u</w:t>
      </w:r>
      <w:r>
        <w:rPr>
          <w:rFonts w:hint="default" w:ascii="Times New Roman Regular" w:hAnsi="Times New Roman Regular" w:eastAsia="宋体" w:cs="Times New Roman Regular"/>
          <w:sz w:val="20"/>
          <w:szCs w:val="20"/>
          <w:vertAlign w:val="superscript"/>
          <w:lang w:eastAsia="zh-CN"/>
        </w:rPr>
        <w:t>1*</w:t>
      </w:r>
      <w:r>
        <w:rPr>
          <w:rFonts w:hint="default" w:ascii="Times New Roman Regular" w:hAnsi="Times New Roman Regular" w:eastAsia="宋体" w:cs="Times New Roman Regular"/>
          <w:sz w:val="20"/>
          <w:szCs w:val="20"/>
          <w:lang w:val="en-US" w:eastAsia="zh-CN"/>
        </w:rPr>
        <w:t>, Zhicheng Hu</w:t>
      </w:r>
      <w:r>
        <w:rPr>
          <w:rFonts w:hint="default" w:ascii="Times New Roman Regular" w:hAnsi="Times New Roman Regular" w:eastAsia="宋体" w:cs="Times New Roman Regular"/>
          <w:sz w:val="20"/>
          <w:szCs w:val="20"/>
          <w:vertAlign w:val="superscript"/>
          <w:lang w:eastAsia="zh-CN"/>
        </w:rPr>
        <w:t>2*</w:t>
      </w:r>
      <w:r>
        <w:rPr>
          <w:rFonts w:hint="default" w:ascii="Times New Roman Regular" w:hAnsi="Times New Roman Regular" w:eastAsia="宋体" w:cs="Times New Roman Regular"/>
          <w:sz w:val="20"/>
          <w:szCs w:val="20"/>
          <w:lang w:val="en-US" w:eastAsia="zh-CN"/>
        </w:rPr>
        <w:t>, Gen Chen</w:t>
      </w:r>
      <w:r>
        <w:rPr>
          <w:rFonts w:hint="default" w:ascii="Times New Roman Regular" w:hAnsi="Times New Roman Regular" w:eastAsia="宋体" w:cs="Times New Roman Regular"/>
          <w:sz w:val="20"/>
          <w:szCs w:val="20"/>
          <w:vertAlign w:val="superscript"/>
          <w:lang w:eastAsia="zh-CN"/>
        </w:rPr>
        <w:t>3</w:t>
      </w:r>
      <w:r>
        <w:rPr>
          <w:rFonts w:hint="default" w:ascii="Times New Roman Regular" w:hAnsi="Times New Roman Regular" w:eastAsia="宋体" w:cs="Times New Roman Regular"/>
          <w:sz w:val="20"/>
          <w:szCs w:val="20"/>
          <w:lang w:val="en-US" w:eastAsia="zh-CN"/>
        </w:rPr>
        <w:t>, Zhenyu Hu</w:t>
      </w:r>
      <w:r>
        <w:rPr>
          <w:rFonts w:hint="default" w:ascii="Times New Roman Regular" w:hAnsi="Times New Roman Regular" w:eastAsia="宋体" w:cs="Times New Roman Regular"/>
          <w:sz w:val="20"/>
          <w:szCs w:val="20"/>
          <w:vertAlign w:val="superscript"/>
          <w:lang w:eastAsia="zh-CN"/>
        </w:rPr>
        <w:t>2</w:t>
      </w:r>
      <w:r>
        <w:rPr>
          <w:rFonts w:hint="default" w:ascii="Times New Roman Regular" w:hAnsi="Times New Roman Regular" w:eastAsia="宋体" w:cs="Times New Roman Regular"/>
          <w:sz w:val="20"/>
          <w:szCs w:val="20"/>
          <w:lang w:val="en-US" w:eastAsia="zh-CN"/>
        </w:rPr>
        <w:t>,</w:t>
      </w:r>
      <w:r>
        <w:rPr>
          <w:rFonts w:hint="default" w:ascii="Times New Roman Regular" w:hAnsi="Times New Roman Regular" w:eastAsia="宋体" w:cs="Times New Roman Regular"/>
          <w:sz w:val="20"/>
          <w:szCs w:val="20"/>
          <w:lang w:eastAsia="zh-CN"/>
        </w:rPr>
        <w:t xml:space="preserve"> Junjie Zhu</w:t>
      </w:r>
      <w:r>
        <w:rPr>
          <w:rFonts w:hint="default" w:ascii="Times New Roman Regular" w:hAnsi="Times New Roman Regular" w:eastAsia="宋体" w:cs="Times New Roman Regular"/>
          <w:sz w:val="20"/>
          <w:szCs w:val="20"/>
          <w:vertAlign w:val="superscript"/>
          <w:lang w:eastAsia="zh-CN"/>
        </w:rPr>
        <w:t>2</w:t>
      </w:r>
      <w:r>
        <w:rPr>
          <w:rFonts w:hint="default" w:ascii="Times New Roman Regular" w:hAnsi="Times New Roman Regular" w:eastAsia="宋体" w:cs="Times New Roman Regular"/>
          <w:sz w:val="20"/>
          <w:szCs w:val="20"/>
          <w:lang w:eastAsia="zh-CN"/>
        </w:rPr>
        <w:t>,</w:t>
      </w:r>
      <w:r>
        <w:rPr>
          <w:rFonts w:hint="default" w:ascii="Times New Roman Regular" w:hAnsi="Times New Roman Regular" w:eastAsia="宋体" w:cs="Times New Roman Regular"/>
          <w:sz w:val="20"/>
          <w:szCs w:val="20"/>
          <w:lang w:val="en-US" w:eastAsia="zh-CN"/>
        </w:rPr>
        <w:t xml:space="preserve"> </w:t>
      </w:r>
      <w:r>
        <w:rPr>
          <w:rFonts w:hint="default" w:ascii="Times New Roman Regular" w:hAnsi="Times New Roman Regular" w:eastAsia="宋体" w:cs="Times New Roman Regular"/>
          <w:sz w:val="20"/>
          <w:szCs w:val="20"/>
          <w:lang w:eastAsia="zh-CN"/>
        </w:rPr>
        <w:t>Hongfang Ma</w:t>
      </w:r>
      <w:r>
        <w:rPr>
          <w:rFonts w:hint="default" w:ascii="Times New Roman Regular" w:hAnsi="Times New Roman Regular" w:eastAsia="宋体" w:cs="Times New Roman Regular"/>
          <w:sz w:val="20"/>
          <w:szCs w:val="20"/>
          <w:vertAlign w:val="superscript"/>
          <w:lang w:eastAsia="zh-CN"/>
        </w:rPr>
        <w:t>1</w:t>
      </w:r>
      <w:r>
        <w:rPr>
          <w:rFonts w:hint="default" w:ascii="Times New Roman Regular" w:hAnsi="Times New Roman Regular" w:eastAsia="宋体" w:cs="Times New Roman Regular"/>
          <w:sz w:val="20"/>
          <w:szCs w:val="20"/>
          <w:lang w:eastAsia="zh-CN"/>
        </w:rPr>
        <w:t xml:space="preserve">, 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  <w:t>Shengqu He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vertAlign w:val="superscript"/>
          <w:lang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  <w:t xml:space="preserve">, </w:t>
      </w:r>
    </w:p>
    <w:p>
      <w:pPr>
        <w:spacing w:before="156" w:beforeLines="50" w:after="156" w:afterLines="50" w:line="360" w:lineRule="auto"/>
        <w:jc w:val="center"/>
        <w:rPr>
          <w:rFonts w:hint="default" w:ascii="Times New Roman Regular" w:hAnsi="Times New Roman Regular" w:eastAsia="宋体" w:cs="Times New Roman Regular"/>
          <w:sz w:val="20"/>
          <w:szCs w:val="20"/>
          <w:lang w:eastAsia="zh-CN"/>
        </w:rPr>
      </w:pP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  <w:t>Xiejun Xu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vertAlign w:val="superscript"/>
          <w:lang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  <w:t>, Zhiyuan Huang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vertAlign w:val="superscript"/>
          <w:lang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  <w:t>, Yonggan Dong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vertAlign w:val="superscript"/>
          <w:lang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  <w:t>, Xueqiang Guan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vertAlign w:val="superscript"/>
          <w:lang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vertAlign w:val="superscript"/>
          <w:lang w:val="en-US" w:eastAsia="zh-CN"/>
        </w:rPr>
        <w:t>#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  <w:t>,</w:t>
      </w:r>
      <w:r>
        <w:rPr>
          <w:rFonts w:hint="default" w:ascii="Times New Roman Regular" w:hAnsi="Times New Roman Regular" w:eastAsia="宋体" w:cs="Times New Roman Regular"/>
          <w:sz w:val="20"/>
          <w:szCs w:val="20"/>
          <w:lang w:val="en-US" w:eastAsia="zh-CN"/>
        </w:rPr>
        <w:t>Xu Wang</w:t>
      </w:r>
      <w:r>
        <w:rPr>
          <w:rFonts w:hint="default" w:ascii="Times New Roman Regular" w:hAnsi="Times New Roman Regular" w:eastAsia="宋体" w:cs="Times New Roman Regular"/>
          <w:sz w:val="20"/>
          <w:szCs w:val="20"/>
          <w:vertAlign w:val="superscript"/>
          <w:lang w:eastAsia="zh-CN"/>
        </w:rPr>
        <w:t>2#</w:t>
      </w:r>
      <w:r>
        <w:rPr>
          <w:rFonts w:hint="default" w:ascii="Times New Roman Regular" w:hAnsi="Times New Roman Regular" w:eastAsia="宋体" w:cs="Times New Roman Regular"/>
          <w:sz w:val="20"/>
          <w:szCs w:val="20"/>
          <w:lang w:eastAsia="zh-CN"/>
        </w:rPr>
        <w:t xml:space="preserve"> and </w:t>
      </w:r>
      <w:r>
        <w:rPr>
          <w:rFonts w:hint="default" w:ascii="Times New Roman Regular" w:hAnsi="Times New Roman Regular" w:eastAsia="宋体" w:cs="Times New Roman Regular"/>
          <w:sz w:val="20"/>
          <w:szCs w:val="20"/>
          <w:lang w:val="en-US" w:eastAsia="zh-CN"/>
        </w:rPr>
        <w:t>Yang Wang</w:t>
      </w:r>
      <w:r>
        <w:rPr>
          <w:rFonts w:hint="default" w:ascii="Times New Roman Regular" w:hAnsi="Times New Roman Regular" w:eastAsia="宋体" w:cs="Times New Roman Regular"/>
          <w:sz w:val="20"/>
          <w:szCs w:val="20"/>
          <w:vertAlign w:val="superscript"/>
          <w:lang w:eastAsia="zh-CN"/>
        </w:rPr>
        <w:t>1#</w:t>
      </w:r>
    </w:p>
    <w:p>
      <w:pPr>
        <w:spacing w:before="156" w:beforeLines="50" w:after="156" w:afterLines="50" w:line="360" w:lineRule="auto"/>
        <w:rPr>
          <w:rFonts w:hint="default" w:ascii="Times New Roman" w:hAnsi="Times New Roman" w:eastAsia="宋体" w:cs="Times New Roman"/>
          <w:b/>
          <w:sz w:val="20"/>
          <w:szCs w:val="20"/>
          <w:lang w:val="en-US" w:eastAsia="zh-Hans"/>
        </w:rPr>
      </w:pPr>
      <w:r>
        <w:rPr>
          <w:rFonts w:hint="default" w:ascii="Times New Roman" w:hAnsi="Times New Roman" w:eastAsia="宋体" w:cs="Times New Roman"/>
          <w:b/>
          <w:sz w:val="20"/>
          <w:szCs w:val="20"/>
          <w:lang w:val="en-US" w:eastAsia="zh-Hans"/>
        </w:rPr>
        <w:t>Author names and institutional affiliations</w:t>
      </w:r>
    </w:p>
    <w:p>
      <w:pPr>
        <w:spacing w:before="156" w:beforeLines="50" w:after="156" w:afterLines="50" w:line="360" w:lineRule="auto"/>
        <w:jc w:val="both"/>
        <w:rPr>
          <w:rFonts w:hint="default" w:ascii="Times New Roman" w:hAnsi="Times New Roman" w:eastAsia="宋体" w:cs="Times New Roman"/>
          <w:color w:val="000000"/>
          <w:sz w:val="20"/>
          <w:szCs w:val="20"/>
          <w:lang w:eastAsia="zh-CN"/>
        </w:rPr>
      </w:pPr>
      <w:r>
        <w:rPr>
          <w:rFonts w:hint="default" w:ascii="Times New Roman" w:hAnsi="Times New Roman" w:eastAsia="宋体" w:cs="Times New Roman"/>
          <w:color w:val="000000"/>
          <w:sz w:val="20"/>
          <w:szCs w:val="20"/>
          <w:vertAlign w:val="superscript"/>
          <w:lang w:eastAsia="zh-CN"/>
        </w:rPr>
        <w:t>1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  <w:t>Department of Histology and Embryology, Institute of Neuroscience, Wenzhou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  <w:t>Medical University, Wenzhou, P.R. China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eastAsia="zh-CN"/>
        </w:rPr>
        <w:t>.</w:t>
      </w:r>
    </w:p>
    <w:p>
      <w:pPr>
        <w:spacing w:before="156" w:beforeLines="50" w:after="156" w:afterLines="50" w:line="360" w:lineRule="auto"/>
        <w:jc w:val="both"/>
        <w:rPr>
          <w:rFonts w:hint="default" w:ascii="Times New Roman" w:hAnsi="Times New Roman" w:eastAsia="宋体" w:cs="Times New Roman"/>
          <w:color w:val="000000"/>
          <w:sz w:val="20"/>
          <w:szCs w:val="20"/>
          <w:lang w:eastAsia="zh-CN"/>
        </w:rPr>
      </w:pPr>
      <w:r>
        <w:rPr>
          <w:rFonts w:hint="default" w:ascii="Times New Roman" w:hAnsi="Times New Roman" w:eastAsia="宋体" w:cs="Times New Roman"/>
          <w:color w:val="000000"/>
          <w:sz w:val="20"/>
          <w:szCs w:val="20"/>
          <w:vertAlign w:val="superscript"/>
          <w:lang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  <w:t>School of Pharmaceutical Science, Wenzhou Medical University, Wenzhou, P.R.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  <w:t>China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eastAsia="zh-CN"/>
        </w:rPr>
        <w:t>.</w:t>
      </w:r>
    </w:p>
    <w:p>
      <w:pPr>
        <w:spacing w:before="156" w:beforeLines="50" w:after="156" w:afterLines="50" w:line="360" w:lineRule="auto"/>
        <w:jc w:val="both"/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0"/>
          <w:szCs w:val="20"/>
          <w:vertAlign w:val="superscript"/>
          <w:lang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GB" w:eastAsia="zh-CN"/>
        </w:rPr>
        <w:t>Department of Physiology and Pharmacology, School of Medicine, Ningbo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GB" w:eastAsia="zh-CN"/>
        </w:rPr>
        <w:t>University, Ningbo, 315211, P.R. China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  <w:t>.</w:t>
      </w:r>
    </w:p>
    <w:p>
      <w:pPr>
        <w:spacing w:before="156" w:beforeLines="50" w:after="156" w:afterLines="50" w:line="360" w:lineRule="auto"/>
        <w:jc w:val="both"/>
        <w:rPr>
          <w:rFonts w:hint="default" w:ascii="Times New Roman" w:hAnsi="Times New Roman" w:eastAsia="宋体" w:cs="Times New Roman"/>
          <w:color w:val="000000"/>
          <w:sz w:val="20"/>
          <w:szCs w:val="20"/>
          <w:lang w:eastAsia="zh-CN"/>
        </w:rPr>
      </w:pPr>
      <w:r>
        <w:rPr>
          <w:rFonts w:hint="default" w:ascii="Times New Roman" w:hAnsi="Times New Roman" w:eastAsia="宋体" w:cs="Times New Roman"/>
          <w:color w:val="000000"/>
          <w:sz w:val="20"/>
          <w:szCs w:val="20"/>
          <w:vertAlign w:val="superscript"/>
          <w:lang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  <w:t>Department of Cardiology, The Second Affiliated Hospital and Yuying Children's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  <w:t>Hospital of Wenzhou Medical University, Wenzhou, P.R. China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eastAsia="zh-CN"/>
        </w:rPr>
        <w:t>.</w:t>
      </w:r>
    </w:p>
    <w:p>
      <w:pPr>
        <w:spacing w:before="156" w:beforeLines="50" w:after="156" w:afterLines="50" w:line="360" w:lineRule="auto"/>
        <w:jc w:val="left"/>
        <w:rPr>
          <w:rFonts w:hint="default" w:ascii="Times New Roman" w:hAnsi="Times New Roman" w:eastAsia="宋体" w:cs="Times New Roman"/>
          <w:color w:val="000000"/>
          <w:sz w:val="20"/>
          <w:szCs w:val="20"/>
          <w:lang w:eastAsia="zh-CN"/>
        </w:rPr>
      </w:pP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GB" w:eastAsia="zh-CN"/>
        </w:rPr>
        <w:t>*These authors contributed equally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eastAsia="zh-CN"/>
        </w:rPr>
        <w:t>.</w:t>
      </w:r>
    </w:p>
    <w:p>
      <w:pPr>
        <w:spacing w:before="156" w:beforeLines="50" w:after="156" w:afterLines="50" w:line="360" w:lineRule="auto"/>
        <w:rPr>
          <w:rFonts w:hint="default" w:ascii="Times New Roman" w:hAnsi="Times New Roman" w:eastAsia="宋体" w:cs="Times New Roman"/>
          <w:b/>
          <w:sz w:val="20"/>
          <w:szCs w:val="20"/>
          <w:lang w:val="en-GB" w:eastAsia="zh-CN"/>
        </w:rPr>
      </w:pPr>
      <w:r>
        <w:rPr>
          <w:rFonts w:hint="default" w:ascii="Times New Roman" w:hAnsi="Times New Roman" w:eastAsia="宋体" w:cs="Times New Roman"/>
          <w:b/>
          <w:sz w:val="20"/>
          <w:szCs w:val="20"/>
          <w:vertAlign w:val="superscript"/>
          <w:lang w:eastAsia="zh-CN"/>
        </w:rPr>
        <w:t>#</w:t>
      </w:r>
      <w:r>
        <w:rPr>
          <w:rFonts w:hint="default" w:ascii="Times New Roman" w:hAnsi="Times New Roman" w:eastAsia="宋体" w:cs="Times New Roman"/>
          <w:b/>
          <w:sz w:val="20"/>
          <w:szCs w:val="20"/>
          <w:lang w:val="en-GB" w:eastAsia="zh-CN"/>
        </w:rPr>
        <w:t>Address correspondence to:</w:t>
      </w:r>
    </w:p>
    <w:p>
      <w:pPr>
        <w:spacing w:before="156" w:beforeLines="50" w:after="156" w:afterLines="50" w:line="360" w:lineRule="auto"/>
        <w:jc w:val="both"/>
        <w:rPr>
          <w:rFonts w:hint="default" w:ascii="Times New Roman" w:hAnsi="Times New Roman" w:eastAsia="宋体" w:cs="Times New Roman"/>
          <w:color w:val="000000"/>
          <w:sz w:val="20"/>
          <w:szCs w:val="20"/>
          <w:lang w:val="en" w:eastAsia="zh-CN"/>
        </w:rPr>
      </w:pP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  <w:t>Xueqiang Guan, Department of Cardiology, The Second Affiliated Hospital and Yuying Children's Hospital of Wenzhou Medical University, Wenzhou 325027, P.R. China. Email: wzsgxq@163.com</w:t>
      </w:r>
    </w:p>
    <w:p>
      <w:pPr>
        <w:spacing w:before="156" w:beforeLines="50" w:after="156" w:afterLines="50" w:line="360" w:lineRule="auto"/>
        <w:jc w:val="both"/>
        <w:rPr>
          <w:rFonts w:hint="default" w:ascii="Times New Roman" w:hAnsi="Times New Roman" w:eastAsia="宋体" w:cs="Times New Roman"/>
          <w:color w:val="000000"/>
          <w:sz w:val="20"/>
          <w:szCs w:val="20"/>
          <w:lang w:val="en-GB" w:eastAsia="zh-CN"/>
        </w:rPr>
      </w:pP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GB" w:eastAsia="zh-CN"/>
        </w:rPr>
        <w:t>Xu Wang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" w:eastAsia="zh-CN"/>
        </w:rPr>
        <w:t xml:space="preserve">, School of Pharmaceutical Science, Wenzhou Medical University, Wenzhou, 325000, P.R. China. 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GB" w:eastAsia="zh-CN"/>
        </w:rPr>
        <w:t xml:space="preserve">Detailed address: 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" w:eastAsia="zh-CN"/>
        </w:rPr>
        <w:t xml:space="preserve">Wenzhou Medical University, Center North Road, Wenzhou, Zhejiang 325035, P.R. China. 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GB" w:eastAsia="zh-CN"/>
        </w:rPr>
        <w:t xml:space="preserve">Tel./fax: +86 577 86699790; e-mail: 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GB" w:eastAsia="zh-CN"/>
        </w:rPr>
        <w:fldChar w:fldCharType="begin"/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GB" w:eastAsia="zh-CN"/>
        </w:rPr>
        <w:instrText xml:space="preserve"> HYPERLINK "mailto:wang_xu2003@163.com" </w:instrTex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GB" w:eastAsia="zh-CN"/>
        </w:rPr>
        <w:fldChar w:fldCharType="separate"/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GB" w:eastAsia="zh-CN"/>
        </w:rPr>
        <w:t>wang_xu2003@163.com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GB" w:eastAsia="zh-CN"/>
        </w:rPr>
        <w:fldChar w:fldCharType="end"/>
      </w:r>
    </w:p>
    <w:p>
      <w:pPr>
        <w:spacing w:before="156" w:beforeLines="50" w:after="156" w:afterLines="50" w:line="360" w:lineRule="auto"/>
        <w:jc w:val="both"/>
        <w:rPr>
          <w:rFonts w:hint="default" w:ascii="Times New Roman" w:hAnsi="Times New Roman" w:eastAsia="宋体" w:cs="Times New Roman"/>
          <w:color w:val="000000"/>
          <w:sz w:val="20"/>
          <w:szCs w:val="20"/>
          <w:lang w:val="en-GB" w:eastAsia="zh-CN"/>
        </w:rPr>
      </w:pP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  <w:t>Yang Wang, Department of Histology and Embryology, Institute of Neuroscience,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  <w:t>Wenzhou Medical University, Wenzhou 325000, P.R. China. Email: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/>
        </w:rPr>
        <w:t>yw1867@126.com</w:t>
      </w:r>
    </w:p>
    <w:p>
      <w:pPr>
        <w:widowControl/>
        <w:adjustRightInd w:val="0"/>
        <w:snapToGrid w:val="0"/>
        <w:spacing w:before="156" w:beforeLines="50" w:after="156" w:afterLines="50" w:line="480" w:lineRule="auto"/>
        <w:jc w:val="center"/>
        <w:rPr>
          <w:rFonts w:ascii="Times New Roman" w:hAnsi="Times New Roman" w:eastAsia="宋体" w:cs="Times New Roman"/>
          <w:b/>
          <w:sz w:val="20"/>
          <w:szCs w:val="20"/>
        </w:rPr>
      </w:pPr>
      <w:r>
        <w:rPr>
          <w:rFonts w:ascii="Times New Roman" w:hAnsi="Times New Roman" w:eastAsia="宋体" w:cs="Times New Roman"/>
          <w:b/>
          <w:sz w:val="20"/>
          <w:szCs w:val="20"/>
        </w:rPr>
        <w:drawing>
          <wp:inline distT="0" distB="0" distL="114300" distR="114300">
            <wp:extent cx="4801235" cy="5614670"/>
            <wp:effectExtent l="0" t="0" r="24765" b="24130"/>
            <wp:docPr id="2" name="图片 2" descr="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1235" cy="561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adjustRightInd w:val="0"/>
        <w:snapToGrid w:val="0"/>
        <w:spacing w:before="156" w:beforeLines="50" w:after="156" w:afterLines="50" w:line="480" w:lineRule="auto"/>
        <w:rPr>
          <w:rFonts w:ascii="Times New Roman" w:hAnsi="Times New Roman" w:eastAsia="宋体" w:cs="Times New Roman"/>
          <w:b/>
          <w:sz w:val="20"/>
          <w:szCs w:val="20"/>
        </w:rPr>
      </w:pPr>
      <w:r>
        <w:rPr>
          <w:rFonts w:ascii="Times New Roman" w:hAnsi="Times New Roman" w:eastAsia="宋体" w:cs="Times New Roman"/>
          <w:b/>
          <w:sz w:val="20"/>
          <w:szCs w:val="20"/>
        </w:rPr>
        <w:t>Supplementary Figure 1</w:t>
      </w:r>
      <w:r>
        <w:rPr>
          <w:rFonts w:hint="eastAsia" w:ascii="Times New Roman" w:hAnsi="Times New Roman" w:eastAsia="宋体" w:cs="Times New Roman"/>
          <w:b/>
          <w:sz w:val="20"/>
          <w:szCs w:val="20"/>
        </w:rPr>
        <w:t>.</w:t>
      </w:r>
      <w:r>
        <w:rPr>
          <w:rFonts w:ascii="Times New Roman" w:hAnsi="Times New Roman" w:eastAsia="宋体" w:cs="Times New Roman"/>
          <w:b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b/>
          <w:sz w:val="20"/>
          <w:szCs w:val="20"/>
          <w:lang w:eastAsia="zh-Hans"/>
        </w:rPr>
        <w:t xml:space="preserve">FGF10 </w:t>
      </w:r>
      <w:r>
        <w:rPr>
          <w:rFonts w:hint="eastAsia" w:ascii="Times New Roman" w:hAnsi="Times New Roman" w:eastAsia="宋体" w:cs="Times New Roman"/>
          <w:b/>
          <w:sz w:val="20"/>
          <w:szCs w:val="20"/>
        </w:rPr>
        <w:t>ameliorates</w:t>
      </w:r>
      <w:r>
        <w:rPr>
          <w:rFonts w:ascii="Times New Roman" w:hAnsi="Times New Roman" w:eastAsia="宋体" w:cs="Times New Roman"/>
          <w:b/>
          <w:sz w:val="20"/>
          <w:szCs w:val="20"/>
        </w:rPr>
        <w:t xml:space="preserve"> apoptosis of </w:t>
      </w:r>
      <w:r>
        <w:rPr>
          <w:rFonts w:hint="eastAsia" w:ascii="Times New Roman" w:hAnsi="Times New Roman" w:eastAsia="宋体" w:cs="Times New Roman"/>
          <w:b/>
          <w:sz w:val="20"/>
          <w:szCs w:val="20"/>
          <w:lang w:eastAsia="zh-Hans"/>
        </w:rPr>
        <w:t>cardiomyocytes</w:t>
      </w:r>
      <w:r>
        <w:rPr>
          <w:rFonts w:ascii="Times New Roman" w:hAnsi="Times New Roman" w:eastAsia="宋体" w:cs="Times New Roman"/>
          <w:b/>
          <w:sz w:val="20"/>
          <w:szCs w:val="20"/>
          <w:lang w:eastAsia="zh-Hans"/>
        </w:rPr>
        <w:t xml:space="preserve"> and a</w:t>
      </w:r>
      <w:r>
        <w:rPr>
          <w:rFonts w:ascii="Times New Roman" w:hAnsi="Times New Roman" w:eastAsia="宋体" w:cs="Times New Roman"/>
          <w:b/>
          <w:sz w:val="20"/>
          <w:szCs w:val="20"/>
        </w:rPr>
        <w:t xml:space="preserve">utophagosome accumulation </w:t>
      </w:r>
      <w:r>
        <w:rPr>
          <w:rFonts w:hint="eastAsia" w:ascii="Times New Roman" w:hAnsi="Times New Roman" w:eastAsia="宋体" w:cs="Times New Roman"/>
          <w:b/>
          <w:sz w:val="20"/>
          <w:szCs w:val="20"/>
        </w:rPr>
        <w:t>in vi</w:t>
      </w:r>
      <w:r>
        <w:rPr>
          <w:rFonts w:ascii="Times New Roman" w:hAnsi="Times New Roman" w:eastAsia="宋体" w:cs="Times New Roman"/>
          <w:b/>
          <w:sz w:val="20"/>
          <w:szCs w:val="20"/>
        </w:rPr>
        <w:t>tro</w:t>
      </w:r>
      <w:r>
        <w:rPr>
          <w:rFonts w:hint="eastAsia" w:ascii="Times New Roman" w:hAnsi="Times New Roman" w:eastAsia="宋体" w:cs="Times New Roman"/>
          <w:b/>
          <w:sz w:val="20"/>
          <w:szCs w:val="20"/>
        </w:rPr>
        <w:t>.</w:t>
      </w:r>
      <w:r>
        <w:rPr>
          <w:rFonts w:ascii="Times New Roman" w:hAnsi="Times New Roman" w:eastAsia="宋体" w:cs="Times New Roman"/>
          <w:b/>
          <w:sz w:val="20"/>
          <w:szCs w:val="20"/>
        </w:rPr>
        <w:t xml:space="preserve"> </w:t>
      </w:r>
    </w:p>
    <w:p>
      <w:pPr>
        <w:numPr>
          <w:ilvl w:val="0"/>
          <w:numId w:val="1"/>
        </w:numPr>
        <w:adjustRightInd w:val="0"/>
        <w:snapToGrid w:val="0"/>
        <w:spacing w:before="156" w:beforeLines="50" w:after="156" w:afterLines="50" w:line="480" w:lineRule="auto"/>
        <w:rPr>
          <w:rFonts w:ascii="Times New Roman Regular" w:hAnsi="Times New Roman Regular" w:eastAsia="华文宋体" w:cs="Times New Roman Regular"/>
          <w:sz w:val="20"/>
          <w:szCs w:val="20"/>
        </w:rPr>
      </w:pPr>
      <w:r>
        <w:rPr>
          <w:rFonts w:hint="eastAsia" w:ascii="Times New Roman Regular" w:hAnsi="Times New Roman Regular" w:eastAsia="华文宋体" w:cs="Times New Roman Regular"/>
          <w:b w:val="0"/>
          <w:bCs w:val="0"/>
          <w:sz w:val="20"/>
          <w:szCs w:val="20"/>
        </w:rPr>
        <w:t xml:space="preserve">Western blot 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and quantitative analysis w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ere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 performed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 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to determine the protein levels of 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LC3-I/II, P62, Bcl-2, Bax and c-CAS-3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 in the 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NRCMs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 of different group mice. n 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=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3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-4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 per group. (B) Representative immunofluorescence (green for 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TUNEL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, blue for DAPI) and quantitative analysis the number of 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TUNEL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 positive cardiomyocytes in different group. Scale bar =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5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0 μm. n =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3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 per group. (C) Representative immunofluorescence (green for 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LC-3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, red for 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P62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, blue for DAPI) and quantitative analysis the number of 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LC-3 and P62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 positive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 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cardiomyocytes in different group mice heart sections. Scale bar =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25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 μm. n =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3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 per group. Data represent means ±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 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SEM, Two-tailed student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’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s t test. * P&lt;0.05, ** P&lt;0.01, *** P&lt;0.001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, 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****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 P&lt;0.0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0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0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1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.</w:t>
      </w:r>
    </w:p>
    <w:p>
      <w:pPr>
        <w:numPr>
          <w:numId w:val="0"/>
        </w:numPr>
        <w:adjustRightInd w:val="0"/>
        <w:snapToGrid w:val="0"/>
        <w:spacing w:before="156" w:beforeLines="50" w:after="156" w:afterLines="50" w:line="480" w:lineRule="auto"/>
        <w:jc w:val="center"/>
        <w:rPr>
          <w:rFonts w:hint="default" w:ascii="Times New Roman Regular" w:hAnsi="Times New Roman Regular" w:eastAsia="华文宋体" w:cs="Times New Roman Regular"/>
          <w:sz w:val="20"/>
          <w:szCs w:val="20"/>
        </w:rPr>
      </w:pPr>
      <w:r>
        <w:rPr>
          <w:rFonts w:hint="default" w:ascii="Times New Roman Regular" w:hAnsi="Times New Roman Regular" w:eastAsia="华文宋体" w:cs="Times New Roman Regular"/>
          <w:sz w:val="20"/>
          <w:szCs w:val="20"/>
        </w:rPr>
        <w:drawing>
          <wp:inline distT="0" distB="0" distL="114300" distR="114300">
            <wp:extent cx="5269230" cy="4095750"/>
            <wp:effectExtent l="0" t="0" r="13970" b="19050"/>
            <wp:docPr id="4" name="图片 4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adjustRightInd w:val="0"/>
        <w:snapToGrid w:val="0"/>
        <w:spacing w:before="156" w:beforeLines="50" w:after="156" w:afterLines="50" w:line="480" w:lineRule="auto"/>
        <w:rPr>
          <w:rFonts w:ascii="Times New Roman" w:hAnsi="Times New Roman" w:eastAsia="宋体" w:cs="Times New Roman"/>
          <w:b/>
          <w:sz w:val="20"/>
          <w:szCs w:val="20"/>
        </w:rPr>
      </w:pPr>
      <w:r>
        <w:rPr>
          <w:rFonts w:ascii="Times New Roman" w:hAnsi="Times New Roman" w:eastAsia="宋体" w:cs="Times New Roman"/>
          <w:b/>
          <w:sz w:val="20"/>
          <w:szCs w:val="20"/>
        </w:rPr>
        <w:t>Supplementary Figure 2</w:t>
      </w:r>
      <w:r>
        <w:rPr>
          <w:rFonts w:hint="eastAsia" w:ascii="Times New Roman" w:hAnsi="Times New Roman" w:eastAsia="宋体" w:cs="Times New Roman"/>
          <w:b/>
          <w:sz w:val="20"/>
          <w:szCs w:val="20"/>
        </w:rPr>
        <w:t>.</w:t>
      </w:r>
      <w:r>
        <w:rPr>
          <w:rFonts w:ascii="Times New Roman" w:hAnsi="Times New Roman" w:eastAsia="宋体" w:cs="Times New Roman"/>
          <w:b/>
          <w:sz w:val="20"/>
          <w:szCs w:val="20"/>
        </w:rPr>
        <w:t xml:space="preserve"> The protective effect of FGF10 is related to the regulation of autophagic flux. </w:t>
      </w:r>
    </w:p>
    <w:p>
      <w:pPr>
        <w:widowControl/>
        <w:adjustRightInd w:val="0"/>
        <w:snapToGrid w:val="0"/>
        <w:spacing w:before="156" w:beforeLines="50" w:after="156" w:afterLines="50" w:line="480" w:lineRule="auto"/>
        <w:rPr>
          <w:rFonts w:ascii="Times New Roman Regular" w:hAnsi="Times New Roman Regular" w:eastAsia="华文宋体" w:cs="Times New Roman Regular"/>
          <w:sz w:val="20"/>
          <w:szCs w:val="20"/>
        </w:rPr>
      </w:pP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Representative immunofluorescence (green for 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LC-3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, red for 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P62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, blue for DAPI) and quantitative analysis the number of 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LC-3 and P62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 positive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 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cardiomyocytes in different group mice heart sections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. 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Scale bar =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25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 μm. n =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3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 per group. Data represent means ±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 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SEM, Two-tailed student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’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s t test. * P&lt;0.05, ** P&lt;0.01, *** P&lt;0.001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.</w:t>
      </w:r>
    </w:p>
    <w:p>
      <w:pPr>
        <w:widowControl/>
        <w:adjustRightInd w:val="0"/>
        <w:snapToGrid w:val="0"/>
        <w:spacing w:before="156" w:beforeLines="50" w:after="156" w:afterLines="50" w:line="480" w:lineRule="auto"/>
        <w:jc w:val="center"/>
        <w:rPr>
          <w:rFonts w:hint="default" w:ascii="Times New Roman Regular" w:hAnsi="Times New Roman Regular" w:eastAsia="华文宋体" w:cs="Times New Roman Regular"/>
          <w:sz w:val="20"/>
          <w:szCs w:val="20"/>
        </w:rPr>
      </w:pPr>
      <w:r>
        <w:rPr>
          <w:rFonts w:hint="default" w:ascii="Times New Roman Regular" w:hAnsi="Times New Roman Regular" w:eastAsia="华文宋体" w:cs="Times New Roman Regular"/>
          <w:sz w:val="20"/>
          <w:szCs w:val="20"/>
        </w:rPr>
        <w:drawing>
          <wp:inline distT="0" distB="0" distL="114300" distR="114300">
            <wp:extent cx="5267960" cy="4177665"/>
            <wp:effectExtent l="0" t="0" r="15240" b="13335"/>
            <wp:docPr id="5" name="图片 5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17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adjustRightInd w:val="0"/>
        <w:snapToGrid w:val="0"/>
        <w:spacing w:before="156" w:beforeLines="50" w:after="156" w:afterLines="50" w:line="480" w:lineRule="auto"/>
        <w:rPr>
          <w:rFonts w:ascii="Times New Roman" w:hAnsi="Times New Roman"/>
          <w:b/>
          <w:sz w:val="20"/>
          <w:szCs w:val="20"/>
          <w:lang w:eastAsia="zh-Hans"/>
        </w:rPr>
      </w:pPr>
      <w:r>
        <w:rPr>
          <w:rFonts w:ascii="Times New Roman" w:hAnsi="Times New Roman"/>
          <w:b/>
          <w:sz w:val="20"/>
          <w:szCs w:val="20"/>
        </w:rPr>
        <w:t>Supplementary Figure 3</w:t>
      </w:r>
      <w:r>
        <w:rPr>
          <w:rFonts w:hint="eastAsia" w:ascii="Times New Roman" w:hAnsi="Times New Roman"/>
          <w:b/>
          <w:sz w:val="20"/>
          <w:szCs w:val="20"/>
        </w:rPr>
        <w:t>.</w:t>
      </w:r>
      <w:r>
        <w:rPr>
          <w:rFonts w:ascii="Times New Roman" w:hAnsi="Times New Roman"/>
          <w:b/>
          <w:sz w:val="20"/>
          <w:szCs w:val="20"/>
        </w:rPr>
        <w:t xml:space="preserve"> FGF10 prevents H/R-</w:t>
      </w:r>
      <w:r>
        <w:rPr>
          <w:rFonts w:hint="eastAsia" w:ascii="Times New Roman" w:hAnsi="Times New Roman"/>
          <w:b/>
          <w:sz w:val="20"/>
          <w:szCs w:val="20"/>
          <w:lang w:eastAsia="zh-Hans"/>
        </w:rPr>
        <w:t>induced</w:t>
      </w:r>
      <w:r>
        <w:rPr>
          <w:rFonts w:ascii="Times New Roman" w:hAnsi="Times New Roman"/>
          <w:b/>
          <w:sz w:val="20"/>
          <w:szCs w:val="20"/>
        </w:rPr>
        <w:t xml:space="preserve"> apoptosis by </w:t>
      </w:r>
      <w:r>
        <w:rPr>
          <w:rFonts w:hint="eastAsia" w:ascii="Times New Roman" w:hAnsi="Times New Roman"/>
          <w:b/>
          <w:sz w:val="20"/>
          <w:szCs w:val="20"/>
          <w:lang w:eastAsia="zh-Hans"/>
        </w:rPr>
        <w:t>facilitating</w:t>
      </w:r>
      <w:r>
        <w:rPr>
          <w:rFonts w:ascii="Times New Roman" w:hAnsi="Times New Roman"/>
          <w:b/>
          <w:sz w:val="20"/>
          <w:szCs w:val="20"/>
        </w:rPr>
        <w:t xml:space="preserve"> autophagosome clearance</w:t>
      </w:r>
      <w:r>
        <w:rPr>
          <w:rFonts w:ascii="Times New Roman" w:hAnsi="Times New Roman"/>
          <w:b/>
          <w:sz w:val="20"/>
          <w:szCs w:val="20"/>
          <w:lang w:eastAsia="zh-Hans"/>
        </w:rPr>
        <w:t xml:space="preserve"> </w:t>
      </w:r>
      <w:r>
        <w:rPr>
          <w:rFonts w:hint="eastAsia" w:ascii="Times New Roman" w:hAnsi="Times New Roman"/>
          <w:b/>
          <w:sz w:val="20"/>
          <w:szCs w:val="20"/>
          <w:lang w:eastAsia="zh-Hans"/>
        </w:rPr>
        <w:t>in</w:t>
      </w:r>
      <w:r>
        <w:rPr>
          <w:rFonts w:ascii="Times New Roman" w:hAnsi="Times New Roman"/>
          <w:b/>
          <w:sz w:val="20"/>
          <w:szCs w:val="20"/>
          <w:lang w:eastAsia="zh-Hans"/>
        </w:rPr>
        <w:t xml:space="preserve"> </w:t>
      </w:r>
      <w:r>
        <w:rPr>
          <w:rFonts w:hint="eastAsia" w:ascii="Times New Roman" w:hAnsi="Times New Roman"/>
          <w:b/>
          <w:sz w:val="20"/>
          <w:szCs w:val="20"/>
          <w:lang w:eastAsia="zh-Hans"/>
        </w:rPr>
        <w:t>vitro</w:t>
      </w:r>
      <w:r>
        <w:rPr>
          <w:rFonts w:ascii="Times New Roman" w:hAnsi="Times New Roman"/>
          <w:b/>
          <w:sz w:val="20"/>
          <w:szCs w:val="20"/>
          <w:lang w:eastAsia="zh-Hans"/>
        </w:rPr>
        <w:t xml:space="preserve">. </w:t>
      </w:r>
    </w:p>
    <w:p>
      <w:pPr>
        <w:widowControl/>
        <w:adjustRightInd w:val="0"/>
        <w:snapToGrid w:val="0"/>
        <w:spacing w:before="156" w:beforeLines="50" w:after="156" w:afterLines="50" w:line="480" w:lineRule="auto"/>
        <w:rPr>
          <w:rFonts w:ascii="Times New Roman Regular" w:hAnsi="Times New Roman Regular" w:eastAsia="华文宋体" w:cs="Times New Roman Regular"/>
          <w:sz w:val="20"/>
          <w:szCs w:val="20"/>
        </w:rPr>
      </w:pP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Western blot and quantitative analysis w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ere 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performed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 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to determine the protein levels of 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LC3-I/II, P62, Bcl-2, Bax and c-CAS-3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 in the 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NRCMs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 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from control, H/R and H/R+FGF10 with or without bafilomycin A1 treatment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. n 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=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3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-4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 per group. Data represent means ±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 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SEM, Two-tailed student</w:t>
      </w:r>
      <w:r>
        <w:rPr>
          <w:rFonts w:ascii="Times New Roman Regular" w:hAnsi="Times New Roman Regular" w:eastAsia="华文宋体" w:cs="Times New Roman Regular"/>
          <w:sz w:val="20"/>
          <w:szCs w:val="20"/>
          <w:lang w:eastAsia="zh-Hans"/>
        </w:rPr>
        <w:t>’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s t test. * P&lt;0.05, ** P&lt;0.01, *** P&lt;0.001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, 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****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 P&lt;0.0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0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0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1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. N.S.: non-significant.</w:t>
      </w:r>
    </w:p>
    <w:p>
      <w:pPr>
        <w:widowControl/>
        <w:adjustRightInd w:val="0"/>
        <w:snapToGrid w:val="0"/>
        <w:spacing w:before="156" w:beforeLines="50" w:after="156" w:afterLines="50" w:line="480" w:lineRule="auto"/>
        <w:jc w:val="center"/>
        <w:rPr>
          <w:rFonts w:hint="default" w:ascii="Times New Roman Regular" w:hAnsi="Times New Roman Regular" w:eastAsia="华文宋体" w:cs="Times New Roman Regular"/>
          <w:sz w:val="20"/>
          <w:szCs w:val="20"/>
        </w:rPr>
      </w:pPr>
      <w:r>
        <w:rPr>
          <w:rFonts w:hint="default" w:ascii="Times New Roman Regular" w:hAnsi="Times New Roman Regular" w:eastAsia="华文宋体" w:cs="Times New Roman Regular"/>
          <w:sz w:val="20"/>
          <w:szCs w:val="20"/>
        </w:rPr>
        <w:drawing>
          <wp:inline distT="0" distB="0" distL="114300" distR="114300">
            <wp:extent cx="5268595" cy="3289300"/>
            <wp:effectExtent l="0" t="0" r="14605" b="12700"/>
            <wp:docPr id="6" name="图片 6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before="156" w:beforeLines="50" w:after="156" w:afterLines="50" w:line="48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Supplementary Figure 4</w:t>
      </w:r>
      <w:r>
        <w:rPr>
          <w:rFonts w:hint="eastAsia" w:ascii="Times New Roman" w:hAnsi="Times New Roman"/>
          <w:b/>
          <w:sz w:val="20"/>
          <w:szCs w:val="20"/>
        </w:rPr>
        <w:t>.</w:t>
      </w:r>
      <w:r>
        <w:rPr>
          <w:rFonts w:ascii="Times New Roman" w:hAnsi="Times New Roman"/>
          <w:b/>
          <w:sz w:val="20"/>
          <w:szCs w:val="20"/>
        </w:rPr>
        <w:t xml:space="preserve"> FGF10 promotes the autophagy fusion related genes expression. </w:t>
      </w:r>
    </w:p>
    <w:p>
      <w:pPr>
        <w:adjustRightInd w:val="0"/>
        <w:snapToGrid w:val="0"/>
        <w:spacing w:before="156" w:beforeLines="50" w:after="156" w:afterLines="50" w:line="480" w:lineRule="auto"/>
        <w:rPr>
          <w:rFonts w:ascii="Times New Roman Regular" w:hAnsi="Times New Roman Regular" w:eastAsia="华文宋体" w:cs="Times New Roman Regular"/>
          <w:sz w:val="20"/>
          <w:szCs w:val="20"/>
        </w:rPr>
      </w:pPr>
      <w:r>
        <w:rPr>
          <w:rFonts w:ascii="Times New Roman Regular" w:hAnsi="Times New Roman Regular" w:eastAsia="华文宋体" w:cs="Times New Roman Regular"/>
          <w:sz w:val="20"/>
          <w:szCs w:val="20"/>
        </w:rPr>
        <w:t>(A) q-PCR analysis of mRNA levels for TFEB-regulated autophagy- and lysosome-related genes in the heart from I/R+FGF10 groups with or without Compound-</w:t>
      </w:r>
      <w:r>
        <w:rPr>
          <w:rFonts w:hint="default" w:ascii="Times New Roman Regular" w:hAnsi="Times New Roman Regular" w:eastAsia="华文宋体" w:cs="Times New Roman Regular"/>
          <w:sz w:val="20"/>
          <w:szCs w:val="20"/>
        </w:rPr>
        <w:t>C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 treatment.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 n 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=4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 per group.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 (B) q-PCR analysis of mRNA levels for TFEB-regulated autophagy- and lysosome-related genes in the NRCMs from H/R+FGF10 groups with or without Compound-</w:t>
      </w:r>
      <w:r>
        <w:rPr>
          <w:rFonts w:hint="default" w:ascii="Times New Roman Regular" w:hAnsi="Times New Roman Regular" w:eastAsia="华文宋体" w:cs="Times New Roman Regular"/>
          <w:sz w:val="20"/>
          <w:szCs w:val="20"/>
        </w:rPr>
        <w:t>C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 treatmen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t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.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 n 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=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3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-5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 xml:space="preserve"> per group.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 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Data represent means ±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 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SEM, Two-tailed student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’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s t test. * P&lt;0.05, ** P&lt;0.01, *** P&lt;0.001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, 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****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 P&lt;0.0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0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0</w:t>
      </w:r>
      <w:r>
        <w:rPr>
          <w:rFonts w:hint="eastAsia" w:ascii="Times New Roman Regular" w:hAnsi="Times New Roman Regular" w:eastAsia="华文宋体" w:cs="Times New Roman Regular"/>
          <w:sz w:val="20"/>
          <w:szCs w:val="20"/>
        </w:rPr>
        <w:t>1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. </w:t>
      </w:r>
    </w:p>
    <w:p>
      <w:pPr>
        <w:adjustRightInd w:val="0"/>
        <w:snapToGrid w:val="0"/>
        <w:spacing w:before="156" w:beforeLines="50" w:after="156" w:afterLines="50" w:line="480" w:lineRule="auto"/>
        <w:rPr>
          <w:rFonts w:hint="default" w:ascii="Times New Roman Regular" w:hAnsi="Times New Roman Regular" w:eastAsia="华文宋体" w:cs="Times New Roman Regular"/>
          <w:sz w:val="20"/>
          <w:szCs w:val="20"/>
        </w:rPr>
      </w:pPr>
      <w:r>
        <w:rPr>
          <w:rFonts w:hint="default" w:ascii="Times New Roman Regular" w:hAnsi="Times New Roman Regular" w:eastAsia="华文宋体" w:cs="Times New Roman Regular"/>
          <w:sz w:val="20"/>
          <w:szCs w:val="20"/>
        </w:rPr>
        <w:drawing>
          <wp:inline distT="0" distB="0" distL="114300" distR="114300">
            <wp:extent cx="5268595" cy="3723640"/>
            <wp:effectExtent l="0" t="0" r="14605" b="10160"/>
            <wp:docPr id="7" name="图片 7" descr="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before="156" w:beforeLines="50" w:after="156" w:afterLines="50" w:line="480" w:lineRule="auto"/>
        <w:rPr>
          <w:rFonts w:ascii="Times New Roman Regular" w:hAnsi="Times New Roman Regular" w:eastAsia="华文宋体" w:cs="Times New Roman Regular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Supplementary Figure 5</w:t>
      </w:r>
      <w:r>
        <w:rPr>
          <w:rFonts w:hint="eastAsia"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/>
          <w:b/>
          <w:bCs/>
          <w:sz w:val="20"/>
          <w:szCs w:val="20"/>
        </w:rPr>
        <w:t>Schematic illustration of the protective effects of FGF</w:t>
      </w:r>
      <w:r>
        <w:rPr>
          <w:rFonts w:ascii="Times New Roman" w:hAnsi="Times New Roman"/>
          <w:b/>
          <w:bCs/>
          <w:sz w:val="20"/>
          <w:szCs w:val="20"/>
        </w:rPr>
        <w:t>10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 on cardiomyocytes under ischemic</w:t>
      </w:r>
      <w:r>
        <w:rPr>
          <w:rFonts w:ascii="Times New Roman" w:hAnsi="Times New Roman"/>
          <w:b/>
          <w:bCs/>
          <w:sz w:val="20"/>
          <w:szCs w:val="20"/>
        </w:rPr>
        <w:t xml:space="preserve"> and reperfusion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 conditions.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 xml:space="preserve">Myocardial I/R would cause </w:t>
      </w:r>
      <w:r>
        <w:rPr>
          <w:rFonts w:ascii="Times New Roman Regular" w:hAnsi="Times New Roman Regular" w:eastAsia="华文宋体" w:cs="Times New Roman Regular"/>
          <w:sz w:val="20"/>
          <w:szCs w:val="20"/>
          <w:lang w:eastAsia="zh-Hans"/>
        </w:rPr>
        <w:t>a</w:t>
      </w:r>
      <w:r>
        <w:rPr>
          <w:rFonts w:ascii="Times New Roman Regular" w:hAnsi="Times New Roman Regular" w:eastAsia="华文宋体" w:cs="Times New Roman Regular"/>
          <w:sz w:val="20"/>
          <w:szCs w:val="20"/>
        </w:rPr>
        <w:t>utophagosome accumulation and the loss of a huge number of cardiomyocytes. In this study, we revealed that FGF10 promotes autophagosome clearance via AMPK/mTOR/TFEB pathway then decreases myocardial injury.</w:t>
      </w:r>
    </w:p>
    <w:p>
      <w:pPr>
        <w:adjustRightInd w:val="0"/>
        <w:snapToGrid w:val="0"/>
        <w:spacing w:before="156" w:beforeLines="50" w:after="156" w:afterLines="50" w:line="480" w:lineRule="auto"/>
        <w:rPr>
          <w:rFonts w:ascii="Times New Roman Regular" w:hAnsi="Times New Roman Regular" w:eastAsia="华文宋体" w:cs="Times New Roman Regular"/>
          <w:sz w:val="20"/>
          <w:szCs w:val="20"/>
        </w:rPr>
      </w:pPr>
    </w:p>
    <w:p>
      <w:pPr>
        <w:adjustRightInd w:val="0"/>
        <w:snapToGrid w:val="0"/>
        <w:spacing w:before="156" w:beforeLines="50" w:after="156" w:afterLines="50" w:line="480" w:lineRule="auto"/>
        <w:rPr>
          <w:rFonts w:ascii="Times New Roman Regular" w:hAnsi="Times New Roman Regular" w:eastAsia="华文宋体" w:cs="Times New Roman Regular"/>
          <w:sz w:val="20"/>
          <w:szCs w:val="20"/>
        </w:rPr>
      </w:pPr>
    </w:p>
    <w:p>
      <w:pPr>
        <w:adjustRightInd w:val="0"/>
        <w:snapToGrid w:val="0"/>
        <w:spacing w:before="156" w:beforeLines="50" w:after="156" w:afterLines="50" w:line="480" w:lineRule="auto"/>
        <w:rPr>
          <w:rFonts w:ascii="Times New Roman Regular" w:hAnsi="Times New Roman Regular" w:eastAsia="华文宋体" w:cs="Times New Roman Regular"/>
          <w:sz w:val="20"/>
          <w:szCs w:val="20"/>
        </w:rPr>
      </w:pPr>
    </w:p>
    <w:p>
      <w:pPr>
        <w:adjustRightInd w:val="0"/>
        <w:snapToGrid w:val="0"/>
        <w:spacing w:before="156" w:beforeLines="50" w:after="156" w:afterLines="50" w:line="480" w:lineRule="auto"/>
        <w:rPr>
          <w:rFonts w:ascii="Times New Roman Regular" w:hAnsi="Times New Roman Regular" w:eastAsia="华文宋体" w:cs="Times New Roman Regular"/>
          <w:sz w:val="20"/>
          <w:szCs w:val="20"/>
        </w:rPr>
      </w:pPr>
    </w:p>
    <w:p>
      <w:pPr>
        <w:adjustRightInd w:val="0"/>
        <w:snapToGrid w:val="0"/>
        <w:spacing w:before="156" w:beforeLines="50" w:after="156" w:afterLines="50" w:line="480" w:lineRule="auto"/>
        <w:rPr>
          <w:rFonts w:ascii="Times New Roman Regular" w:hAnsi="Times New Roman Regular" w:eastAsia="华文宋体" w:cs="Times New Roman Regular"/>
          <w:sz w:val="20"/>
          <w:szCs w:val="20"/>
        </w:rPr>
      </w:pPr>
    </w:p>
    <w:p>
      <w:pPr>
        <w:adjustRightInd w:val="0"/>
        <w:snapToGrid w:val="0"/>
        <w:spacing w:before="156" w:beforeLines="50" w:after="156" w:afterLines="50" w:line="480" w:lineRule="auto"/>
        <w:rPr>
          <w:rFonts w:ascii="Times New Roman Regular" w:hAnsi="Times New Roman Regular" w:eastAsia="华文宋体" w:cs="Times New Roman Regular"/>
          <w:sz w:val="20"/>
          <w:szCs w:val="20"/>
        </w:rPr>
      </w:pPr>
    </w:p>
    <w:p>
      <w:pPr>
        <w:adjustRightInd w:val="0"/>
        <w:snapToGrid w:val="0"/>
        <w:spacing w:before="156" w:beforeLines="50" w:after="156" w:afterLines="50" w:line="480" w:lineRule="auto"/>
        <w:rPr>
          <w:rFonts w:ascii="Times New Roman Regular" w:hAnsi="Times New Roman Regular" w:eastAsia="华文宋体" w:cs="Times New Roman Regular"/>
          <w:sz w:val="20"/>
          <w:szCs w:val="20"/>
        </w:rPr>
      </w:pPr>
    </w:p>
    <w:p>
      <w:pPr>
        <w:adjustRightInd w:val="0"/>
        <w:snapToGrid w:val="0"/>
        <w:spacing w:before="156" w:beforeLines="50" w:after="156" w:afterLines="50" w:line="480" w:lineRule="auto"/>
        <w:rPr>
          <w:rFonts w:ascii="Times New Roman Regular" w:hAnsi="Times New Roman Regular" w:eastAsia="华文宋体" w:cs="Times New Roman Regular"/>
          <w:sz w:val="20"/>
          <w:szCs w:val="20"/>
        </w:rPr>
      </w:pPr>
    </w:p>
    <w:p>
      <w:pPr>
        <w:adjustRightInd w:val="0"/>
        <w:snapToGrid w:val="0"/>
        <w:spacing w:before="156" w:beforeLines="50" w:after="156" w:afterLines="50" w:line="480" w:lineRule="auto"/>
        <w:rPr>
          <w:rFonts w:ascii="Times New Roman Regular" w:hAnsi="Times New Roman Regular" w:eastAsia="华文宋体" w:cs="Times New Roman Regular"/>
          <w:sz w:val="20"/>
          <w:szCs w:val="20"/>
        </w:rPr>
      </w:pPr>
      <w:bookmarkStart w:id="0" w:name="_GoBack"/>
      <w:bookmarkEnd w:id="0"/>
    </w:p>
    <w:p>
      <w:pPr>
        <w:adjustRightInd w:val="0"/>
        <w:snapToGrid w:val="0"/>
        <w:spacing w:before="50" w:after="50" w:line="48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Supplementary Table 1. Detailed primers used in the RT-PCR.</w:t>
      </w:r>
    </w:p>
    <w:tbl>
      <w:tblPr>
        <w:tblStyle w:val="4"/>
        <w:tblW w:w="9150" w:type="dxa"/>
        <w:tblInd w:w="21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652"/>
        <w:gridCol w:w="379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8"/>
              <w:adjustRightInd w:val="0"/>
              <w:snapToGrid w:val="0"/>
              <w:spacing w:before="50" w:after="50" w:line="480" w:lineRule="auto"/>
              <w:ind w:firstLine="90" w:firstLineChars="5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Primer</w:t>
            </w:r>
          </w:p>
        </w:tc>
        <w:tc>
          <w:tcPr>
            <w:tcW w:w="365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8"/>
              <w:adjustRightInd w:val="0"/>
              <w:snapToGrid w:val="0"/>
              <w:spacing w:before="50" w:after="50" w:line="480" w:lineRule="auto"/>
              <w:ind w:firstLine="810" w:firstLineChars="45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 xml:space="preserve">Forward </w:t>
            </w:r>
          </w:p>
        </w:tc>
        <w:tc>
          <w:tcPr>
            <w:tcW w:w="379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8"/>
              <w:adjustRightInd w:val="0"/>
              <w:snapToGrid w:val="0"/>
              <w:spacing w:before="50" w:after="50" w:line="480" w:lineRule="auto"/>
              <w:ind w:firstLine="810" w:firstLineChars="45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Reverse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1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Fgf10 (Rat)</w:t>
            </w:r>
          </w:p>
        </w:tc>
        <w:tc>
          <w:tcPr>
            <w:tcW w:w="3652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 xml:space="preserve">5'- </w:t>
            </w:r>
            <w:r>
              <w:rPr>
                <w:rFonts w:hint="eastAsia" w:ascii="Times New Roman" w:hAnsi="Times New Roman"/>
                <w:i/>
                <w:kern w:val="0"/>
                <w:sz w:val="18"/>
                <w:szCs w:val="18"/>
              </w:rPr>
              <w:t>GATACTGACACATTGTGCCTCAG</w:t>
            </w: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 xml:space="preserve"> -3'</w:t>
            </w:r>
          </w:p>
        </w:tc>
        <w:tc>
          <w:tcPr>
            <w:tcW w:w="3797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 xml:space="preserve">5'- </w:t>
            </w:r>
            <w:r>
              <w:rPr>
                <w:rFonts w:hint="eastAsia" w:ascii="Times New Roman" w:hAnsi="Times New Roman"/>
                <w:i/>
                <w:kern w:val="0"/>
                <w:sz w:val="18"/>
                <w:szCs w:val="18"/>
              </w:rPr>
              <w:t>CGGCAACAACTCCGATTTCC</w:t>
            </w: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 xml:space="preserve"> -3'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1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Ctsb (Rat)</w:t>
            </w:r>
          </w:p>
        </w:tc>
        <w:tc>
          <w:tcPr>
            <w:tcW w:w="3652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GTGGTATCCAGTGTGGGGATG</w:t>
            </w:r>
            <w:r>
              <w:rPr>
                <w:rFonts w:hint="eastAsia" w:ascii="Times New Roman" w:hAnsi="Times New Roman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-3'</w:t>
            </w:r>
          </w:p>
        </w:tc>
        <w:tc>
          <w:tcPr>
            <w:tcW w:w="3797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GGGATGGTGTAGGGTAAGCAG</w:t>
            </w:r>
            <w:r>
              <w:rPr>
                <w:rFonts w:hint="eastAsia" w:ascii="Times New Roman" w:hAnsi="Times New Roman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-3'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4" w:hRule="atLeast"/>
        </w:trPr>
        <w:tc>
          <w:tcPr>
            <w:tcW w:w="1701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Ctsd (Rat)</w:t>
            </w:r>
          </w:p>
        </w:tc>
        <w:tc>
          <w:tcPr>
            <w:tcW w:w="3652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GTGTAAACCGAGCCCTGATGACTT -3'</w:t>
            </w:r>
          </w:p>
        </w:tc>
        <w:tc>
          <w:tcPr>
            <w:tcW w:w="3797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CAGCAGCAGGGAGGGGGCAGCACT -3'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1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Tfeb (Rat)</w:t>
            </w:r>
          </w:p>
        </w:tc>
        <w:tc>
          <w:tcPr>
            <w:tcW w:w="3652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GGTGCAGTCCTACCTGGAGA -3'</w:t>
            </w:r>
          </w:p>
        </w:tc>
        <w:tc>
          <w:tcPr>
            <w:tcW w:w="3797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GTGGGCAGCAAACTTGTTCC -3'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1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Lamp1 (Rat)</w:t>
            </w:r>
          </w:p>
        </w:tc>
        <w:tc>
          <w:tcPr>
            <w:tcW w:w="3652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GGACAACACGACGGTGACAAG -3'</w:t>
            </w:r>
          </w:p>
        </w:tc>
        <w:tc>
          <w:tcPr>
            <w:tcW w:w="3797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GAACTTGCATTCATCCCGAACTGGA -3'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1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Map1lc3 (Rat)</w:t>
            </w:r>
          </w:p>
        </w:tc>
        <w:tc>
          <w:tcPr>
            <w:tcW w:w="3652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CGTCCTGGACAAGACCAAGT</w:t>
            </w:r>
            <w:r>
              <w:rPr>
                <w:rFonts w:hint="eastAsia" w:ascii="Times New Roman" w:hAnsi="Times New Roman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-3'</w:t>
            </w:r>
          </w:p>
        </w:tc>
        <w:tc>
          <w:tcPr>
            <w:tcW w:w="3797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CTCGTCTTTCTCCTGCTCGT</w:t>
            </w:r>
            <w:r>
              <w:rPr>
                <w:rFonts w:hint="eastAsia" w:ascii="Times New Roman" w:hAnsi="Times New Roman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-3'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1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Gapdh (Rat)</w:t>
            </w:r>
          </w:p>
        </w:tc>
        <w:tc>
          <w:tcPr>
            <w:tcW w:w="3652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ATCACTGCCACTCAGAAG -3'</w:t>
            </w:r>
          </w:p>
        </w:tc>
        <w:tc>
          <w:tcPr>
            <w:tcW w:w="3797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AAGTCACAGGAGACAACC -3'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1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Fgf10 (Mouse)</w:t>
            </w:r>
          </w:p>
        </w:tc>
        <w:tc>
          <w:tcPr>
            <w:tcW w:w="3652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 xml:space="preserve">5'- </w:t>
            </w:r>
            <w:r>
              <w:rPr>
                <w:rFonts w:hint="eastAsia" w:ascii="Times New Roman" w:hAnsi="Times New Roman"/>
                <w:i/>
                <w:kern w:val="0"/>
                <w:sz w:val="18"/>
                <w:szCs w:val="18"/>
              </w:rPr>
              <w:t>TCAGCGGGACCAAGAATGAAG</w:t>
            </w: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 xml:space="preserve"> -3'</w:t>
            </w:r>
          </w:p>
        </w:tc>
        <w:tc>
          <w:tcPr>
            <w:tcW w:w="3797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 xml:space="preserve">5'- </w:t>
            </w:r>
            <w:r>
              <w:rPr>
                <w:rFonts w:hint="eastAsia" w:ascii="Times New Roman" w:hAnsi="Times New Roman"/>
                <w:i/>
                <w:kern w:val="0"/>
                <w:sz w:val="18"/>
                <w:szCs w:val="18"/>
              </w:rPr>
              <w:t>CGGCAACAACTCCGATTTCC</w:t>
            </w: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 xml:space="preserve"> -3'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1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Ctsb (Mouse)</w:t>
            </w:r>
          </w:p>
        </w:tc>
        <w:tc>
          <w:tcPr>
            <w:tcW w:w="3652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ACCAATTCTCCCTCTGCTTGA</w:t>
            </w:r>
            <w:r>
              <w:rPr>
                <w:rFonts w:hint="eastAsia" w:ascii="Times New Roman" w:hAnsi="Times New Roman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-3'</w:t>
            </w:r>
          </w:p>
        </w:tc>
        <w:tc>
          <w:tcPr>
            <w:tcW w:w="3797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CTGAGGGTGACAGGAAACCAG</w:t>
            </w:r>
            <w:r>
              <w:rPr>
                <w:rFonts w:hint="eastAsia" w:ascii="Times New Roman" w:hAnsi="Times New Roman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-3'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4" w:hRule="atLeast"/>
        </w:trPr>
        <w:tc>
          <w:tcPr>
            <w:tcW w:w="1701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Ctsd (Mouse)</w:t>
            </w:r>
          </w:p>
        </w:tc>
        <w:tc>
          <w:tcPr>
            <w:tcW w:w="3652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CTACCTGAACGTCACTCGAAAG -3'</w:t>
            </w:r>
          </w:p>
        </w:tc>
        <w:tc>
          <w:tcPr>
            <w:tcW w:w="3797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CAGTGGAGAAGGAGCAAGTTAG -3'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1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Tfeb (Mouse)</w:t>
            </w:r>
          </w:p>
        </w:tc>
        <w:tc>
          <w:tcPr>
            <w:tcW w:w="3652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GCGGCAGAAGAAAGACAATC -3'</w:t>
            </w:r>
          </w:p>
        </w:tc>
        <w:tc>
          <w:tcPr>
            <w:tcW w:w="3797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CTGCATCCTCCGGATGTAAT -3'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1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Lamp1 (Mouse)</w:t>
            </w:r>
          </w:p>
        </w:tc>
        <w:tc>
          <w:tcPr>
            <w:tcW w:w="3652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GATACAGTGGGGTTTGTGGG -3'</w:t>
            </w:r>
          </w:p>
        </w:tc>
        <w:tc>
          <w:tcPr>
            <w:tcW w:w="3797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CTGTCGAGTGGCAACTTCAG -3'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1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Map1lc3 (Mouse)</w:t>
            </w:r>
          </w:p>
        </w:tc>
        <w:tc>
          <w:tcPr>
            <w:tcW w:w="3652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GCTCATCAAGATAATCAGACG</w:t>
            </w:r>
            <w:r>
              <w:rPr>
                <w:rFonts w:hint="eastAsia" w:ascii="Times New Roman" w:hAnsi="Times New Roman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-3'</w:t>
            </w:r>
          </w:p>
        </w:tc>
        <w:tc>
          <w:tcPr>
            <w:tcW w:w="3797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GCATAAACCATGTACAGGAAG</w:t>
            </w:r>
            <w:r>
              <w:rPr>
                <w:rFonts w:hint="eastAsia" w:ascii="Times New Roman" w:hAnsi="Times New Roman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-3'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1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Gapdh (Mouse)</w:t>
            </w:r>
          </w:p>
        </w:tc>
        <w:tc>
          <w:tcPr>
            <w:tcW w:w="3652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AGGTCGGTGTGAACGGATTTG -3'</w:t>
            </w:r>
          </w:p>
        </w:tc>
        <w:tc>
          <w:tcPr>
            <w:tcW w:w="3797" w:type="dxa"/>
            <w:shd w:val="clear" w:color="auto" w:fill="auto"/>
          </w:tcPr>
          <w:p>
            <w:pPr>
              <w:adjustRightInd w:val="0"/>
              <w:snapToGrid w:val="0"/>
              <w:spacing w:before="50" w:after="50" w:line="480" w:lineRule="auto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>5'- TGTAGACCATGTAGTTGAGGTCA -3'</w:t>
            </w:r>
          </w:p>
        </w:tc>
      </w:tr>
    </w:tbl>
    <w:p>
      <w:pPr>
        <w:adjustRightInd w:val="0"/>
        <w:snapToGrid w:val="0"/>
        <w:spacing w:before="50" w:after="50" w:line="480" w:lineRule="auto"/>
        <w:rPr>
          <w:sz w:val="20"/>
          <w:szCs w:val="2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DEA0FF"/>
    <w:multiLevelType w:val="singleLevel"/>
    <w:tmpl w:val="BFDEA0FF"/>
    <w:lvl w:ilvl="0" w:tentative="0">
      <w:start w:val="1"/>
      <w:numFmt w:val="upp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E6FB19"/>
    <w:rsid w:val="001A407F"/>
    <w:rsid w:val="00B35608"/>
    <w:rsid w:val="0DF6F2B4"/>
    <w:rsid w:val="2FFF3114"/>
    <w:rsid w:val="3BCBDC83"/>
    <w:rsid w:val="3EFF7A67"/>
    <w:rsid w:val="478F72E8"/>
    <w:rsid w:val="56E6FB19"/>
    <w:rsid w:val="577B581E"/>
    <w:rsid w:val="5A9D3098"/>
    <w:rsid w:val="5BFB07AA"/>
    <w:rsid w:val="5D7EEFEE"/>
    <w:rsid w:val="5EE76811"/>
    <w:rsid w:val="5F5CE091"/>
    <w:rsid w:val="5FFCFCE1"/>
    <w:rsid w:val="64DA696C"/>
    <w:rsid w:val="69F697F4"/>
    <w:rsid w:val="6E76C420"/>
    <w:rsid w:val="75CE2FBE"/>
    <w:rsid w:val="76FFC380"/>
    <w:rsid w:val="772D786D"/>
    <w:rsid w:val="77BFFFCA"/>
    <w:rsid w:val="77FEB275"/>
    <w:rsid w:val="7CE7C45B"/>
    <w:rsid w:val="7D6B2B3F"/>
    <w:rsid w:val="7DFDC995"/>
    <w:rsid w:val="7EB6CFA0"/>
    <w:rsid w:val="7ECA592E"/>
    <w:rsid w:val="7FC96722"/>
    <w:rsid w:val="7FD784E1"/>
    <w:rsid w:val="7FFDB393"/>
    <w:rsid w:val="9A7F7DEA"/>
    <w:rsid w:val="9FEFFE13"/>
    <w:rsid w:val="9FF76E0F"/>
    <w:rsid w:val="AD3F73D1"/>
    <w:rsid w:val="AE5BE3F4"/>
    <w:rsid w:val="AF171E4E"/>
    <w:rsid w:val="BA29084F"/>
    <w:rsid w:val="D3F5D695"/>
    <w:rsid w:val="D5B6FF85"/>
    <w:rsid w:val="DBFFECC5"/>
    <w:rsid w:val="DDDF58D8"/>
    <w:rsid w:val="DEFE9A4F"/>
    <w:rsid w:val="EBD70887"/>
    <w:rsid w:val="EECCEFD2"/>
    <w:rsid w:val="F0DE3AC3"/>
    <w:rsid w:val="F1BD500E"/>
    <w:rsid w:val="F1EDB94F"/>
    <w:rsid w:val="F6B507F9"/>
    <w:rsid w:val="FAFFB4BD"/>
    <w:rsid w:val="FBFCAFFF"/>
    <w:rsid w:val="FD7EE77A"/>
    <w:rsid w:val="FF7EFBA7"/>
    <w:rsid w:val="FFBBF283"/>
    <w:rsid w:val="FFFF8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rPr>
      <w:rFonts w:eastAsiaTheme="minorHAns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paragraph" w:customStyle="1" w:styleId="8">
    <w:name w:val="列出段落2"/>
    <w:basedOn w:val="1"/>
    <w:qFormat/>
    <w:uiPriority w:val="0"/>
    <w:pPr>
      <w:ind w:firstLine="420" w:firstLineChars="200"/>
    </w:pPr>
    <w:rPr>
      <w:szCs w:val="22"/>
    </w:rPr>
  </w:style>
  <w:style w:type="table" w:customStyle="1" w:styleId="9">
    <w:name w:val="无格式表格 41"/>
    <w:basedOn w:val="4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583</Words>
  <Characters>3325</Characters>
  <Lines>27</Lines>
  <Paragraphs>7</Paragraphs>
  <TotalTime>9</TotalTime>
  <ScaleCrop>false</ScaleCrop>
  <LinksUpToDate>false</LinksUpToDate>
  <CharactersWithSpaces>3901</CharactersWithSpaces>
  <Application>WPS Office_4.5.0.7415_F1E327BC-269C-435d-A152-05C5408002CA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2022-11-10T10:23:00Z</dcterms:created>
  <dc:creator>仆勤瘟烫妹</dc:creator>
  <cp:lastModifiedBy>WPS_1663402621</cp:lastModifiedBy>
  <dcterms:modified xsi:type="dcterms:W3CDTF">2022-12-27T20:22:04Z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2052-4.5.0.7415</vt:lpwstr>
  </property>
  <property fmtid="{D5CDD505-2E9C-101B-9397-08002B2CF9AE}" pid="3" name="ICV">
    <vt:lpwstr>16C6DF6B308BA71DBA5EA063681BB68F</vt:lpwstr>
  </property>
</Properties>
</file>