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D12" w:rsidRDefault="00865D12" w:rsidP="00865D12">
      <w:pPr>
        <w:kinsoku w:val="0"/>
        <w:overflowPunct w:val="0"/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Supplementary Figure Legends</w:t>
      </w:r>
    </w:p>
    <w:p w:rsidR="00865D12" w:rsidRDefault="00865D12" w:rsidP="00865D12">
      <w:pPr>
        <w:kinsoku w:val="0"/>
        <w:overflowPunct w:val="0"/>
        <w:spacing w:after="0" w:line="480" w:lineRule="auto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865D12" w:rsidRDefault="00865D12" w:rsidP="00865D12">
      <w:pPr>
        <w:kinsoku w:val="0"/>
        <w:overflowPunct w:val="0"/>
        <w:spacing w:after="0" w:line="480" w:lineRule="auto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AC4FB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Supplementary Figure 1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. Representative plot of </w:t>
      </w:r>
      <w:r w:rsidRPr="00D93A6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(A)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CD4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+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CD25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hi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Foxp3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+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T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cells/ total lymphocytes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and (</w:t>
      </w:r>
      <w:r w:rsidRPr="00D93A6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B)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functional markers (CTLA-4, CXCR4, PD-1, ICOS and ENTPD1) from  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PB-HD and PB-HCC, PT-HCC and TT-HCC patient.</w:t>
      </w:r>
    </w:p>
    <w:p w:rsidR="00865D12" w:rsidRPr="00AC4FB2" w:rsidRDefault="00865D12" w:rsidP="00865D12">
      <w:pPr>
        <w:kinsoku w:val="0"/>
        <w:overflowPunct w:val="0"/>
        <w:spacing w:after="0" w:line="480" w:lineRule="auto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865D12" w:rsidRPr="00AC4FB2" w:rsidRDefault="00865D12" w:rsidP="00865D12">
      <w:pPr>
        <w:kinsoku w:val="0"/>
        <w:overflowPunct w:val="0"/>
        <w:spacing w:after="0" w:line="480" w:lineRule="auto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AC4FB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Supplementary Figure 2.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Representative plot of </w:t>
      </w:r>
      <w:r w:rsidRPr="00D93A6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(A)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CD4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+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CD25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hi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Foxp3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+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T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cells/ total lymphocytes 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and </w:t>
      </w:r>
      <w:r w:rsidRPr="00D93A6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(B)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functional markers (CTLA-4, CXCR4, PD-1, ICOS and ENTPD1)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from one PB-HD and one PB-CRLM, PT-CRLM and TT-CRLM patient.</w:t>
      </w:r>
    </w:p>
    <w:p w:rsidR="00865D12" w:rsidRPr="00AC4FB2" w:rsidRDefault="00865D12" w:rsidP="00865D12">
      <w:pPr>
        <w:kinsoku w:val="0"/>
        <w:overflowPunct w:val="0"/>
        <w:spacing w:after="0" w:line="480" w:lineRule="auto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p w:rsidR="00865D12" w:rsidRPr="00AC4FB2" w:rsidRDefault="00865D12" w:rsidP="00865D12">
      <w:pPr>
        <w:kinsoku w:val="0"/>
        <w:overflowPunct w:val="0"/>
        <w:spacing w:after="0" w:line="48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C4FB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Supplementary Figure 3.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D93A6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(A-B)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Representative plot of 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Naïve 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CD25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hi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FOXP3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low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CD45RA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+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, Activated 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CD25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hi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FOXP3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hi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CD45RA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-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and Not suppressive 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CD25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hi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FOXP3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low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CD45RA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vertAlign w:val="superscript"/>
        </w:rPr>
        <w:t>-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Tr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egs cells from one PB-HD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and one PB-PT-TT-HCC/CRLM patient.</w:t>
      </w:r>
    </w:p>
    <w:p w:rsidR="00865D12" w:rsidRPr="00AC4FB2" w:rsidRDefault="00865D12" w:rsidP="00865D12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AC4FB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Supplementary Figure 4. </w:t>
      </w:r>
      <w:r w:rsidRPr="00AC4FB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Tregs suppressive activity in PB of HD subjects, HCC and CRLM patients.</w:t>
      </w:r>
      <w:r w:rsidRPr="00AC4FB2"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Functional characterization of Tregs from 4 HCC, 4 CRLM patients and 5 HD by CFSE dose escalation suppression assay (HCC vs CRLM from 1:0.062 to 1: 0.007 Teff: Tregs ratio, P&lt;0,01 and P&lt;0,001).</w:t>
      </w:r>
    </w:p>
    <w:p w:rsidR="00865D12" w:rsidRPr="00AC4FB2" w:rsidRDefault="00865D12" w:rsidP="00865D12">
      <w:pPr>
        <w:kinsoku w:val="0"/>
        <w:overflowPunct w:val="0"/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color w:val="1C1D1E"/>
          <w:sz w:val="24"/>
          <w:szCs w:val="24"/>
          <w:shd w:val="clear" w:color="auto" w:fill="FFFFFF"/>
        </w:rPr>
      </w:pPr>
      <w:r w:rsidRPr="00AC4FB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Supplementary Figure 5. </w:t>
      </w:r>
      <w:r w:rsidRPr="00AC4FB2">
        <w:rPr>
          <w:rFonts w:ascii="Times New Roman" w:eastAsia="Times New Roman" w:hAnsi="Times New Roman" w:cs="Times New Roman"/>
          <w:bCs/>
          <w:color w:val="1C1D1E"/>
          <w:sz w:val="24"/>
          <w:szCs w:val="24"/>
          <w:shd w:val="clear" w:color="auto" w:fill="FFFFFF"/>
        </w:rPr>
        <w:t>Tregs suppressive activit</w:t>
      </w:r>
      <w:r>
        <w:rPr>
          <w:rFonts w:ascii="Times New Roman" w:eastAsia="Times New Roman" w:hAnsi="Times New Roman" w:cs="Times New Roman"/>
          <w:bCs/>
          <w:color w:val="1C1D1E"/>
          <w:sz w:val="24"/>
          <w:szCs w:val="24"/>
          <w:shd w:val="clear" w:color="auto" w:fill="FFFFFF"/>
        </w:rPr>
        <w:t>y in PB/PT/TT from one</w:t>
      </w:r>
      <w:r w:rsidRPr="00AC4FB2">
        <w:rPr>
          <w:rFonts w:ascii="Times New Roman" w:eastAsia="Times New Roman" w:hAnsi="Times New Roman" w:cs="Times New Roman"/>
          <w:bCs/>
          <w:color w:val="1C1D1E"/>
          <w:sz w:val="24"/>
          <w:szCs w:val="24"/>
          <w:shd w:val="clear" w:color="auto" w:fill="FFFFFF"/>
        </w:rPr>
        <w:t xml:space="preserve"> HCC and one CRLM patients.</w:t>
      </w:r>
    </w:p>
    <w:p w:rsidR="00865D12" w:rsidRPr="00AC4FB2" w:rsidRDefault="00865D12" w:rsidP="00865D12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AC4FB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Supplementary </w:t>
      </w:r>
      <w:r w:rsidRPr="00AC4FB2"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Figure 6.</w:t>
      </w:r>
      <w:r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r w:rsidRPr="00D93A6D"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(A)</w:t>
      </w:r>
      <w:r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r w:rsidRPr="00AC4FB2"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</w:rPr>
        <w:t>PB-derived Tregs-secreted IL-35 from 5 HCC, 8 CRLM patients and 3 HD by ELISA.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r w:rsidRPr="00AC4FB2">
        <w:rPr>
          <w:rFonts w:ascii="Times New Roman" w:eastAsia="Times New Roman" w:hAnsi="Times New Roman" w:cs="Times New Roman"/>
          <w:b/>
          <w:color w:val="1C1D1E"/>
          <w:sz w:val="24"/>
          <w:szCs w:val="24"/>
          <w:shd w:val="clear" w:color="auto" w:fill="FFFFFF"/>
        </w:rPr>
        <w:t xml:space="preserve">(B) </w:t>
      </w:r>
      <w:r w:rsidRPr="00AC4FB2">
        <w:rPr>
          <w:rFonts w:ascii="Times New Roman" w:eastAsia="Times New Roman" w:hAnsi="Times New Roman" w:cs="Times New Roman"/>
          <w:bCs/>
          <w:color w:val="1C1D1E"/>
          <w:sz w:val="24"/>
          <w:szCs w:val="24"/>
          <w:shd w:val="clear" w:color="auto" w:fill="FFFFFF"/>
        </w:rPr>
        <w:t xml:space="preserve">IL-35 secretion from Teffs of PB-HD, -HCC and -CRLM. </w:t>
      </w:r>
      <w:r w:rsidRPr="00D93A6D"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(C)</w:t>
      </w:r>
      <w:r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r w:rsidRPr="00AC4FB2"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PT- and TT- derived Tregs-secreted IL-35 in supernatant of CFSE suppression assay from 3 HCC and 5 </w:t>
      </w:r>
      <w:r w:rsidRPr="00AC4FB2"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</w:rPr>
        <w:lastRenderedPageBreak/>
        <w:t>CRLM (HCC: TT vs PT, P&lt;0.01; TT vs PB, P&lt;0.05); (CRLM: TT vs PT, P&lt;0.05; TT vs PB, P&lt;0.05).</w:t>
      </w:r>
    </w:p>
    <w:p w:rsidR="00865D12" w:rsidRPr="00AC4FB2" w:rsidRDefault="00865D12" w:rsidP="00865D12">
      <w:pPr>
        <w:kinsoku w:val="0"/>
        <w:overflowPunct w:val="0"/>
        <w:spacing w:after="0" w:line="48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FB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Supplementary Figure 7. </w:t>
      </w:r>
      <w:r w:rsidRPr="004F423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(A) </w:t>
      </w:r>
      <w:r w:rsidRPr="00AC4FB2">
        <w:rPr>
          <w:rFonts w:ascii="Times New Roman" w:eastAsia="Times New Roman" w:hAnsi="Times New Roman" w:cs="Times New Roman"/>
          <w:bCs/>
          <w:color w:val="1C1D1E"/>
          <w:sz w:val="24"/>
          <w:szCs w:val="24"/>
          <w:shd w:val="clear" w:color="auto" w:fill="FFFFFF"/>
          <w:lang w:val="en-GB"/>
        </w:rPr>
        <w:t>Functional characterization of PB-derived Tregs pretreated for 30’ at 37°C in 5% CO2 with AMD3100 (10 μM) or with anti-PD1 (20 μg/mL)  (positive control of Tregs function inhibition) and then added at 1:1 ratio to Teffs for 5 days (HCC: 1:1 vs 1:1+AMD3100, P&lt;0,05; 1:1 vs 1:1+anti-PD, P&lt;0,05); (CRLM: 1:1 vs 1:1+AMD3100: P&lt;0,05; 1:1 vs 1:1+anti-PD, P&lt;0,05).</w:t>
      </w:r>
      <w:r>
        <w:rPr>
          <w:rFonts w:ascii="Times New Roman" w:eastAsia="Times New Roman" w:hAnsi="Times New Roman" w:cs="Times New Roman"/>
          <w:bCs/>
          <w:color w:val="1C1D1E"/>
          <w:sz w:val="24"/>
          <w:szCs w:val="24"/>
          <w:shd w:val="clear" w:color="auto" w:fill="FFFFFF"/>
          <w:lang w:val="en-GB"/>
        </w:rPr>
        <w:t xml:space="preserve"> </w:t>
      </w:r>
      <w:r w:rsidRPr="00D93A6D"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  <w:shd w:val="clear" w:color="auto" w:fill="FFFFFF"/>
          <w:lang w:val="en-GB"/>
        </w:rPr>
        <w:t>(B)</w:t>
      </w:r>
      <w:r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  <w:shd w:val="clear" w:color="auto" w:fill="FFFFFF"/>
          <w:lang w:val="en-GB"/>
        </w:rPr>
        <w:t xml:space="preserve"> </w:t>
      </w:r>
      <w:r w:rsidRPr="00AC4FB2">
        <w:rPr>
          <w:rFonts w:ascii="Times New Roman" w:eastAsia="Times New Roman" w:hAnsi="Times New Roman" w:cs="Times New Roman"/>
          <w:bCs/>
          <w:color w:val="1C1D1E"/>
          <w:sz w:val="24"/>
          <w:szCs w:val="24"/>
          <w:shd w:val="clear" w:color="auto" w:fill="FFFFFF"/>
        </w:rPr>
        <w:t xml:space="preserve">CFSE suppression assay in presence of CXCR4 antagonists in one HCC and one CRLM patients. </w:t>
      </w:r>
      <w:r w:rsidRPr="00D93A6D"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(C)</w:t>
      </w:r>
      <w:r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r w:rsidRPr="00AC4FB2">
        <w:rPr>
          <w:rFonts w:ascii="Times New Roman" w:eastAsia="Times New Roman" w:hAnsi="Times New Roman" w:cs="Times New Roman"/>
          <w:bCs/>
          <w:color w:val="1C1D1E"/>
          <w:sz w:val="24"/>
          <w:szCs w:val="24"/>
          <w:shd w:val="clear" w:color="auto" w:fill="FFFFFF"/>
          <w:lang w:val="en-GB"/>
        </w:rPr>
        <w:t>IL-35 concentration (pg/ml) in supernatant of CFSE assay from Tregs pretreated with</w:t>
      </w:r>
      <w:r>
        <w:rPr>
          <w:rFonts w:ascii="Times New Roman" w:eastAsia="Times New Roman" w:hAnsi="Times New Roman" w:cs="Times New Roman"/>
          <w:bCs/>
          <w:color w:val="1C1D1E"/>
          <w:sz w:val="24"/>
          <w:szCs w:val="24"/>
          <w:shd w:val="clear" w:color="auto" w:fill="FFFFFF"/>
          <w:lang w:val="en-GB"/>
        </w:rPr>
        <w:t xml:space="preserve"> </w:t>
      </w:r>
      <w:r w:rsidRPr="00AC4FB2">
        <w:rPr>
          <w:rFonts w:ascii="Times New Roman" w:eastAsia="Times New Roman" w:hAnsi="Times New Roman" w:cs="Times New Roman"/>
          <w:bCs/>
          <w:color w:val="1C1D1E"/>
          <w:sz w:val="24"/>
          <w:szCs w:val="24"/>
          <w:shd w:val="clear" w:color="auto" w:fill="FFFFFF"/>
          <w:lang w:val="en-GB"/>
        </w:rPr>
        <w:t>AMD3100 (10 μM) or  with  anti-PD1 (20 μg/mL)  in 3 HCC and 3 CRLM patients.</w:t>
      </w:r>
      <w:r>
        <w:rPr>
          <w:rFonts w:ascii="Times New Roman" w:eastAsia="Times New Roman" w:hAnsi="Times New Roman" w:cs="Times New Roman"/>
          <w:bCs/>
          <w:color w:val="1C1D1E"/>
          <w:sz w:val="24"/>
          <w:szCs w:val="24"/>
          <w:shd w:val="clear" w:color="auto" w:fill="FFFFFF"/>
          <w:lang w:val="en-GB"/>
        </w:rPr>
        <w:t xml:space="preserve"> </w:t>
      </w:r>
      <w:r w:rsidRPr="00AC4FB2"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  <w:shd w:val="clear" w:color="auto" w:fill="FFFFFF"/>
          <w:lang w:val="en-GB"/>
        </w:rPr>
        <w:t xml:space="preserve">(D) </w:t>
      </w:r>
      <w:r w:rsidRPr="00AC4FB2">
        <w:rPr>
          <w:rFonts w:ascii="Times New Roman" w:eastAsia="Times New Roman" w:hAnsi="Times New Roman" w:cs="Times New Roman"/>
          <w:bCs/>
          <w:color w:val="1C1D1E"/>
          <w:sz w:val="24"/>
          <w:szCs w:val="24"/>
          <w:shd w:val="clear" w:color="auto" w:fill="FFFFFF"/>
          <w:lang w:val="en-GB"/>
        </w:rPr>
        <w:t>Detection of FOXP3 mRNA expression w/o Pep R29 in Huh7 cell line (Tregs vs Tregs+Pep R29, P&lt;0,05, n=3), PB-HCC (Tregs vs Tregs+Pep R29, P&lt;0,01, n=3) and PB-CRLM (Tregs vs Tregs+Pep R29, P&lt;0,01, n=3). B2M</w:t>
      </w:r>
      <w:r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</w:rPr>
        <w:t>,</w:t>
      </w:r>
      <w:r w:rsidRPr="00AC4FB2">
        <w:rPr>
          <w:rFonts w:ascii="Times New Roman" w:eastAsia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normalization of target gene expression.</w:t>
      </w:r>
    </w:p>
    <w:p w:rsidR="00865D12" w:rsidRPr="00AC4FB2" w:rsidRDefault="00865D12" w:rsidP="00865D12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5D12" w:rsidRDefault="00865D12" w:rsidP="00865D12">
      <w:pPr>
        <w:pStyle w:val="NormaleWe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  <w:lang w:val="en-GB"/>
        </w:rPr>
      </w:pPr>
    </w:p>
    <w:p w:rsidR="00865D12" w:rsidRPr="003934D8" w:rsidRDefault="00865D12" w:rsidP="00865D12">
      <w:pPr>
        <w:pStyle w:val="NormaleWe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  <w:lang w:val="en-GB"/>
        </w:rPr>
      </w:pPr>
    </w:p>
    <w:p w:rsidR="00865D12" w:rsidRDefault="00865D12" w:rsidP="00865D12">
      <w:pPr>
        <w:pStyle w:val="NormaleWe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</w:rPr>
      </w:pPr>
    </w:p>
    <w:p w:rsidR="00865D12" w:rsidRDefault="00865D12" w:rsidP="00865D12">
      <w:pPr>
        <w:pStyle w:val="NormaleWe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</w:rPr>
      </w:pPr>
    </w:p>
    <w:p w:rsidR="00865D12" w:rsidRDefault="00865D12" w:rsidP="00865D12">
      <w:pPr>
        <w:pStyle w:val="NormaleWe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</w:rPr>
      </w:pPr>
    </w:p>
    <w:p w:rsidR="00865D12" w:rsidRDefault="00865D12" w:rsidP="00865D12">
      <w:pPr>
        <w:pStyle w:val="NormaleWe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</w:rPr>
      </w:pPr>
    </w:p>
    <w:p w:rsidR="00865D12" w:rsidRDefault="00865D12" w:rsidP="00865D12">
      <w:pPr>
        <w:pStyle w:val="NormaleWe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</w:rPr>
      </w:pPr>
    </w:p>
    <w:p w:rsidR="00865D12" w:rsidRDefault="00865D12" w:rsidP="00865D12">
      <w:pPr>
        <w:pStyle w:val="NormaleWe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</w:rPr>
      </w:pPr>
    </w:p>
    <w:p w:rsidR="00865D12" w:rsidRDefault="00865D12" w:rsidP="00865D12">
      <w:pPr>
        <w:pStyle w:val="NormaleWe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</w:rPr>
      </w:pPr>
    </w:p>
    <w:p w:rsidR="00865D12" w:rsidRDefault="00865D12" w:rsidP="00865D12">
      <w:pPr>
        <w:pStyle w:val="NormaleWe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</w:rPr>
      </w:pPr>
    </w:p>
    <w:p w:rsidR="00865D12" w:rsidRDefault="00865D12" w:rsidP="00865D12">
      <w:pPr>
        <w:pStyle w:val="NormaleWeb"/>
        <w:kinsoku w:val="0"/>
        <w:overflowPunct w:val="0"/>
        <w:spacing w:before="0" w:beforeAutospacing="0" w:after="0" w:afterAutospacing="0" w:line="360" w:lineRule="auto"/>
        <w:textAlignment w:val="baseline"/>
        <w:rPr>
          <w:b/>
        </w:rPr>
      </w:pPr>
    </w:p>
    <w:p w:rsidR="000E1616" w:rsidRDefault="00865D12">
      <w:bookmarkStart w:id="0" w:name="_GoBack"/>
      <w:bookmarkEnd w:id="0"/>
    </w:p>
    <w:sectPr w:rsidR="000E1616" w:rsidSect="00980A44">
      <w:headerReference w:type="default" r:id="rId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8628215"/>
      <w:docPartObj>
        <w:docPartGallery w:val="Page Numbers (Top of Page)"/>
        <w:docPartUnique/>
      </w:docPartObj>
    </w:sdtPr>
    <w:sdtEndPr/>
    <w:sdtContent>
      <w:p w:rsidR="0038352A" w:rsidRDefault="00865D12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65D12">
          <w:rPr>
            <w:noProof/>
            <w:lang w:val="it-IT"/>
          </w:rPr>
          <w:t>1</w:t>
        </w:r>
        <w:r>
          <w:fldChar w:fldCharType="end"/>
        </w:r>
      </w:p>
    </w:sdtContent>
  </w:sdt>
  <w:p w:rsidR="0038352A" w:rsidRDefault="00865D1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D12"/>
    <w:rsid w:val="00775CB9"/>
    <w:rsid w:val="00865D12"/>
    <w:rsid w:val="00CE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2FD3"/>
  <w15:chartTrackingRefBased/>
  <w15:docId w15:val="{593D72BE-4A32-42B5-9BC7-330CB40F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5D12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65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65D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5D1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Santagata</dc:creator>
  <cp:keywords/>
  <dc:description/>
  <cp:lastModifiedBy>Sara Santagata</cp:lastModifiedBy>
  <cp:revision>1</cp:revision>
  <dcterms:created xsi:type="dcterms:W3CDTF">2022-12-21T10:41:00Z</dcterms:created>
  <dcterms:modified xsi:type="dcterms:W3CDTF">2022-12-21T10:41:00Z</dcterms:modified>
</cp:coreProperties>
</file>