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971AE" w14:textId="77777777" w:rsidR="009F6D14" w:rsidRDefault="009F6D14" w:rsidP="009F6D14">
      <w:pPr>
        <w:spacing w:line="360" w:lineRule="auto"/>
        <w:rPr>
          <w:rFonts w:ascii="Times New Roman" w:hAnsi="Times New Roman" w:cs="Times New Roman"/>
          <w:b/>
          <w:sz w:val="28"/>
          <w:szCs w:val="28"/>
        </w:rPr>
      </w:pPr>
      <w:r w:rsidRPr="00995222">
        <w:rPr>
          <w:rFonts w:ascii="Times New Roman" w:hAnsi="Times New Roman" w:cs="Times New Roman"/>
          <w:b/>
          <w:sz w:val="28"/>
          <w:szCs w:val="28"/>
        </w:rPr>
        <w:t xml:space="preserve">Supplementary </w:t>
      </w:r>
      <w:r>
        <w:rPr>
          <w:rFonts w:ascii="Times New Roman" w:hAnsi="Times New Roman" w:cs="Times New Roman"/>
          <w:b/>
          <w:sz w:val="28"/>
          <w:szCs w:val="28"/>
        </w:rPr>
        <w:t>i</w:t>
      </w:r>
      <w:r w:rsidRPr="00995222">
        <w:rPr>
          <w:rFonts w:ascii="Times New Roman" w:hAnsi="Times New Roman" w:cs="Times New Roman"/>
          <w:b/>
          <w:sz w:val="28"/>
          <w:szCs w:val="28"/>
        </w:rPr>
        <w:t>nformation for</w:t>
      </w:r>
    </w:p>
    <w:p w14:paraId="6FEAFD0B" w14:textId="77777777" w:rsidR="009F6D14" w:rsidRDefault="009F6D14" w:rsidP="009F6D14">
      <w:pPr>
        <w:jc w:val="center"/>
        <w:rPr>
          <w:rFonts w:ascii="Times New Roman" w:hAnsi="Times New Roman" w:cs="Times New Roman"/>
          <w:b/>
          <w:bCs/>
          <w:sz w:val="24"/>
          <w:szCs w:val="24"/>
        </w:rPr>
      </w:pPr>
    </w:p>
    <w:p w14:paraId="24FA9139" w14:textId="77777777" w:rsidR="009F6D14" w:rsidRPr="00DC79C5" w:rsidRDefault="009F6D14" w:rsidP="009F6D14">
      <w:pPr>
        <w:jc w:val="center"/>
        <w:rPr>
          <w:rFonts w:ascii="Times New Roman" w:hAnsi="Times New Roman" w:cs="Times New Roman"/>
          <w:b/>
          <w:bCs/>
          <w:sz w:val="24"/>
          <w:szCs w:val="24"/>
        </w:rPr>
      </w:pPr>
      <w:r w:rsidRPr="00DC79C5">
        <w:rPr>
          <w:rFonts w:ascii="Times New Roman" w:hAnsi="Times New Roman" w:cs="Times New Roman"/>
          <w:b/>
          <w:bCs/>
          <w:sz w:val="24"/>
          <w:szCs w:val="24"/>
        </w:rPr>
        <w:t>The pathogenesis of common</w:t>
      </w:r>
      <w:r w:rsidRPr="00DC79C5">
        <w:rPr>
          <w:rFonts w:ascii="Times New Roman" w:hAnsi="Times New Roman" w:cs="Times New Roman"/>
          <w:b/>
          <w:bCs/>
          <w:i/>
          <w:iCs/>
          <w:sz w:val="24"/>
          <w:szCs w:val="24"/>
        </w:rPr>
        <w:t xml:space="preserve"> Gjb2 </w:t>
      </w:r>
      <w:r w:rsidRPr="00DC79C5">
        <w:rPr>
          <w:rFonts w:ascii="Times New Roman" w:hAnsi="Times New Roman" w:cs="Times New Roman"/>
          <w:b/>
          <w:bCs/>
          <w:sz w:val="24"/>
          <w:szCs w:val="24"/>
        </w:rPr>
        <w:t>mutations associated with human hereditary deafness in mice</w:t>
      </w:r>
    </w:p>
    <w:p w14:paraId="3BA205DC" w14:textId="77777777" w:rsidR="009F6D14" w:rsidRPr="00DC79C5" w:rsidRDefault="009F6D14" w:rsidP="009F6D14">
      <w:pPr>
        <w:spacing w:line="360" w:lineRule="auto"/>
        <w:jc w:val="center"/>
        <w:rPr>
          <w:rFonts w:ascii="Times New Roman" w:hAnsi="Times New Roman" w:cs="Times New Roman"/>
          <w:sz w:val="20"/>
          <w:szCs w:val="20"/>
        </w:rPr>
      </w:pPr>
    </w:p>
    <w:p w14:paraId="51C78DB5" w14:textId="77777777" w:rsidR="009F6D14" w:rsidRPr="00DC79C5" w:rsidRDefault="009F6D14" w:rsidP="009F6D14">
      <w:pPr>
        <w:spacing w:afterLines="50" w:after="156" w:line="360" w:lineRule="auto"/>
        <w:rPr>
          <w:rFonts w:ascii="Times New Roman" w:hAnsi="Times New Roman" w:cs="Times New Roman"/>
          <w:sz w:val="20"/>
          <w:szCs w:val="20"/>
        </w:rPr>
      </w:pPr>
      <w:r w:rsidRPr="00DC79C5">
        <w:rPr>
          <w:rFonts w:ascii="Times New Roman" w:hAnsi="Times New Roman" w:cs="Times New Roman"/>
          <w:sz w:val="20"/>
          <w:szCs w:val="20"/>
        </w:rPr>
        <w:t>Qing Li</w:t>
      </w:r>
      <w:r w:rsidRPr="00DC79C5">
        <w:rPr>
          <w:rFonts w:ascii="Times New Roman" w:hAnsi="Times New Roman" w:cs="Times New Roman"/>
          <w:sz w:val="20"/>
          <w:szCs w:val="20"/>
          <w:vertAlign w:val="superscript"/>
        </w:rPr>
        <w:t>1</w:t>
      </w:r>
      <w:r>
        <w:rPr>
          <w:rFonts w:ascii="Times New Roman" w:hAnsi="Times New Roman" w:cs="Times New Roman"/>
          <w:sz w:val="20"/>
          <w:szCs w:val="20"/>
          <w:vertAlign w:val="superscript"/>
        </w:rPr>
        <w:t>,8,</w:t>
      </w:r>
      <w:r w:rsidRPr="00DC79C5">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Chong Cui</w:t>
      </w:r>
      <w:r w:rsidRPr="00DC79C5">
        <w:rPr>
          <w:rFonts w:ascii="Times New Roman" w:hAnsi="Times New Roman" w:cs="Times New Roman"/>
          <w:sz w:val="20"/>
          <w:szCs w:val="20"/>
          <w:vertAlign w:val="superscript"/>
        </w:rPr>
        <w:t>2,3,4</w:t>
      </w:r>
      <w:r>
        <w:rPr>
          <w:rFonts w:ascii="Times New Roman" w:hAnsi="Times New Roman" w:cs="Times New Roman"/>
          <w:sz w:val="20"/>
          <w:szCs w:val="20"/>
          <w:vertAlign w:val="superscript"/>
        </w:rPr>
        <w:t>,8</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Rongyu Liao</w:t>
      </w:r>
      <w:r w:rsidRPr="00DC79C5">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Xidi Yin</w:t>
      </w:r>
      <w:r w:rsidRPr="00DC79C5">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Bowei Huang</w:t>
      </w:r>
      <w:r w:rsidRPr="00DC79C5">
        <w:rPr>
          <w:rFonts w:ascii="Times New Roman" w:hAnsi="Times New Roman" w:cs="Times New Roman"/>
          <w:sz w:val="20"/>
          <w:szCs w:val="20"/>
          <w:vertAlign w:val="superscript"/>
        </w:rPr>
        <w:t>2,3,4</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Yanbo Cheng</w:t>
      </w:r>
      <w:r w:rsidRPr="00DC79C5">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Daqi Wang</w:t>
      </w:r>
      <w:r w:rsidRPr="00DC79C5">
        <w:rPr>
          <w:rFonts w:ascii="Times New Roman" w:hAnsi="Times New Roman" w:cs="Times New Roman"/>
          <w:sz w:val="20"/>
          <w:szCs w:val="20"/>
          <w:vertAlign w:val="superscript"/>
        </w:rPr>
        <w:t>2,3,4</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Liqin Wang</w:t>
      </w:r>
      <w:r w:rsidRPr="00DC79C5">
        <w:rPr>
          <w:rFonts w:ascii="Times New Roman" w:hAnsi="Times New Roman" w:cs="Times New Roman"/>
          <w:sz w:val="20"/>
          <w:szCs w:val="20"/>
          <w:vertAlign w:val="superscript"/>
        </w:rPr>
        <w:t>2,4</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Meng Yan</w:t>
      </w:r>
      <w:r w:rsidRPr="00DC79C5">
        <w:rPr>
          <w:rFonts w:ascii="Times New Roman" w:hAnsi="Times New Roman" w:cs="Times New Roman"/>
          <w:sz w:val="20"/>
          <w:szCs w:val="20"/>
          <w:vertAlign w:val="superscript"/>
        </w:rPr>
        <w:t>6</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Jinan Zhou</w:t>
      </w:r>
      <w:r w:rsidRPr="00DC79C5">
        <w:rPr>
          <w:rFonts w:ascii="Times New Roman" w:hAnsi="Times New Roman" w:cs="Times New Roman"/>
          <w:sz w:val="20"/>
          <w:szCs w:val="20"/>
          <w:vertAlign w:val="superscript"/>
        </w:rPr>
        <w:t>2,3,4</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Jingjing Zhao</w:t>
      </w:r>
      <w:r w:rsidRPr="00DC79C5">
        <w:rPr>
          <w:rFonts w:ascii="Times New Roman" w:hAnsi="Times New Roman" w:cs="Times New Roman"/>
          <w:sz w:val="20"/>
          <w:szCs w:val="20"/>
          <w:vertAlign w:val="superscript"/>
        </w:rPr>
        <w:t>2,4</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Wei Tang</w:t>
      </w:r>
      <w:r w:rsidRPr="00DC79C5">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Yingyi Wang</w:t>
      </w:r>
      <w:r w:rsidRPr="00DC79C5">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Xiaohan Wang</w:t>
      </w:r>
      <w:r w:rsidRPr="00DC79C5">
        <w:rPr>
          <w:rFonts w:ascii="Times New Roman" w:hAnsi="Times New Roman" w:cs="Times New Roman"/>
          <w:sz w:val="20"/>
          <w:szCs w:val="20"/>
          <w:vertAlign w:val="superscript"/>
        </w:rPr>
        <w:t>7</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Jun Lv</w:t>
      </w:r>
      <w:r w:rsidRPr="00DC79C5">
        <w:rPr>
          <w:rFonts w:ascii="Times New Roman" w:hAnsi="Times New Roman" w:cs="Times New Roman"/>
          <w:sz w:val="20"/>
          <w:szCs w:val="20"/>
          <w:vertAlign w:val="superscript"/>
        </w:rPr>
        <w:t>2,3,4</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Jinsong Li</w:t>
      </w:r>
      <w:r w:rsidRPr="00DC79C5">
        <w:rPr>
          <w:rFonts w:ascii="Times New Roman" w:hAnsi="Times New Roman" w:cs="Times New Roman"/>
          <w:sz w:val="20"/>
          <w:szCs w:val="20"/>
          <w:vertAlign w:val="superscript"/>
        </w:rPr>
        <w:t>1,5,6</w:t>
      </w:r>
      <w:r>
        <w:rPr>
          <w:rFonts w:ascii="Times New Roman" w:hAnsi="Times New Roman" w:cs="Times New Roman"/>
          <w:sz w:val="20"/>
          <w:szCs w:val="20"/>
        </w:rPr>
        <w:t xml:space="preserve"> </w:t>
      </w:r>
      <w:r w:rsidRPr="001224C7">
        <w:rPr>
          <w:rFonts w:ascii="Times New Roman" w:hAnsi="Times New Roman" w:cs="Times New Roman"/>
          <w:b/>
          <w:bCs/>
        </w:rPr>
        <w:t>·</w:t>
      </w:r>
      <w:r>
        <w:rPr>
          <w:rFonts w:ascii="Times New Roman" w:hAnsi="Times New Roman" w:cs="Times New Roman"/>
          <w:b/>
          <w:bCs/>
        </w:rPr>
        <w:t xml:space="preserve"> </w:t>
      </w:r>
      <w:r w:rsidRPr="00DC79C5">
        <w:rPr>
          <w:rFonts w:ascii="Times New Roman" w:hAnsi="Times New Roman" w:cs="Times New Roman"/>
          <w:sz w:val="20"/>
          <w:szCs w:val="20"/>
        </w:rPr>
        <w:t>Huawei Li</w:t>
      </w:r>
      <w:r w:rsidRPr="00DC79C5">
        <w:rPr>
          <w:rFonts w:ascii="Times New Roman" w:hAnsi="Times New Roman" w:cs="Times New Roman"/>
          <w:sz w:val="20"/>
          <w:szCs w:val="20"/>
          <w:vertAlign w:val="superscript"/>
        </w:rPr>
        <w:t>2,3,4</w:t>
      </w:r>
      <w:r>
        <w:rPr>
          <w:rFonts w:ascii="Times New Roman" w:hAnsi="Times New Roman" w:cs="Times New Roman" w:hint="eastAsia"/>
          <w:sz w:val="20"/>
          <w:szCs w:val="20"/>
          <w:vertAlign w:val="superscript"/>
        </w:rPr>
        <w:t>,</w:t>
      </w:r>
      <w:r w:rsidRPr="00DC79C5">
        <w:rPr>
          <w:rFonts w:ascii="Times New Roman" w:hAnsi="Times New Roman" w:cs="Times New Roman"/>
          <w:sz w:val="20"/>
          <w:szCs w:val="20"/>
          <w:vertAlign w:val="superscript"/>
        </w:rPr>
        <w:t>*</w:t>
      </w:r>
      <w:r w:rsidRPr="00DC79C5">
        <w:rPr>
          <w:rFonts w:ascii="Times New Roman" w:hAnsi="Times New Roman" w:cs="Times New Roman"/>
          <w:sz w:val="20"/>
          <w:szCs w:val="20"/>
        </w:rPr>
        <w:t xml:space="preserve"> and Yilai Shu</w:t>
      </w:r>
      <w:r w:rsidRPr="00DC79C5">
        <w:rPr>
          <w:rFonts w:ascii="Times New Roman" w:hAnsi="Times New Roman" w:cs="Times New Roman"/>
          <w:sz w:val="20"/>
          <w:szCs w:val="20"/>
          <w:vertAlign w:val="superscript"/>
        </w:rPr>
        <w:t>2,3,4</w:t>
      </w:r>
      <w:r>
        <w:rPr>
          <w:rFonts w:ascii="Times New Roman" w:hAnsi="Times New Roman" w:cs="Times New Roman" w:hint="eastAsia"/>
          <w:sz w:val="20"/>
          <w:szCs w:val="20"/>
          <w:vertAlign w:val="superscript"/>
        </w:rPr>
        <w:t>,</w:t>
      </w:r>
      <w:r w:rsidRPr="00DC79C5">
        <w:rPr>
          <w:rFonts w:ascii="Times New Roman" w:hAnsi="Times New Roman" w:cs="Times New Roman"/>
          <w:sz w:val="20"/>
          <w:szCs w:val="20"/>
          <w:vertAlign w:val="superscript"/>
        </w:rPr>
        <w:t>*</w:t>
      </w:r>
    </w:p>
    <w:p w14:paraId="6F9428DA" w14:textId="77777777" w:rsidR="009F6D14" w:rsidRPr="001224C7" w:rsidRDefault="009F6D14" w:rsidP="009F6D14">
      <w:pPr>
        <w:spacing w:afterLines="50" w:after="156" w:line="360" w:lineRule="auto"/>
        <w:rPr>
          <w:rFonts w:ascii="Times New Roman" w:hAnsi="Times New Roman" w:cs="Times New Roman"/>
          <w:sz w:val="20"/>
          <w:szCs w:val="20"/>
          <w:vertAlign w:val="superscript"/>
        </w:rPr>
      </w:pPr>
    </w:p>
    <w:p w14:paraId="21F013B5" w14:textId="77777777" w:rsidR="009F6D14" w:rsidRPr="00DC79C5" w:rsidRDefault="009F6D14" w:rsidP="009F6D14">
      <w:pPr>
        <w:spacing w:afterLines="50" w:after="156" w:line="360" w:lineRule="auto"/>
        <w:rPr>
          <w:rFonts w:ascii="Times New Roman" w:hAnsi="Times New Roman" w:cs="Times New Roman"/>
          <w:sz w:val="20"/>
          <w:szCs w:val="20"/>
        </w:rPr>
      </w:pPr>
      <w:r w:rsidRPr="00DC79C5">
        <w:rPr>
          <w:rFonts w:ascii="Times New Roman" w:hAnsi="Times New Roman" w:cs="Times New Roman"/>
          <w:sz w:val="20"/>
          <w:szCs w:val="20"/>
          <w:vertAlign w:val="superscript"/>
        </w:rPr>
        <w:t>1</w:t>
      </w:r>
      <w:r w:rsidRPr="00DC79C5">
        <w:rPr>
          <w:rFonts w:ascii="Times New Roman" w:hAnsi="Times New Roman" w:cs="Times New Roman"/>
          <w:sz w:val="20"/>
          <w:szCs w:val="20"/>
        </w:rPr>
        <w:t>State Key Laboratory of Cell Biology, Shanghai Key Laboratory of Molecular Andrology, Shanghai Institute of Biochemistry and Cell Biology, Center for Excellence in Molecular Cell Science, Chinese Academy of Sciences, University of Chinese Academy of Sciences, Shanghai, China.</w:t>
      </w:r>
    </w:p>
    <w:p w14:paraId="1230B86F" w14:textId="77777777" w:rsidR="009F6D14" w:rsidRPr="00DC79C5" w:rsidRDefault="009F6D14" w:rsidP="009F6D14">
      <w:pPr>
        <w:spacing w:afterLines="50" w:after="156" w:line="360" w:lineRule="auto"/>
        <w:rPr>
          <w:rFonts w:ascii="Times New Roman" w:hAnsi="Times New Roman" w:cs="Times New Roman"/>
          <w:sz w:val="20"/>
          <w:szCs w:val="20"/>
        </w:rPr>
      </w:pPr>
      <w:r w:rsidRPr="00DC79C5">
        <w:rPr>
          <w:rFonts w:ascii="Times New Roman" w:hAnsi="Times New Roman" w:cs="Times New Roman"/>
          <w:sz w:val="20"/>
          <w:szCs w:val="20"/>
          <w:vertAlign w:val="superscript"/>
        </w:rPr>
        <w:t>2</w:t>
      </w:r>
      <w:r w:rsidRPr="00DC79C5">
        <w:rPr>
          <w:rFonts w:ascii="Times New Roman" w:hAnsi="Times New Roman" w:cs="Times New Roman"/>
          <w:sz w:val="20"/>
          <w:szCs w:val="20"/>
        </w:rPr>
        <w:t>ENT institute and Department of Otorhinolaryngology, Eye &amp; ENT Hospital, State Key Laboratory of Medical Neurobiology and MOE Frontiers Center for Brain Science, Fudan University, Shanghai, China.</w:t>
      </w:r>
    </w:p>
    <w:p w14:paraId="72203E35" w14:textId="77777777" w:rsidR="009F6D14" w:rsidRPr="00DC79C5" w:rsidRDefault="009F6D14" w:rsidP="009F6D14">
      <w:pPr>
        <w:spacing w:afterLines="50" w:after="156" w:line="360" w:lineRule="auto"/>
        <w:rPr>
          <w:rFonts w:ascii="Times New Roman" w:hAnsi="Times New Roman" w:cs="Times New Roman"/>
          <w:sz w:val="20"/>
          <w:szCs w:val="20"/>
        </w:rPr>
      </w:pPr>
      <w:r w:rsidRPr="00DC79C5">
        <w:rPr>
          <w:rFonts w:ascii="Times New Roman" w:hAnsi="Times New Roman" w:cs="Times New Roman"/>
          <w:sz w:val="20"/>
          <w:szCs w:val="20"/>
          <w:vertAlign w:val="superscript"/>
        </w:rPr>
        <w:t>3</w:t>
      </w:r>
      <w:r w:rsidRPr="00DC79C5">
        <w:rPr>
          <w:rFonts w:ascii="Times New Roman" w:hAnsi="Times New Roman" w:cs="Times New Roman"/>
          <w:sz w:val="20"/>
          <w:szCs w:val="20"/>
        </w:rPr>
        <w:t>Institutes of Biomedical Sciences, Fudan University, Shanghai</w:t>
      </w:r>
      <w:r w:rsidRPr="00DC79C5">
        <w:rPr>
          <w:rFonts w:ascii="Times New Roman" w:hAnsi="Times New Roman" w:cs="Times New Roman" w:hint="eastAsia"/>
          <w:sz w:val="20"/>
          <w:szCs w:val="20"/>
        </w:rPr>
        <w:t>,</w:t>
      </w:r>
      <w:r w:rsidRPr="00DC79C5">
        <w:rPr>
          <w:rFonts w:ascii="Times New Roman" w:hAnsi="Times New Roman" w:cs="Times New Roman"/>
          <w:sz w:val="20"/>
          <w:szCs w:val="20"/>
        </w:rPr>
        <w:t xml:space="preserve"> China.</w:t>
      </w:r>
    </w:p>
    <w:p w14:paraId="59FF66D2" w14:textId="77777777" w:rsidR="009F6D14" w:rsidRPr="00DC79C5" w:rsidRDefault="009F6D14" w:rsidP="009F6D14">
      <w:pPr>
        <w:spacing w:afterLines="50" w:after="156" w:line="360" w:lineRule="auto"/>
        <w:rPr>
          <w:rFonts w:ascii="Times New Roman" w:hAnsi="Times New Roman" w:cs="Times New Roman"/>
          <w:sz w:val="20"/>
          <w:szCs w:val="20"/>
        </w:rPr>
      </w:pPr>
      <w:r w:rsidRPr="00DC79C5">
        <w:rPr>
          <w:rFonts w:ascii="Times New Roman" w:hAnsi="Times New Roman" w:cs="Times New Roman"/>
          <w:sz w:val="20"/>
          <w:szCs w:val="20"/>
          <w:vertAlign w:val="superscript"/>
        </w:rPr>
        <w:t>4</w:t>
      </w:r>
      <w:r w:rsidRPr="00DC79C5">
        <w:rPr>
          <w:rFonts w:ascii="Times New Roman" w:hAnsi="Times New Roman" w:cs="Times New Roman"/>
          <w:sz w:val="20"/>
          <w:szCs w:val="20"/>
        </w:rPr>
        <w:t>NHC Key Laboratory of Hearing Medicine, Fudan University, Shanghai, China.</w:t>
      </w:r>
    </w:p>
    <w:p w14:paraId="361871F6" w14:textId="77777777" w:rsidR="009F6D14" w:rsidRPr="00DC79C5" w:rsidRDefault="009F6D14" w:rsidP="009F6D14">
      <w:pPr>
        <w:autoSpaceDE w:val="0"/>
        <w:autoSpaceDN w:val="0"/>
        <w:adjustRightInd w:val="0"/>
        <w:spacing w:afterLines="50" w:after="156" w:line="360" w:lineRule="auto"/>
        <w:rPr>
          <w:rFonts w:ascii="Times New Roman" w:hAnsi="Times New Roman" w:cs="Times New Roman"/>
          <w:sz w:val="20"/>
          <w:szCs w:val="20"/>
        </w:rPr>
      </w:pPr>
      <w:r w:rsidRPr="00DC79C5">
        <w:rPr>
          <w:rFonts w:ascii="Times New Roman" w:hAnsi="Times New Roman" w:cs="Times New Roman"/>
          <w:szCs w:val="21"/>
          <w:vertAlign w:val="superscript"/>
        </w:rPr>
        <w:t>5</w:t>
      </w:r>
      <w:r w:rsidRPr="00DC79C5">
        <w:rPr>
          <w:rFonts w:ascii="Times New Roman" w:hAnsi="Times New Roman" w:cs="Times New Roman"/>
          <w:sz w:val="20"/>
          <w:szCs w:val="20"/>
        </w:rPr>
        <w:t>School of Life Science and Technology, Shanghai Tech University, Shanghai, China.</w:t>
      </w:r>
    </w:p>
    <w:p w14:paraId="62D8C4E1" w14:textId="77777777" w:rsidR="009F6D14" w:rsidRPr="00DC79C5" w:rsidRDefault="009F6D14" w:rsidP="009F6D14">
      <w:pPr>
        <w:autoSpaceDE w:val="0"/>
        <w:autoSpaceDN w:val="0"/>
        <w:adjustRightInd w:val="0"/>
        <w:spacing w:afterLines="50" w:after="156" w:line="360" w:lineRule="auto"/>
        <w:rPr>
          <w:rFonts w:ascii="Times New Roman" w:hAnsi="Times New Roman" w:cs="Times New Roman"/>
          <w:sz w:val="20"/>
          <w:szCs w:val="20"/>
        </w:rPr>
      </w:pPr>
      <w:r w:rsidRPr="00DC79C5">
        <w:rPr>
          <w:rFonts w:ascii="Times New Roman" w:hAnsi="Times New Roman" w:cs="Times New Roman"/>
          <w:sz w:val="20"/>
          <w:szCs w:val="20"/>
          <w:vertAlign w:val="superscript"/>
        </w:rPr>
        <w:t>6</w:t>
      </w:r>
      <w:r w:rsidRPr="00DC79C5">
        <w:rPr>
          <w:rFonts w:ascii="Times New Roman" w:hAnsi="Times New Roman" w:cs="Times New Roman"/>
          <w:color w:val="000000"/>
          <w:sz w:val="20"/>
          <w:szCs w:val="20"/>
        </w:rPr>
        <w:t>School of Life Science, Hangzhou Institute for Advanced Study, University of Chinese Academy of Sciences, Hangzhou, China.</w:t>
      </w:r>
    </w:p>
    <w:p w14:paraId="3105D5C3" w14:textId="77777777" w:rsidR="009F6D14" w:rsidRDefault="009F6D14" w:rsidP="009F6D14">
      <w:pPr>
        <w:autoSpaceDE w:val="0"/>
        <w:autoSpaceDN w:val="0"/>
        <w:adjustRightInd w:val="0"/>
        <w:spacing w:afterLines="50" w:after="156" w:line="360" w:lineRule="auto"/>
        <w:rPr>
          <w:rFonts w:ascii="Times New Roman" w:hAnsi="Times New Roman" w:cs="Times New Roman"/>
          <w:sz w:val="20"/>
          <w:szCs w:val="20"/>
        </w:rPr>
      </w:pPr>
      <w:r w:rsidRPr="00DC79C5">
        <w:rPr>
          <w:rFonts w:ascii="Times New Roman" w:hAnsi="Times New Roman" w:cs="Times New Roman"/>
          <w:szCs w:val="21"/>
          <w:vertAlign w:val="superscript"/>
        </w:rPr>
        <w:t>7</w:t>
      </w:r>
      <w:r w:rsidRPr="00DC79C5">
        <w:rPr>
          <w:rFonts w:ascii="Times New Roman" w:hAnsi="Times New Roman" w:cs="Times New Roman"/>
          <w:sz w:val="20"/>
          <w:szCs w:val="20"/>
        </w:rPr>
        <w:t>Renerval Biotherapeutics, Jiangsu, China.</w:t>
      </w:r>
    </w:p>
    <w:p w14:paraId="47E67481" w14:textId="77777777" w:rsidR="009F6D14" w:rsidRPr="00DC79C5" w:rsidRDefault="009F6D14" w:rsidP="009F6D14">
      <w:pPr>
        <w:spacing w:afterLines="50" w:after="156" w:line="360" w:lineRule="auto"/>
        <w:rPr>
          <w:rFonts w:ascii="Times New Roman" w:hAnsi="Times New Roman" w:cs="Times New Roman"/>
          <w:sz w:val="20"/>
          <w:szCs w:val="20"/>
        </w:rPr>
      </w:pPr>
      <w:r>
        <w:rPr>
          <w:rFonts w:ascii="Times New Roman" w:hAnsi="Times New Roman" w:cs="Times New Roman"/>
          <w:sz w:val="20"/>
          <w:szCs w:val="20"/>
          <w:vertAlign w:val="superscript"/>
        </w:rPr>
        <w:t>8</w:t>
      </w:r>
      <w:r w:rsidRPr="00DC79C5">
        <w:rPr>
          <w:rFonts w:ascii="Times New Roman" w:hAnsi="Times New Roman" w:cs="Times New Roman"/>
          <w:sz w:val="20"/>
          <w:szCs w:val="20"/>
        </w:rPr>
        <w:t>Q. Li, and C. Cui, contributed equally to this work.</w:t>
      </w:r>
    </w:p>
    <w:p w14:paraId="6F104A75" w14:textId="77777777" w:rsidR="009F6D14" w:rsidRDefault="009F6D14" w:rsidP="009F6D14">
      <w:pPr>
        <w:autoSpaceDE w:val="0"/>
        <w:autoSpaceDN w:val="0"/>
        <w:adjustRightInd w:val="0"/>
        <w:spacing w:afterLines="50" w:after="156" w:line="360" w:lineRule="auto"/>
        <w:rPr>
          <w:rFonts w:ascii="Times New Roman" w:hAnsi="Times New Roman" w:cs="Times New Roman"/>
          <w:color w:val="000000"/>
          <w:sz w:val="20"/>
          <w:szCs w:val="20"/>
        </w:rPr>
      </w:pPr>
      <w:r w:rsidRPr="00DC79C5">
        <w:rPr>
          <w:rFonts w:ascii="Times New Roman" w:hAnsi="Times New Roman" w:cs="Times New Roman"/>
          <w:sz w:val="20"/>
          <w:szCs w:val="20"/>
          <w:vertAlign w:val="superscript"/>
        </w:rPr>
        <w:t>*</w:t>
      </w:r>
      <w:r w:rsidRPr="00DC79C5">
        <w:rPr>
          <w:rFonts w:ascii="Times New Roman" w:hAnsi="Times New Roman" w:cs="Times New Roman"/>
          <w:sz w:val="20"/>
          <w:szCs w:val="20"/>
        </w:rPr>
        <w:t>Correspond</w:t>
      </w:r>
      <w:r>
        <w:rPr>
          <w:rFonts w:ascii="Times New Roman" w:hAnsi="Times New Roman" w:cs="Times New Roman"/>
          <w:sz w:val="20"/>
          <w:szCs w:val="20"/>
        </w:rPr>
        <w:t>ing authors:</w:t>
      </w:r>
      <w:r w:rsidRPr="00DC79C5">
        <w:rPr>
          <w:rFonts w:ascii="Times New Roman" w:hAnsi="Times New Roman" w:cs="Times New Roman"/>
          <w:sz w:val="20"/>
          <w:szCs w:val="20"/>
        </w:rPr>
        <w:t xml:space="preserve"> </w:t>
      </w:r>
      <w:r w:rsidRPr="00DC79C5">
        <w:rPr>
          <w:rFonts w:ascii="Times New Roman" w:hAnsi="Times New Roman" w:cs="Times New Roman"/>
          <w:color w:val="000000"/>
          <w:sz w:val="20"/>
          <w:szCs w:val="20"/>
        </w:rPr>
        <w:t>Y</w:t>
      </w:r>
      <w:r w:rsidRPr="00DC79C5">
        <w:rPr>
          <w:rFonts w:ascii="Times New Roman" w:hAnsi="Times New Roman" w:cs="Times New Roman" w:hint="eastAsia"/>
          <w:color w:val="000000"/>
          <w:sz w:val="20"/>
          <w:szCs w:val="20"/>
        </w:rPr>
        <w:t>il</w:t>
      </w:r>
      <w:r w:rsidRPr="00DC79C5">
        <w:rPr>
          <w:rFonts w:ascii="Times New Roman" w:hAnsi="Times New Roman" w:cs="Times New Roman"/>
          <w:color w:val="000000"/>
          <w:sz w:val="20"/>
          <w:szCs w:val="20"/>
        </w:rPr>
        <w:t>ai Sh</w:t>
      </w:r>
      <w:r w:rsidRPr="00CF30FA">
        <w:rPr>
          <w:rFonts w:ascii="Times New Roman" w:hAnsi="Times New Roman" w:cs="Times New Roman"/>
          <w:color w:val="000000"/>
          <w:sz w:val="20"/>
          <w:szCs w:val="20"/>
        </w:rPr>
        <w:t xml:space="preserve">u: </w:t>
      </w:r>
      <w:hyperlink r:id="rId4" w:history="1">
        <w:r w:rsidRPr="00CF30FA">
          <w:rPr>
            <w:rFonts w:ascii="Times New Roman" w:hAnsi="Times New Roman" w:cs="Times New Roman"/>
            <w:color w:val="000000"/>
          </w:rPr>
          <w:t>yilai_shu@fudan.edu.cn</w:t>
        </w:r>
      </w:hyperlink>
      <w:r w:rsidRPr="00CF30FA">
        <w:rPr>
          <w:rFonts w:ascii="Times New Roman" w:hAnsi="Times New Roman" w:cs="Times New Roman"/>
          <w:color w:val="000000"/>
          <w:sz w:val="20"/>
          <w:szCs w:val="20"/>
        </w:rPr>
        <w:t xml:space="preserve">.; Huawei Li: </w:t>
      </w:r>
      <w:hyperlink r:id="rId5" w:history="1">
        <w:r w:rsidRPr="00CF30FA">
          <w:rPr>
            <w:rFonts w:ascii="Times New Roman" w:hAnsi="Times New Roman" w:cs="Times New Roman"/>
            <w:color w:val="000000"/>
          </w:rPr>
          <w:t>hwli@shmu.edu.cn</w:t>
        </w:r>
      </w:hyperlink>
      <w:r w:rsidRPr="00CF30FA">
        <w:rPr>
          <w:rFonts w:ascii="Times New Roman" w:hAnsi="Times New Roman" w:cs="Times New Roman"/>
          <w:color w:val="000000"/>
          <w:sz w:val="20"/>
          <w:szCs w:val="20"/>
        </w:rPr>
        <w:t>; Qing L</w:t>
      </w:r>
      <w:r w:rsidRPr="00CF30FA">
        <w:rPr>
          <w:rFonts w:ascii="Times New Roman" w:hAnsi="Times New Roman" w:cs="Times New Roman"/>
          <w:sz w:val="20"/>
          <w:szCs w:val="20"/>
        </w:rPr>
        <w:t>i:</w:t>
      </w:r>
      <w:r w:rsidRPr="00DC79C5">
        <w:rPr>
          <w:rFonts w:ascii="Times New Roman" w:hAnsi="Times New Roman" w:cs="Times New Roman"/>
          <w:sz w:val="20"/>
          <w:szCs w:val="20"/>
        </w:rPr>
        <w:t xml:space="preserve"> </w:t>
      </w:r>
      <w:hyperlink r:id="rId6" w:history="1">
        <w:r w:rsidRPr="00DC79C5">
          <w:rPr>
            <w:rFonts w:ascii="Times New Roman" w:hAnsi="Times New Roman" w:cs="Times New Roman"/>
            <w:color w:val="000000"/>
            <w:sz w:val="20"/>
            <w:szCs w:val="20"/>
          </w:rPr>
          <w:t>liqing2015@sibcb.ac.cn</w:t>
        </w:r>
      </w:hyperlink>
      <w:r>
        <w:rPr>
          <w:rFonts w:ascii="Times New Roman" w:hAnsi="Times New Roman" w:cs="Times New Roman"/>
          <w:color w:val="000000"/>
          <w:sz w:val="20"/>
          <w:szCs w:val="20"/>
        </w:rPr>
        <w:t>.</w:t>
      </w:r>
    </w:p>
    <w:p w14:paraId="5F056349" w14:textId="77777777" w:rsidR="009F6D14" w:rsidRPr="00995222" w:rsidRDefault="009F6D14" w:rsidP="009F6D14">
      <w:pPr>
        <w:spacing w:line="360" w:lineRule="auto"/>
        <w:rPr>
          <w:rFonts w:ascii="Times New Roman" w:hAnsi="Times New Roman" w:cs="Times New Roman"/>
          <w:b/>
          <w:szCs w:val="24"/>
        </w:rPr>
      </w:pPr>
      <w:r w:rsidRPr="00995222">
        <w:rPr>
          <w:rFonts w:ascii="Times New Roman" w:hAnsi="Times New Roman" w:cs="Times New Roman"/>
          <w:b/>
          <w:szCs w:val="24"/>
        </w:rPr>
        <w:t>This PDF file includes:</w:t>
      </w:r>
    </w:p>
    <w:p w14:paraId="6CBEE03A" w14:textId="77777777" w:rsidR="009F6D14" w:rsidRPr="00995222" w:rsidRDefault="009F6D14" w:rsidP="009F6D14">
      <w:pPr>
        <w:spacing w:line="360" w:lineRule="auto"/>
        <w:ind w:left="720"/>
        <w:rPr>
          <w:rFonts w:ascii="Times New Roman" w:hAnsi="Times New Roman" w:cs="Times New Roman"/>
          <w:sz w:val="20"/>
        </w:rPr>
      </w:pPr>
      <w:r w:rsidRPr="00995222">
        <w:rPr>
          <w:rFonts w:ascii="Times New Roman" w:hAnsi="Times New Roman" w:cs="Times New Roman"/>
          <w:sz w:val="20"/>
        </w:rPr>
        <w:t>Figures</w:t>
      </w:r>
      <w:r>
        <w:rPr>
          <w:rFonts w:ascii="Times New Roman" w:hAnsi="Times New Roman" w:cs="Times New Roman"/>
          <w:sz w:val="20"/>
        </w:rPr>
        <w:t>.</w:t>
      </w:r>
      <w:r w:rsidRPr="00995222">
        <w:rPr>
          <w:rFonts w:ascii="Times New Roman" w:hAnsi="Times New Roman" w:cs="Times New Roman"/>
          <w:sz w:val="20"/>
        </w:rPr>
        <w:t xml:space="preserve"> S1 to S</w:t>
      </w:r>
      <w:r>
        <w:rPr>
          <w:rFonts w:ascii="Times New Roman" w:hAnsi="Times New Roman" w:cs="Times New Roman"/>
          <w:sz w:val="20"/>
        </w:rPr>
        <w:t>8</w:t>
      </w:r>
    </w:p>
    <w:p w14:paraId="71AD02CF" w14:textId="77777777" w:rsidR="009F6D14" w:rsidRPr="00995222" w:rsidRDefault="009F6D14" w:rsidP="009F6D14">
      <w:pPr>
        <w:spacing w:line="360" w:lineRule="auto"/>
        <w:ind w:left="720"/>
        <w:rPr>
          <w:rFonts w:ascii="Times New Roman" w:hAnsi="Times New Roman" w:cs="Times New Roman"/>
          <w:sz w:val="20"/>
        </w:rPr>
      </w:pPr>
      <w:r w:rsidRPr="00995222">
        <w:rPr>
          <w:rFonts w:ascii="Times New Roman" w:hAnsi="Times New Roman" w:cs="Times New Roman"/>
          <w:sz w:val="20"/>
        </w:rPr>
        <w:t>Tables</w:t>
      </w:r>
      <w:r>
        <w:rPr>
          <w:rFonts w:ascii="Times New Roman" w:hAnsi="Times New Roman" w:cs="Times New Roman"/>
          <w:sz w:val="20"/>
        </w:rPr>
        <w:t>.</w:t>
      </w:r>
      <w:r w:rsidRPr="00995222">
        <w:rPr>
          <w:rFonts w:ascii="Times New Roman" w:hAnsi="Times New Roman" w:cs="Times New Roman"/>
          <w:sz w:val="20"/>
        </w:rPr>
        <w:t xml:space="preserve"> S1 to S2</w:t>
      </w:r>
    </w:p>
    <w:p w14:paraId="1551B537" w14:textId="77777777" w:rsidR="009F6D14" w:rsidRPr="00995222" w:rsidRDefault="009F6D14" w:rsidP="009F6D14">
      <w:pPr>
        <w:spacing w:line="360" w:lineRule="auto"/>
        <w:ind w:left="720"/>
        <w:rPr>
          <w:rFonts w:ascii="Times New Roman" w:hAnsi="Times New Roman" w:cs="Times New Roman"/>
          <w:sz w:val="20"/>
        </w:rPr>
      </w:pPr>
      <w:r w:rsidRPr="00995222">
        <w:rPr>
          <w:rFonts w:ascii="Times New Roman" w:hAnsi="Times New Roman" w:cs="Times New Roman"/>
          <w:sz w:val="20"/>
        </w:rPr>
        <w:t>Legends for</w:t>
      </w:r>
      <w:r w:rsidRPr="004C44EC">
        <w:rPr>
          <w:rFonts w:ascii="Times New Roman" w:hAnsi="Times New Roman" w:cs="Times New Roman"/>
          <w:sz w:val="20"/>
        </w:rPr>
        <w:t xml:space="preserve"> Supplemental Material</w:t>
      </w:r>
    </w:p>
    <w:p w14:paraId="7AA1B5C0" w14:textId="77777777" w:rsidR="009F6D14" w:rsidRPr="00391A1D" w:rsidRDefault="009F6D14" w:rsidP="009F6D14">
      <w:pPr>
        <w:spacing w:line="360" w:lineRule="auto"/>
        <w:rPr>
          <w:rFonts w:ascii="Times New Roman" w:hAnsi="Times New Roman" w:cs="Times New Roman"/>
          <w:b/>
          <w:sz w:val="24"/>
          <w:szCs w:val="24"/>
        </w:rPr>
      </w:pPr>
      <w:r w:rsidRPr="00391A1D">
        <w:rPr>
          <w:rFonts w:ascii="Times New Roman" w:hAnsi="Times New Roman" w:cs="Times New Roman"/>
          <w:b/>
          <w:sz w:val="24"/>
          <w:szCs w:val="24"/>
        </w:rPr>
        <w:lastRenderedPageBreak/>
        <w:t>Supplementary Figures</w:t>
      </w:r>
    </w:p>
    <w:p w14:paraId="28C67E7D" w14:textId="77777777" w:rsidR="009F6D14" w:rsidRPr="00DC79C5" w:rsidRDefault="009F6D14" w:rsidP="009F6D14">
      <w:pPr>
        <w:spacing w:line="360" w:lineRule="auto"/>
        <w:rPr>
          <w:rFonts w:ascii="Times New Roman" w:hAnsi="Times New Roman" w:cs="Times New Roman"/>
          <w:b/>
          <w:bCs/>
          <w:sz w:val="24"/>
          <w:szCs w:val="24"/>
        </w:rPr>
      </w:pPr>
    </w:p>
    <w:p w14:paraId="61EF3F13" w14:textId="77777777" w:rsidR="009F6D14" w:rsidRPr="00DC79C5" w:rsidRDefault="009F6D14" w:rsidP="009F6D14">
      <w:pPr>
        <w:spacing w:line="360" w:lineRule="auto"/>
        <w:rPr>
          <w:rFonts w:ascii="Times New Roman" w:hAnsi="Times New Roman" w:cs="Times New Roman"/>
          <w:sz w:val="20"/>
        </w:rPr>
      </w:pPr>
      <w:r w:rsidRPr="00DC79C5">
        <w:rPr>
          <w:noProof/>
        </w:rPr>
        <w:drawing>
          <wp:inline distT="0" distB="0" distL="0" distR="0" wp14:anchorId="0D8A6C29" wp14:editId="12640F5A">
            <wp:extent cx="5274310" cy="5176520"/>
            <wp:effectExtent l="0" t="0" r="254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5176520"/>
                    </a:xfrm>
                    <a:prstGeom prst="rect">
                      <a:avLst/>
                    </a:prstGeom>
                    <a:noFill/>
                    <a:ln>
                      <a:noFill/>
                    </a:ln>
                  </pic:spPr>
                </pic:pic>
              </a:graphicData>
            </a:graphic>
          </wp:inline>
        </w:drawing>
      </w:r>
    </w:p>
    <w:p w14:paraId="3253A88D" w14:textId="77777777" w:rsidR="009F6D14" w:rsidRPr="00DC79C5" w:rsidRDefault="009F6D14" w:rsidP="009F6D14">
      <w:pPr>
        <w:spacing w:line="360" w:lineRule="auto"/>
        <w:rPr>
          <w:rFonts w:ascii="Times New Roman" w:hAnsi="Times New Roman" w:cs="Times New Roman"/>
          <w:b/>
          <w:bCs/>
          <w:sz w:val="20"/>
        </w:rPr>
      </w:pPr>
      <w:r w:rsidRPr="00DC79C5">
        <w:rPr>
          <w:rFonts w:ascii="Times New Roman" w:hAnsi="Times New Roman" w:cs="Times New Roman"/>
          <w:b/>
          <w:bCs/>
          <w:sz w:val="20"/>
        </w:rPr>
        <w:t>Figure S1. Comparison of semi-cloning technology and zygote injection/electroporation-mediated construction of knock-in mouse models of embryonic-lethal genes (created in </w:t>
      </w:r>
      <w:hyperlink r:id="rId8" w:history="1">
        <w:r w:rsidRPr="00DC79C5">
          <w:rPr>
            <w:rFonts w:ascii="Times New Roman" w:hAnsi="Times New Roman" w:cs="Times New Roman"/>
            <w:b/>
            <w:bCs/>
            <w:sz w:val="20"/>
          </w:rPr>
          <w:t>BioRender.com</w:t>
        </w:r>
      </w:hyperlink>
      <w:r w:rsidRPr="00DC79C5">
        <w:rPr>
          <w:rFonts w:ascii="Times New Roman" w:hAnsi="Times New Roman" w:cs="Times New Roman"/>
          <w:b/>
          <w:bCs/>
          <w:sz w:val="20"/>
        </w:rPr>
        <w:t>).</w:t>
      </w:r>
    </w:p>
    <w:p w14:paraId="4E75EB3C" w14:textId="77777777" w:rsidR="009F6D14" w:rsidRPr="00DC79C5" w:rsidRDefault="009F6D14" w:rsidP="009F6D14">
      <w:pPr>
        <w:spacing w:line="360" w:lineRule="auto"/>
        <w:rPr>
          <w:rFonts w:ascii="Times New Roman" w:hAnsi="Times New Roman" w:cs="Times New Roman"/>
          <w:b/>
          <w:bCs/>
          <w:sz w:val="20"/>
        </w:rPr>
      </w:pPr>
    </w:p>
    <w:p w14:paraId="1CCE379D" w14:textId="77777777" w:rsidR="009F6D14" w:rsidRPr="00DC79C5" w:rsidRDefault="009F6D14" w:rsidP="009F6D14">
      <w:pPr>
        <w:spacing w:line="360" w:lineRule="auto"/>
        <w:rPr>
          <w:rFonts w:ascii="Times New Roman" w:hAnsi="Times New Roman" w:cs="Times New Roman"/>
          <w:b/>
          <w:bCs/>
          <w:sz w:val="20"/>
        </w:rPr>
      </w:pPr>
      <w:r w:rsidRPr="00DC79C5">
        <w:rPr>
          <w:rFonts w:ascii="Times New Roman" w:hAnsi="Times New Roman" w:cs="Times New Roman"/>
          <w:noProof/>
        </w:rPr>
        <w:lastRenderedPageBreak/>
        <w:drawing>
          <wp:inline distT="0" distB="0" distL="0" distR="0" wp14:anchorId="23ADBADA" wp14:editId="5AE5F7CA">
            <wp:extent cx="5486400" cy="43084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4308475"/>
                    </a:xfrm>
                    <a:prstGeom prst="rect">
                      <a:avLst/>
                    </a:prstGeom>
                    <a:noFill/>
                    <a:ln>
                      <a:noFill/>
                    </a:ln>
                  </pic:spPr>
                </pic:pic>
              </a:graphicData>
            </a:graphic>
          </wp:inline>
        </w:drawing>
      </w:r>
    </w:p>
    <w:p w14:paraId="2E383B35" w14:textId="77777777" w:rsidR="009F6D14" w:rsidRPr="0097319A" w:rsidRDefault="009F6D14" w:rsidP="009F6D14">
      <w:pPr>
        <w:spacing w:line="360" w:lineRule="auto"/>
        <w:rPr>
          <w:rFonts w:ascii="Times New Roman" w:hAnsi="Times New Roman" w:cs="Times New Roman"/>
          <w:b/>
          <w:bCs/>
          <w:sz w:val="20"/>
        </w:rPr>
      </w:pPr>
      <w:r w:rsidRPr="00DC79C5">
        <w:rPr>
          <w:rFonts w:ascii="Times New Roman" w:hAnsi="Times New Roman" w:cs="Times New Roman"/>
          <w:b/>
          <w:bCs/>
          <w:sz w:val="20"/>
        </w:rPr>
        <w:t xml:space="preserve">Figure S2. Generation of DKO-AG-haESCs carrying 35delG and 235delC in </w:t>
      </w:r>
      <w:r w:rsidRPr="00DC79C5">
        <w:rPr>
          <w:rFonts w:ascii="Times New Roman" w:hAnsi="Times New Roman" w:cs="Times New Roman"/>
          <w:b/>
          <w:bCs/>
          <w:i/>
          <w:iCs/>
          <w:sz w:val="20"/>
        </w:rPr>
        <w:t>Gjb2</w:t>
      </w:r>
      <w:r w:rsidRPr="00DC79C5">
        <w:rPr>
          <w:rFonts w:ascii="Times New Roman" w:hAnsi="Times New Roman" w:cs="Times New Roman"/>
          <w:b/>
          <w:bCs/>
          <w:sz w:val="20"/>
        </w:rPr>
        <w:t>.</w:t>
      </w:r>
      <w:r>
        <w:rPr>
          <w:rFonts w:ascii="Times New Roman" w:hAnsi="Times New Roman" w:cs="Times New Roman" w:hint="eastAsia"/>
          <w:b/>
          <w:bCs/>
          <w:sz w:val="20"/>
        </w:rPr>
        <w:t xml:space="preserve"> </w:t>
      </w:r>
      <w:r w:rsidRPr="0097319A">
        <w:rPr>
          <w:rFonts w:ascii="Times New Roman" w:hAnsi="Times New Roman" w:cs="Times New Roman"/>
          <w:sz w:val="20"/>
        </w:rPr>
        <w:t>(</w:t>
      </w:r>
      <w:r w:rsidRPr="0097319A">
        <w:rPr>
          <w:rFonts w:ascii="Times New Roman" w:hAnsi="Times New Roman" w:cs="Times New Roman"/>
          <w:i/>
          <w:iCs/>
          <w:sz w:val="20"/>
        </w:rPr>
        <w:t>A</w:t>
      </w:r>
      <w:r w:rsidRPr="0097319A">
        <w:rPr>
          <w:rFonts w:ascii="Times New Roman" w:hAnsi="Times New Roman" w:cs="Times New Roman"/>
          <w:sz w:val="20"/>
        </w:rPr>
        <w:t xml:space="preserve">) Experimental procedures for generating DKO-AG-haESCs carrying 35delG and 235delC in </w:t>
      </w:r>
      <w:r w:rsidRPr="0097319A">
        <w:rPr>
          <w:rFonts w:ascii="Times New Roman" w:hAnsi="Times New Roman" w:cs="Times New Roman"/>
          <w:i/>
          <w:iCs/>
          <w:sz w:val="20"/>
        </w:rPr>
        <w:t>Gjb2</w:t>
      </w:r>
      <w:r w:rsidRPr="0097319A">
        <w:rPr>
          <w:rFonts w:ascii="Times New Roman" w:hAnsi="Times New Roman" w:cs="Times New Roman"/>
          <w:sz w:val="20"/>
        </w:rPr>
        <w:t xml:space="preserve"> </w:t>
      </w:r>
      <w:r w:rsidRPr="0097319A">
        <w:rPr>
          <w:rFonts w:ascii="Times New Roman" w:hAnsi="Times New Roman" w:cs="Times New Roman"/>
          <w:i/>
          <w:iCs/>
          <w:sz w:val="20"/>
        </w:rPr>
        <w:t>via</w:t>
      </w:r>
      <w:r w:rsidRPr="0097319A">
        <w:rPr>
          <w:rFonts w:ascii="Times New Roman" w:hAnsi="Times New Roman" w:cs="Times New Roman"/>
          <w:sz w:val="20"/>
        </w:rPr>
        <w:t xml:space="preserve"> CRISPR-Cas9 technology. (</w:t>
      </w:r>
      <w:r w:rsidRPr="0097319A">
        <w:rPr>
          <w:rFonts w:ascii="Times New Roman" w:hAnsi="Times New Roman" w:cs="Times New Roman"/>
          <w:i/>
          <w:iCs/>
          <w:sz w:val="20"/>
        </w:rPr>
        <w:t>B</w:t>
      </w:r>
      <w:r w:rsidRPr="0097319A">
        <w:rPr>
          <w:rFonts w:ascii="Times New Roman" w:hAnsi="Times New Roman" w:cs="Times New Roman"/>
          <w:sz w:val="20"/>
        </w:rPr>
        <w:t xml:space="preserve">) O48 cells with haploid genome and highly expressed mCherry were enriched through FACS after transfection, followed by single-cell expansion to obtain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35deG</w:t>
      </w:r>
      <w:r w:rsidRPr="0097319A">
        <w:rPr>
          <w:rFonts w:ascii="Times New Roman" w:hAnsi="Times New Roman" w:cs="Times New Roman"/>
          <w:sz w:val="20"/>
        </w:rPr>
        <w:t xml:space="preserv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235delC</w:t>
      </w:r>
      <w:r w:rsidRPr="0097319A">
        <w:rPr>
          <w:rFonts w:ascii="Times New Roman" w:hAnsi="Times New Roman" w:cs="Times New Roman"/>
          <w:sz w:val="20"/>
        </w:rPr>
        <w:t xml:space="preserve"> cell clones. (</w:t>
      </w:r>
      <w:r w:rsidRPr="0097319A">
        <w:rPr>
          <w:rFonts w:ascii="Times New Roman" w:hAnsi="Times New Roman" w:cs="Times New Roman"/>
          <w:i/>
          <w:iCs/>
          <w:sz w:val="20"/>
        </w:rPr>
        <w:t>C</w:t>
      </w:r>
      <w:r w:rsidRPr="0097319A">
        <w:rPr>
          <w:rFonts w:ascii="Times New Roman" w:hAnsi="Times New Roman" w:cs="Times New Roman"/>
          <w:sz w:val="20"/>
        </w:rPr>
        <w:t xml:space="preserve">) Images of cultured O48,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35deG</w:t>
      </w:r>
      <w:r w:rsidRPr="0097319A">
        <w:rPr>
          <w:rFonts w:ascii="Times New Roman" w:hAnsi="Times New Roman" w:cs="Times New Roman"/>
          <w:sz w:val="20"/>
        </w:rPr>
        <w:t xml:space="preserv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235delC</w:t>
      </w:r>
      <w:r w:rsidRPr="0097319A">
        <w:rPr>
          <w:rFonts w:ascii="Times New Roman" w:hAnsi="Times New Roman" w:cs="Times New Roman"/>
          <w:sz w:val="20"/>
        </w:rPr>
        <w:t xml:space="preserve"> haploid ESCs. Scale bar, 100 μm. (</w:t>
      </w:r>
      <w:r w:rsidRPr="0097319A">
        <w:rPr>
          <w:rFonts w:ascii="Times New Roman" w:hAnsi="Times New Roman" w:cs="Times New Roman"/>
          <w:i/>
          <w:iCs/>
          <w:sz w:val="20"/>
        </w:rPr>
        <w:t>D</w:t>
      </w:r>
      <w:r w:rsidRPr="0097319A">
        <w:rPr>
          <w:rFonts w:ascii="Times New Roman" w:hAnsi="Times New Roman" w:cs="Times New Roman"/>
          <w:sz w:val="20"/>
        </w:rPr>
        <w:t xml:space="preserve">) Representative Sanger sequencing results of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35deG</w:t>
      </w:r>
      <w:r w:rsidRPr="0097319A">
        <w:rPr>
          <w:rFonts w:ascii="Times New Roman" w:hAnsi="Times New Roman" w:cs="Times New Roman"/>
          <w:sz w:val="20"/>
        </w:rPr>
        <w:t xml:space="preserv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235delC</w:t>
      </w:r>
      <w:r w:rsidRPr="0097319A">
        <w:rPr>
          <w:rFonts w:ascii="Times New Roman" w:hAnsi="Times New Roman" w:cs="Times New Roman"/>
          <w:sz w:val="20"/>
        </w:rPr>
        <w:t xml:space="preserve"> haploid ESCs.</w:t>
      </w:r>
    </w:p>
    <w:p w14:paraId="3E442A6F" w14:textId="77777777" w:rsidR="009F6D14" w:rsidRPr="00DC79C5" w:rsidRDefault="009F6D14" w:rsidP="009F6D14">
      <w:pPr>
        <w:spacing w:line="360" w:lineRule="auto"/>
        <w:rPr>
          <w:rFonts w:ascii="Times New Roman" w:hAnsi="Times New Roman" w:cs="Times New Roman"/>
          <w:sz w:val="20"/>
        </w:rPr>
      </w:pPr>
    </w:p>
    <w:p w14:paraId="581CB76B" w14:textId="77777777" w:rsidR="009F6D14" w:rsidRPr="00DC79C5" w:rsidRDefault="009F6D14" w:rsidP="009F6D14">
      <w:pPr>
        <w:spacing w:line="360" w:lineRule="auto"/>
        <w:rPr>
          <w:rFonts w:ascii="Times New Roman" w:hAnsi="Times New Roman" w:cs="Times New Roman"/>
          <w:sz w:val="20"/>
        </w:rPr>
      </w:pPr>
      <w:r w:rsidRPr="00DC79C5">
        <w:rPr>
          <w:noProof/>
        </w:rPr>
        <w:lastRenderedPageBreak/>
        <w:drawing>
          <wp:inline distT="0" distB="0" distL="0" distR="0" wp14:anchorId="435FDBDF" wp14:editId="4F82CB88">
            <wp:extent cx="5274310" cy="4146550"/>
            <wp:effectExtent l="0" t="0" r="254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146550"/>
                    </a:xfrm>
                    <a:prstGeom prst="rect">
                      <a:avLst/>
                    </a:prstGeom>
                    <a:noFill/>
                    <a:ln>
                      <a:noFill/>
                    </a:ln>
                  </pic:spPr>
                </pic:pic>
              </a:graphicData>
            </a:graphic>
          </wp:inline>
        </w:drawing>
      </w:r>
    </w:p>
    <w:p w14:paraId="60B56E91" w14:textId="77777777" w:rsidR="009F6D14" w:rsidRPr="0097319A" w:rsidRDefault="009F6D14" w:rsidP="009F6D14">
      <w:pPr>
        <w:spacing w:line="360" w:lineRule="auto"/>
        <w:rPr>
          <w:rFonts w:ascii="Times New Roman" w:hAnsi="Times New Roman" w:cs="Times New Roman"/>
          <w:sz w:val="20"/>
        </w:rPr>
      </w:pPr>
      <w:r w:rsidRPr="00DC79C5">
        <w:rPr>
          <w:rFonts w:ascii="Times New Roman" w:hAnsi="Times New Roman" w:cs="Times New Roman"/>
          <w:b/>
          <w:bCs/>
          <w:sz w:val="20"/>
        </w:rPr>
        <w:t>Figure S3.</w:t>
      </w:r>
      <w:r w:rsidRPr="00DC79C5">
        <w:rPr>
          <w:rFonts w:ascii="Times New Roman" w:hAnsi="Times New Roman" w:cs="Times New Roman"/>
          <w:sz w:val="20"/>
        </w:rPr>
        <w:t xml:space="preserve"> </w:t>
      </w:r>
      <w:r w:rsidRPr="00DC79C5">
        <w:rPr>
          <w:rFonts w:ascii="Times New Roman" w:hAnsi="Times New Roman" w:cs="Times New Roman"/>
          <w:b/>
          <w:bCs/>
          <w:sz w:val="20"/>
        </w:rPr>
        <w:t>35delG and 235delC heterozygous mice showed normal growth but homozygous lethality.</w:t>
      </w:r>
      <w:r w:rsidRPr="0097319A">
        <w:rPr>
          <w:rFonts w:ascii="Times New Roman" w:hAnsi="Times New Roman" w:cs="Times New Roman" w:hint="eastAsia"/>
          <w:sz w:val="20"/>
        </w:rPr>
        <w:t xml:space="preserve"> </w:t>
      </w:r>
      <w:r w:rsidRPr="0097319A">
        <w:rPr>
          <w:rFonts w:ascii="Times New Roman" w:hAnsi="Times New Roman" w:cs="Times New Roman"/>
          <w:sz w:val="20"/>
        </w:rPr>
        <w:t>(</w:t>
      </w:r>
      <w:r w:rsidRPr="0097319A">
        <w:rPr>
          <w:rFonts w:ascii="Times New Roman" w:hAnsi="Times New Roman" w:cs="Times New Roman"/>
          <w:i/>
          <w:iCs/>
          <w:sz w:val="20"/>
        </w:rPr>
        <w:t>A</w:t>
      </w:r>
      <w:r w:rsidRPr="0097319A">
        <w:rPr>
          <w:rFonts w:ascii="Times New Roman" w:hAnsi="Times New Roman" w:cs="Times New Roman"/>
          <w:sz w:val="20"/>
        </w:rPr>
        <w:t xml:space="preserve">) Schematic diagram of backcrossing of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+/35deG</w:t>
      </w:r>
      <w:r w:rsidRPr="0097319A">
        <w:rPr>
          <w:rFonts w:ascii="Times New Roman" w:hAnsi="Times New Roman" w:cs="Times New Roman"/>
          <w:sz w:val="20"/>
        </w:rPr>
        <w:t xml:space="preserv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+/235delC</w:t>
      </w:r>
      <w:r w:rsidRPr="0097319A">
        <w:rPr>
          <w:rFonts w:ascii="Times New Roman" w:hAnsi="Times New Roman" w:cs="Times New Roman"/>
          <w:i/>
          <w:iCs/>
          <w:sz w:val="20"/>
        </w:rPr>
        <w:t xml:space="preserve"> </w:t>
      </w:r>
      <w:r w:rsidRPr="0097319A">
        <w:rPr>
          <w:rFonts w:ascii="Times New Roman" w:hAnsi="Times New Roman" w:cs="Times New Roman"/>
          <w:sz w:val="20"/>
        </w:rPr>
        <w:t>F0 mice with C57BL/6J mice to generate the F2 to F10 mice. (</w:t>
      </w:r>
      <w:r w:rsidRPr="0097319A">
        <w:rPr>
          <w:rFonts w:ascii="Times New Roman" w:hAnsi="Times New Roman" w:cs="Times New Roman"/>
          <w:i/>
          <w:iCs/>
          <w:sz w:val="20"/>
        </w:rPr>
        <w:t>B</w:t>
      </w:r>
      <w:r w:rsidRPr="0097319A">
        <w:rPr>
          <w:rFonts w:ascii="Times New Roman" w:hAnsi="Times New Roman" w:cs="Times New Roman"/>
          <w:sz w:val="20"/>
        </w:rPr>
        <w:t xml:space="preserve">) Genotyping of </w:t>
      </w:r>
      <w:r w:rsidRPr="0097319A">
        <w:rPr>
          <w:rFonts w:ascii="Times New Roman" w:hAnsi="Times New Roman" w:cs="Times New Roman"/>
          <w:i/>
          <w:iCs/>
          <w:sz w:val="20"/>
        </w:rPr>
        <w:t>H19</w:t>
      </w:r>
      <w:r w:rsidRPr="0097319A">
        <w:rPr>
          <w:rFonts w:ascii="Times New Roman" w:hAnsi="Times New Roman" w:cs="Times New Roman"/>
          <w:sz w:val="20"/>
        </w:rPr>
        <w:t xml:space="preserve">-DMR and </w:t>
      </w:r>
      <w:r w:rsidRPr="0097319A">
        <w:rPr>
          <w:rFonts w:ascii="Times New Roman" w:hAnsi="Times New Roman" w:cs="Times New Roman"/>
          <w:i/>
          <w:iCs/>
          <w:sz w:val="20"/>
        </w:rPr>
        <w:t>IG</w:t>
      </w:r>
      <w:r w:rsidRPr="0097319A">
        <w:rPr>
          <w:rFonts w:ascii="Times New Roman" w:hAnsi="Times New Roman" w:cs="Times New Roman"/>
          <w:sz w:val="20"/>
        </w:rPr>
        <w:t xml:space="preserve">-DMR in the offspring of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+/35deG</w:t>
      </w:r>
      <w:r w:rsidRPr="0097319A" w:rsidDel="00960E98">
        <w:rPr>
          <w:rFonts w:ascii="Times New Roman" w:hAnsi="Times New Roman" w:cs="Times New Roman"/>
          <w:i/>
          <w:iCs/>
          <w:sz w:val="20"/>
        </w:rPr>
        <w:t xml:space="preserve"> </w:t>
      </w:r>
      <w:r w:rsidRPr="0097319A">
        <w:rPr>
          <w:rFonts w:ascii="Times New Roman" w:hAnsi="Times New Roman" w:cs="Times New Roman"/>
          <w:sz w:val="20"/>
        </w:rPr>
        <w:t xml:space="preserve">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+/235delC</w:t>
      </w:r>
      <w:r w:rsidRPr="0097319A" w:rsidDel="00960E98">
        <w:rPr>
          <w:rFonts w:ascii="Times New Roman" w:hAnsi="Times New Roman" w:cs="Times New Roman"/>
          <w:i/>
          <w:iCs/>
          <w:sz w:val="20"/>
        </w:rPr>
        <w:t xml:space="preserve"> </w:t>
      </w:r>
      <w:r w:rsidRPr="0097319A">
        <w:rPr>
          <w:rFonts w:ascii="Times New Roman" w:hAnsi="Times New Roman" w:cs="Times New Roman"/>
          <w:sz w:val="20"/>
        </w:rPr>
        <w:t xml:space="preserve">mice. Mice with </w:t>
      </w:r>
      <w:r w:rsidRPr="0097319A">
        <w:rPr>
          <w:rFonts w:ascii="Times New Roman" w:hAnsi="Times New Roman" w:cs="Times New Roman"/>
          <w:i/>
          <w:iCs/>
          <w:sz w:val="20"/>
        </w:rPr>
        <w:t>H19</w:t>
      </w:r>
      <w:r w:rsidRPr="0097319A">
        <w:rPr>
          <w:rFonts w:ascii="Times New Roman" w:hAnsi="Times New Roman" w:cs="Times New Roman"/>
          <w:sz w:val="20"/>
        </w:rPr>
        <w:t xml:space="preserve">-DMR or </w:t>
      </w:r>
      <w:r w:rsidRPr="0097319A">
        <w:rPr>
          <w:rFonts w:ascii="Times New Roman" w:hAnsi="Times New Roman" w:cs="Times New Roman"/>
          <w:i/>
          <w:iCs/>
          <w:sz w:val="20"/>
        </w:rPr>
        <w:t>IG</w:t>
      </w:r>
      <w:r w:rsidRPr="0097319A">
        <w:rPr>
          <w:rFonts w:ascii="Times New Roman" w:hAnsi="Times New Roman" w:cs="Times New Roman"/>
          <w:sz w:val="20"/>
        </w:rPr>
        <w:t>-DMR deletion were abandoned in the F2 generation. (</w:t>
      </w:r>
      <w:r w:rsidRPr="0097319A">
        <w:rPr>
          <w:rFonts w:ascii="Times New Roman" w:hAnsi="Times New Roman" w:cs="Times New Roman"/>
          <w:i/>
          <w:iCs/>
          <w:sz w:val="20"/>
        </w:rPr>
        <w:t>C</w:t>
      </w:r>
      <w:r w:rsidRPr="0097319A">
        <w:rPr>
          <w:rFonts w:ascii="Times New Roman" w:hAnsi="Times New Roman" w:cs="Times New Roman"/>
          <w:sz w:val="20"/>
        </w:rPr>
        <w:t xml:space="preserve">) Representative images (left) and body weight (right) of wild-type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+/35delG</w:t>
      </w:r>
      <w:r w:rsidRPr="0097319A">
        <w:rPr>
          <w:rFonts w:ascii="Times New Roman" w:hAnsi="Times New Roman" w:cs="Times New Roman"/>
          <w:i/>
          <w:iCs/>
          <w:sz w:val="20"/>
        </w:rPr>
        <w:t xml:space="preserve"> </w:t>
      </w:r>
      <w:r w:rsidRPr="0097319A">
        <w:rPr>
          <w:rFonts w:ascii="Times New Roman" w:hAnsi="Times New Roman" w:cs="Times New Roman"/>
          <w:sz w:val="20"/>
        </w:rPr>
        <w:t>males at 8 weeks of age. (</w:t>
      </w:r>
      <w:r w:rsidRPr="0097319A">
        <w:rPr>
          <w:rFonts w:ascii="Times New Roman" w:hAnsi="Times New Roman" w:cs="Times New Roman"/>
          <w:i/>
          <w:iCs/>
          <w:sz w:val="20"/>
        </w:rPr>
        <w:t>D</w:t>
      </w:r>
      <w:r w:rsidRPr="0097319A">
        <w:rPr>
          <w:rFonts w:ascii="Times New Roman" w:hAnsi="Times New Roman" w:cs="Times New Roman"/>
          <w:sz w:val="20"/>
        </w:rPr>
        <w:t xml:space="preserve">) Representative images (left) and body weight (right) of wild-type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+/235delC</w:t>
      </w:r>
      <w:r w:rsidRPr="0097319A">
        <w:rPr>
          <w:rFonts w:ascii="Times New Roman" w:hAnsi="Times New Roman" w:cs="Times New Roman"/>
          <w:i/>
          <w:iCs/>
          <w:sz w:val="20"/>
        </w:rPr>
        <w:t xml:space="preserve"> </w:t>
      </w:r>
      <w:r w:rsidRPr="0097319A">
        <w:rPr>
          <w:rFonts w:ascii="Times New Roman" w:hAnsi="Times New Roman" w:cs="Times New Roman"/>
          <w:sz w:val="20"/>
        </w:rPr>
        <w:t xml:space="preserve">males at 8 weeks of age. </w:t>
      </w:r>
      <w:r w:rsidRPr="0097319A">
        <w:rPr>
          <w:rFonts w:ascii="Times New Roman" w:hAnsi="Times New Roman" w:cs="Times New Roman"/>
          <w:color w:val="000000" w:themeColor="text1"/>
          <w:sz w:val="20"/>
        </w:rPr>
        <w:t>Data are the mean ± s.e.m of the indicated biological replicates in</w:t>
      </w:r>
      <w:r w:rsidRPr="0097319A">
        <w:rPr>
          <w:rFonts w:ascii="Times New Roman" w:hAnsi="Times New Roman" w:cs="Times New Roman"/>
          <w:sz w:val="20"/>
        </w:rPr>
        <w:t xml:space="preserve"> (</w:t>
      </w:r>
      <w:r w:rsidRPr="006A10A1">
        <w:rPr>
          <w:rFonts w:ascii="Times New Roman" w:hAnsi="Times New Roman" w:cs="Times New Roman"/>
          <w:i/>
          <w:iCs/>
          <w:sz w:val="20"/>
        </w:rPr>
        <w:t>C</w:t>
      </w:r>
      <w:r w:rsidRPr="0097319A">
        <w:rPr>
          <w:rFonts w:ascii="Times New Roman" w:hAnsi="Times New Roman" w:cs="Times New Roman"/>
          <w:sz w:val="20"/>
        </w:rPr>
        <w:t>) and (</w:t>
      </w:r>
      <w:r w:rsidRPr="006A10A1">
        <w:rPr>
          <w:rFonts w:ascii="Times New Roman" w:hAnsi="Times New Roman" w:cs="Times New Roman"/>
          <w:i/>
          <w:iCs/>
          <w:sz w:val="20"/>
        </w:rPr>
        <w:t>D</w:t>
      </w:r>
      <w:r w:rsidRPr="0097319A">
        <w:rPr>
          <w:rFonts w:ascii="Times New Roman" w:hAnsi="Times New Roman" w:cs="Times New Roman"/>
          <w:sz w:val="20"/>
        </w:rPr>
        <w:t>).</w:t>
      </w:r>
      <w:r w:rsidRPr="0097319A">
        <w:rPr>
          <w:rFonts w:ascii="Times New Roman" w:hAnsi="Times New Roman" w:cs="Times New Roman"/>
          <w:color w:val="000000" w:themeColor="text1"/>
          <w:sz w:val="20"/>
        </w:rPr>
        <w:t xml:space="preserve"> n.s, no significance.</w:t>
      </w:r>
      <w:r w:rsidRPr="0097319A">
        <w:rPr>
          <w:rFonts w:ascii="Times New Roman" w:hAnsi="Times New Roman" w:cs="Times New Roman"/>
          <w:sz w:val="20"/>
        </w:rPr>
        <w:t xml:space="preserve"> (</w:t>
      </w:r>
      <w:r w:rsidRPr="0097319A">
        <w:rPr>
          <w:rFonts w:ascii="Times New Roman" w:hAnsi="Times New Roman" w:cs="Times New Roman"/>
          <w:i/>
          <w:iCs/>
          <w:sz w:val="20"/>
        </w:rPr>
        <w:t>E</w:t>
      </w:r>
      <w:r w:rsidRPr="0097319A">
        <w:rPr>
          <w:rFonts w:ascii="Times New Roman" w:hAnsi="Times New Roman" w:cs="Times New Roman"/>
          <w:sz w:val="20"/>
        </w:rPr>
        <w:t xml:space="preserve">) Summary of the genotypes of offspring of 35delG and 235delC heterozygotes. The absence of homozygotes indicated the homozygous lethality of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35delG/35delG</w:t>
      </w:r>
      <w:r w:rsidRPr="0097319A">
        <w:rPr>
          <w:rFonts w:ascii="Times New Roman" w:hAnsi="Times New Roman" w:cs="Times New Roman"/>
          <w:sz w:val="20"/>
        </w:rPr>
        <w:t xml:space="preserv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235delC/235delC</w:t>
      </w:r>
      <w:r w:rsidRPr="0097319A">
        <w:rPr>
          <w:rFonts w:ascii="Times New Roman" w:hAnsi="Times New Roman" w:cs="Times New Roman"/>
          <w:sz w:val="20"/>
        </w:rPr>
        <w:t>.</w:t>
      </w:r>
    </w:p>
    <w:p w14:paraId="2B5FA3B1" w14:textId="77777777" w:rsidR="009F6D14" w:rsidRPr="00DC79C5" w:rsidRDefault="009F6D14" w:rsidP="009F6D14">
      <w:pPr>
        <w:spacing w:line="360" w:lineRule="auto"/>
        <w:rPr>
          <w:rFonts w:ascii="Times New Roman" w:hAnsi="Times New Roman" w:cs="Times New Roman"/>
          <w:sz w:val="20"/>
        </w:rPr>
      </w:pPr>
      <w:r w:rsidRPr="00DC79C5">
        <w:rPr>
          <w:rFonts w:ascii="Times New Roman" w:hAnsi="Times New Roman" w:cs="Times New Roman"/>
          <w:noProof/>
        </w:rPr>
        <w:lastRenderedPageBreak/>
        <w:drawing>
          <wp:inline distT="0" distB="0" distL="0" distR="0" wp14:anchorId="67C71238" wp14:editId="5B12EB2C">
            <wp:extent cx="5486400" cy="25463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2546350"/>
                    </a:xfrm>
                    <a:prstGeom prst="rect">
                      <a:avLst/>
                    </a:prstGeom>
                    <a:noFill/>
                    <a:ln>
                      <a:noFill/>
                    </a:ln>
                  </pic:spPr>
                </pic:pic>
              </a:graphicData>
            </a:graphic>
          </wp:inline>
        </w:drawing>
      </w:r>
    </w:p>
    <w:p w14:paraId="0F17902D" w14:textId="77777777" w:rsidR="009F6D14" w:rsidRPr="0097319A" w:rsidRDefault="009F6D14" w:rsidP="009F6D14">
      <w:pPr>
        <w:spacing w:line="360" w:lineRule="auto"/>
        <w:rPr>
          <w:rFonts w:ascii="Times New Roman" w:hAnsi="Times New Roman" w:cs="Times New Roman"/>
          <w:sz w:val="20"/>
        </w:rPr>
      </w:pPr>
      <w:r w:rsidRPr="00DC79C5">
        <w:rPr>
          <w:rFonts w:ascii="Times New Roman" w:hAnsi="Times New Roman" w:cs="Times New Roman"/>
          <w:b/>
          <w:bCs/>
          <w:sz w:val="20"/>
        </w:rPr>
        <w:t xml:space="preserve">Figure S4. The derivation of the ESC line carrying homozygous 35delG in </w:t>
      </w:r>
      <w:r w:rsidRPr="00DC79C5">
        <w:rPr>
          <w:rFonts w:ascii="Times New Roman" w:hAnsi="Times New Roman" w:cs="Times New Roman"/>
          <w:b/>
          <w:bCs/>
          <w:i/>
          <w:iCs/>
          <w:sz w:val="20"/>
        </w:rPr>
        <w:t>Gjb2</w:t>
      </w:r>
      <w:r w:rsidRPr="00DC79C5">
        <w:rPr>
          <w:rFonts w:ascii="Times New Roman" w:hAnsi="Times New Roman" w:cs="Times New Roman"/>
          <w:b/>
          <w:bCs/>
          <w:sz w:val="20"/>
        </w:rPr>
        <w:t>.</w:t>
      </w:r>
      <w:r>
        <w:rPr>
          <w:rFonts w:ascii="Times New Roman" w:hAnsi="Times New Roman" w:cs="Times New Roman" w:hint="eastAsia"/>
          <w:sz w:val="20"/>
        </w:rPr>
        <w:t xml:space="preserve"> </w:t>
      </w:r>
      <w:r w:rsidRPr="0097319A">
        <w:rPr>
          <w:rFonts w:ascii="Times New Roman" w:hAnsi="Times New Roman" w:cs="Times New Roman"/>
          <w:sz w:val="20"/>
        </w:rPr>
        <w:t>(</w:t>
      </w:r>
      <w:r w:rsidRPr="0097319A">
        <w:rPr>
          <w:rFonts w:ascii="Times New Roman" w:hAnsi="Times New Roman" w:cs="Times New Roman"/>
          <w:i/>
          <w:iCs/>
          <w:sz w:val="20"/>
        </w:rPr>
        <w:t>A</w:t>
      </w:r>
      <w:r w:rsidRPr="0097319A">
        <w:rPr>
          <w:rFonts w:ascii="Times New Roman" w:hAnsi="Times New Roman" w:cs="Times New Roman"/>
          <w:sz w:val="20"/>
        </w:rPr>
        <w:t>)</w:t>
      </w:r>
      <w:r w:rsidRPr="0097319A">
        <w:rPr>
          <w:rFonts w:ascii="Times New Roman" w:hAnsi="Times New Roman" w:cs="Times New Roman"/>
          <w:color w:val="000000"/>
          <w:sz w:val="20"/>
        </w:rPr>
        <w:t xml:space="preserve"> </w:t>
      </w:r>
      <w:r w:rsidRPr="0097319A">
        <w:rPr>
          <w:rFonts w:ascii="Times New Roman" w:hAnsi="Times New Roman" w:cs="Times New Roman"/>
          <w:sz w:val="20"/>
        </w:rPr>
        <w:t xml:space="preserve">Schematic diagram of the generation of </w:t>
      </w:r>
      <w:r w:rsidRPr="0097319A">
        <w:rPr>
          <w:rFonts w:ascii="Times New Roman" w:hAnsi="Times New Roman" w:cs="Times New Roman"/>
          <w:i/>
          <w:iCs/>
          <w:sz w:val="20"/>
        </w:rPr>
        <w:t>Gjb2</w:t>
      </w:r>
      <w:r w:rsidRPr="0097319A">
        <w:rPr>
          <w:rFonts w:ascii="Times New Roman" w:hAnsi="Times New Roman" w:cs="Times New Roman"/>
          <w:sz w:val="20"/>
        </w:rPr>
        <w:t xml:space="preserve"> 35delG homozygous ESCs from blastocysts (created in </w:t>
      </w:r>
      <w:hyperlink r:id="rId12" w:history="1">
        <w:r w:rsidRPr="0097319A">
          <w:rPr>
            <w:rFonts w:ascii="Times New Roman" w:hAnsi="Times New Roman" w:cs="Times New Roman"/>
            <w:sz w:val="20"/>
          </w:rPr>
          <w:t>BioRender.com</w:t>
        </w:r>
      </w:hyperlink>
      <w:r w:rsidRPr="0097319A">
        <w:rPr>
          <w:rFonts w:ascii="Times New Roman" w:hAnsi="Times New Roman" w:cs="Times New Roman"/>
          <w:sz w:val="20"/>
        </w:rPr>
        <w:t>). (</w:t>
      </w:r>
      <w:r w:rsidRPr="0097319A">
        <w:rPr>
          <w:rFonts w:ascii="Times New Roman" w:hAnsi="Times New Roman" w:cs="Times New Roman"/>
          <w:i/>
          <w:iCs/>
          <w:sz w:val="20"/>
        </w:rPr>
        <w:t>B</w:t>
      </w:r>
      <w:r w:rsidRPr="0097319A">
        <w:rPr>
          <w:rFonts w:ascii="Times New Roman" w:hAnsi="Times New Roman" w:cs="Times New Roman"/>
          <w:sz w:val="20"/>
        </w:rPr>
        <w:t xml:space="preserve">) Cell morphology of cultured wild-type,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+/35delG</w:t>
      </w:r>
      <w:r w:rsidRPr="0097319A">
        <w:rPr>
          <w:rFonts w:ascii="Times New Roman" w:hAnsi="Times New Roman" w:cs="Times New Roman"/>
          <w:sz w:val="20"/>
        </w:rPr>
        <w:t>, and</w:t>
      </w:r>
      <w:r w:rsidRPr="0097319A">
        <w:rPr>
          <w:rFonts w:ascii="Times New Roman" w:hAnsi="Times New Roman" w:cs="Times New Roman"/>
          <w:i/>
          <w:iCs/>
          <w:sz w:val="20"/>
        </w:rPr>
        <w:t xml:space="preserve"> Gjb2</w:t>
      </w:r>
      <w:r w:rsidRPr="0097319A">
        <w:rPr>
          <w:rFonts w:ascii="Times New Roman" w:hAnsi="Times New Roman" w:cs="Times New Roman"/>
          <w:i/>
          <w:iCs/>
          <w:sz w:val="20"/>
          <w:vertAlign w:val="superscript"/>
        </w:rPr>
        <w:t>35delG /35delG</w:t>
      </w:r>
      <w:r w:rsidRPr="0097319A">
        <w:rPr>
          <w:rFonts w:ascii="Times New Roman" w:hAnsi="Times New Roman" w:cs="Times New Roman"/>
          <w:sz w:val="20"/>
        </w:rPr>
        <w:t xml:space="preserve"> ESCs at passage 0 (P0) and P6. Scale bar, 100 μm. (</w:t>
      </w:r>
      <w:r w:rsidRPr="0097319A">
        <w:rPr>
          <w:rFonts w:ascii="Times New Roman" w:hAnsi="Times New Roman" w:cs="Times New Roman"/>
          <w:i/>
          <w:iCs/>
          <w:sz w:val="20"/>
        </w:rPr>
        <w:t>C</w:t>
      </w:r>
      <w:r w:rsidRPr="0097319A">
        <w:rPr>
          <w:rFonts w:ascii="Times New Roman" w:hAnsi="Times New Roman" w:cs="Times New Roman"/>
          <w:sz w:val="20"/>
        </w:rPr>
        <w:t>) Representative Sanger sequencing results of Gjb2</w:t>
      </w:r>
      <w:r w:rsidRPr="0097319A">
        <w:rPr>
          <w:rFonts w:ascii="Times New Roman" w:hAnsi="Times New Roman" w:cs="Times New Roman"/>
          <w:sz w:val="20"/>
          <w:vertAlign w:val="superscript"/>
        </w:rPr>
        <w:t>+/35deG</w:t>
      </w:r>
      <w:r w:rsidRPr="0097319A">
        <w:rPr>
          <w:rFonts w:ascii="Times New Roman" w:hAnsi="Times New Roman" w:cs="Times New Roman"/>
          <w:sz w:val="20"/>
        </w:rPr>
        <w:t xml:space="preserve"> and</w:t>
      </w:r>
      <w:r w:rsidRPr="0097319A">
        <w:rPr>
          <w:rFonts w:ascii="Times New Roman" w:hAnsi="Times New Roman" w:cs="Times New Roman"/>
          <w:i/>
          <w:iCs/>
          <w:sz w:val="20"/>
        </w:rPr>
        <w:t xml:space="preserve"> Gjb2</w:t>
      </w:r>
      <w:r w:rsidRPr="0097319A">
        <w:rPr>
          <w:rFonts w:ascii="Times New Roman" w:hAnsi="Times New Roman" w:cs="Times New Roman"/>
          <w:i/>
          <w:iCs/>
          <w:sz w:val="20"/>
          <w:vertAlign w:val="superscript"/>
        </w:rPr>
        <w:t>35delG /35delG</w:t>
      </w:r>
      <w:r w:rsidRPr="0097319A">
        <w:rPr>
          <w:rFonts w:ascii="Times New Roman" w:hAnsi="Times New Roman" w:cs="Times New Roman"/>
          <w:sz w:val="20"/>
        </w:rPr>
        <w:t xml:space="preserve"> ESCs.</w:t>
      </w:r>
    </w:p>
    <w:p w14:paraId="1602BDC8" w14:textId="77777777" w:rsidR="009F6D14" w:rsidRPr="00DC79C5" w:rsidRDefault="009F6D14" w:rsidP="009F6D14">
      <w:pPr>
        <w:spacing w:line="360" w:lineRule="auto"/>
        <w:rPr>
          <w:rFonts w:ascii="Times New Roman" w:hAnsi="Times New Roman" w:cs="Times New Roman"/>
          <w:b/>
          <w:bCs/>
          <w:sz w:val="20"/>
        </w:rPr>
      </w:pPr>
    </w:p>
    <w:p w14:paraId="02375450" w14:textId="77777777" w:rsidR="009F6D14" w:rsidRPr="00DC79C5" w:rsidRDefault="009F6D14" w:rsidP="009F6D14">
      <w:pPr>
        <w:spacing w:line="360" w:lineRule="auto"/>
        <w:rPr>
          <w:rFonts w:ascii="Times New Roman" w:hAnsi="Times New Roman" w:cs="Times New Roman"/>
          <w:b/>
          <w:bCs/>
          <w:sz w:val="20"/>
        </w:rPr>
      </w:pPr>
    </w:p>
    <w:p w14:paraId="1FAA2C73" w14:textId="77777777" w:rsidR="009F6D14" w:rsidRPr="00DC79C5" w:rsidRDefault="009F6D14" w:rsidP="009F6D14">
      <w:pPr>
        <w:spacing w:line="360" w:lineRule="auto"/>
        <w:rPr>
          <w:rFonts w:ascii="Times New Roman" w:hAnsi="Times New Roman" w:cs="Times New Roman"/>
          <w:b/>
          <w:bCs/>
          <w:sz w:val="20"/>
        </w:rPr>
      </w:pPr>
      <w:r w:rsidRPr="00DC79C5">
        <w:rPr>
          <w:rFonts w:ascii="Times New Roman" w:hAnsi="Times New Roman" w:cs="Times New Roman"/>
          <w:noProof/>
        </w:rPr>
        <w:drawing>
          <wp:inline distT="0" distB="0" distL="0" distR="0" wp14:anchorId="7FD4E859" wp14:editId="25E297B8">
            <wp:extent cx="5455285" cy="1499235"/>
            <wp:effectExtent l="0" t="0" r="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5285" cy="1499235"/>
                    </a:xfrm>
                    <a:prstGeom prst="rect">
                      <a:avLst/>
                    </a:prstGeom>
                    <a:noFill/>
                    <a:ln>
                      <a:noFill/>
                    </a:ln>
                  </pic:spPr>
                </pic:pic>
              </a:graphicData>
            </a:graphic>
          </wp:inline>
        </w:drawing>
      </w:r>
    </w:p>
    <w:p w14:paraId="5E77F1C6" w14:textId="77777777" w:rsidR="009F6D14" w:rsidRPr="00DC79C5" w:rsidRDefault="009F6D14" w:rsidP="009F6D14">
      <w:pPr>
        <w:spacing w:line="360" w:lineRule="auto"/>
        <w:rPr>
          <w:rFonts w:ascii="Times New Roman" w:hAnsi="Times New Roman" w:cs="Times New Roman"/>
          <w:sz w:val="20"/>
        </w:rPr>
      </w:pPr>
      <w:r w:rsidRPr="00DC79C5">
        <w:rPr>
          <w:rFonts w:ascii="Times New Roman" w:hAnsi="Times New Roman" w:cs="Times New Roman"/>
          <w:b/>
          <w:bCs/>
          <w:sz w:val="20"/>
        </w:rPr>
        <w:t>Figure S5.</w:t>
      </w:r>
      <w:r w:rsidRPr="00DC79C5">
        <w:rPr>
          <w:rFonts w:ascii="Times New Roman" w:hAnsi="Times New Roman" w:cs="Times New Roman"/>
          <w:sz w:val="20"/>
        </w:rPr>
        <w:t xml:space="preserve"> </w:t>
      </w:r>
      <w:r w:rsidRPr="00DC79C5">
        <w:rPr>
          <w:rFonts w:ascii="Times New Roman" w:hAnsi="Times New Roman" w:cs="Times New Roman"/>
          <w:b/>
          <w:bCs/>
          <w:sz w:val="20"/>
        </w:rPr>
        <w:t>35delG homozygous mice showed normal growth at P35</w:t>
      </w:r>
      <w:r w:rsidRPr="00DC79C5">
        <w:rPr>
          <w:rFonts w:ascii="Times New Roman" w:hAnsi="Times New Roman" w:cs="Times New Roman"/>
          <w:sz w:val="20"/>
        </w:rPr>
        <w:t>.</w:t>
      </w:r>
      <w:r w:rsidRPr="0097319A">
        <w:rPr>
          <w:rFonts w:ascii="Times New Roman" w:hAnsi="Times New Roman" w:cs="Times New Roman" w:hint="eastAsia"/>
          <w:sz w:val="20"/>
        </w:rPr>
        <w:t xml:space="preserve"> </w:t>
      </w:r>
      <w:r w:rsidRPr="0097319A">
        <w:rPr>
          <w:rFonts w:ascii="Times New Roman" w:hAnsi="Times New Roman" w:cs="Times New Roman"/>
          <w:sz w:val="20"/>
        </w:rPr>
        <w:t>(</w:t>
      </w:r>
      <w:r w:rsidRPr="0097319A">
        <w:rPr>
          <w:rFonts w:ascii="Times New Roman" w:hAnsi="Times New Roman" w:cs="Times New Roman"/>
          <w:i/>
          <w:iCs/>
          <w:sz w:val="20"/>
        </w:rPr>
        <w:t>A</w:t>
      </w:r>
      <w:r w:rsidRPr="0097319A">
        <w:rPr>
          <w:rFonts w:ascii="Times New Roman" w:hAnsi="Times New Roman" w:cs="Times New Roman"/>
          <w:sz w:val="20"/>
        </w:rPr>
        <w:t xml:space="preserve">) Representative images of wild-type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35delG/35delG</w:t>
      </w:r>
      <w:r w:rsidRPr="0097319A">
        <w:rPr>
          <w:rFonts w:ascii="Times New Roman" w:hAnsi="Times New Roman" w:cs="Times New Roman"/>
          <w:i/>
          <w:iCs/>
          <w:sz w:val="20"/>
        </w:rPr>
        <w:t xml:space="preserve"> </w:t>
      </w:r>
      <w:r w:rsidRPr="0097319A">
        <w:rPr>
          <w:rFonts w:ascii="Times New Roman" w:hAnsi="Times New Roman" w:cs="Times New Roman"/>
          <w:sz w:val="20"/>
        </w:rPr>
        <w:t>males at P35. (</w:t>
      </w:r>
      <w:r w:rsidRPr="0097319A">
        <w:rPr>
          <w:rFonts w:ascii="Times New Roman" w:hAnsi="Times New Roman" w:cs="Times New Roman"/>
          <w:i/>
          <w:iCs/>
          <w:sz w:val="20"/>
        </w:rPr>
        <w:t>B</w:t>
      </w:r>
      <w:r w:rsidRPr="0097319A">
        <w:rPr>
          <w:rFonts w:ascii="Times New Roman" w:hAnsi="Times New Roman" w:cs="Times New Roman"/>
          <w:sz w:val="20"/>
        </w:rPr>
        <w:t xml:space="preserve">) The body weight of wild-type and </w:t>
      </w:r>
      <w:r w:rsidRPr="0097319A">
        <w:rPr>
          <w:rFonts w:ascii="Times New Roman" w:hAnsi="Times New Roman" w:cs="Times New Roman"/>
          <w:i/>
          <w:iCs/>
          <w:sz w:val="20"/>
        </w:rPr>
        <w:t>Gjb2</w:t>
      </w:r>
      <w:r w:rsidRPr="0097319A">
        <w:rPr>
          <w:rFonts w:ascii="Times New Roman" w:hAnsi="Times New Roman" w:cs="Times New Roman"/>
          <w:i/>
          <w:iCs/>
          <w:sz w:val="20"/>
          <w:vertAlign w:val="superscript"/>
        </w:rPr>
        <w:t>35del</w:t>
      </w:r>
      <w:r w:rsidRPr="0097319A">
        <w:rPr>
          <w:rFonts w:ascii="Times New Roman" w:hAnsi="Times New Roman" w:cs="Times New Roman" w:hint="eastAsia"/>
          <w:i/>
          <w:iCs/>
          <w:sz w:val="20"/>
          <w:vertAlign w:val="superscript"/>
        </w:rPr>
        <w:t>G</w:t>
      </w:r>
      <w:r w:rsidRPr="0097319A">
        <w:rPr>
          <w:rFonts w:ascii="Times New Roman" w:hAnsi="Times New Roman" w:cs="Times New Roman"/>
          <w:i/>
          <w:iCs/>
          <w:sz w:val="20"/>
          <w:vertAlign w:val="superscript"/>
        </w:rPr>
        <w:t>/35delG</w:t>
      </w:r>
      <w:r w:rsidRPr="0097319A">
        <w:rPr>
          <w:rFonts w:ascii="Times New Roman" w:hAnsi="Times New Roman" w:cs="Times New Roman"/>
          <w:sz w:val="20"/>
        </w:rPr>
        <w:t xml:space="preserve"> males at P35, indicating that the inactivation of</w:t>
      </w:r>
      <w:r w:rsidRPr="0097319A">
        <w:rPr>
          <w:rFonts w:ascii="Times New Roman" w:hAnsi="Times New Roman" w:cs="Times New Roman"/>
          <w:i/>
          <w:iCs/>
          <w:sz w:val="20"/>
        </w:rPr>
        <w:t xml:space="preserve"> Gjb2</w:t>
      </w:r>
      <w:r w:rsidRPr="0097319A">
        <w:rPr>
          <w:rFonts w:ascii="Times New Roman" w:hAnsi="Times New Roman" w:cs="Times New Roman"/>
          <w:sz w:val="20"/>
        </w:rPr>
        <w:t xml:space="preserve"> did not influence individual growth. </w:t>
      </w:r>
      <w:r w:rsidRPr="0097319A">
        <w:rPr>
          <w:rFonts w:ascii="Times New Roman" w:hAnsi="Times New Roman" w:cs="Times New Roman"/>
          <w:color w:val="000000" w:themeColor="text1"/>
          <w:sz w:val="20"/>
        </w:rPr>
        <w:t>D</w:t>
      </w:r>
      <w:r w:rsidRPr="00DC79C5">
        <w:rPr>
          <w:rFonts w:ascii="Times New Roman" w:hAnsi="Times New Roman" w:cs="Times New Roman"/>
          <w:color w:val="000000" w:themeColor="text1"/>
          <w:sz w:val="20"/>
        </w:rPr>
        <w:t>ata are the mean ± s.e.m of the indicated biological replicates</w:t>
      </w:r>
      <w:r w:rsidRPr="00DC79C5">
        <w:rPr>
          <w:rFonts w:ascii="Times New Roman" w:hAnsi="Times New Roman" w:cs="Times New Roman"/>
          <w:sz w:val="20"/>
        </w:rPr>
        <w:t>.</w:t>
      </w:r>
      <w:r w:rsidRPr="00DC79C5">
        <w:rPr>
          <w:rFonts w:ascii="Times New Roman" w:hAnsi="Times New Roman" w:cs="Times New Roman"/>
          <w:color w:val="000000" w:themeColor="text1"/>
          <w:sz w:val="20"/>
        </w:rPr>
        <w:t xml:space="preserve"> n.s, no significance.</w:t>
      </w:r>
    </w:p>
    <w:p w14:paraId="3A831A0A" w14:textId="77777777" w:rsidR="009F6D14" w:rsidRPr="00DC79C5" w:rsidRDefault="009F6D14" w:rsidP="009F6D14">
      <w:pPr>
        <w:spacing w:line="360" w:lineRule="auto"/>
        <w:rPr>
          <w:rFonts w:ascii="Times New Roman" w:hAnsi="Times New Roman" w:cs="Times New Roman"/>
          <w:b/>
          <w:bCs/>
          <w:sz w:val="20"/>
        </w:rPr>
      </w:pPr>
    </w:p>
    <w:p w14:paraId="528AB4B1" w14:textId="77777777" w:rsidR="009F6D14" w:rsidRPr="00DC79C5" w:rsidRDefault="009F6D14" w:rsidP="009F6D14">
      <w:pPr>
        <w:spacing w:line="360" w:lineRule="auto"/>
        <w:rPr>
          <w:rFonts w:ascii="Times New Roman" w:hAnsi="Times New Roman" w:cs="Times New Roman"/>
          <w:b/>
          <w:bCs/>
          <w:sz w:val="20"/>
        </w:rPr>
      </w:pPr>
      <w:r>
        <w:rPr>
          <w:noProof/>
        </w:rPr>
        <w:lastRenderedPageBreak/>
        <w:drawing>
          <wp:inline distT="0" distB="0" distL="0" distR="0" wp14:anchorId="00E32B37" wp14:editId="25FD8764">
            <wp:extent cx="5274310" cy="676084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6760845"/>
                    </a:xfrm>
                    <a:prstGeom prst="rect">
                      <a:avLst/>
                    </a:prstGeom>
                    <a:noFill/>
                    <a:ln>
                      <a:noFill/>
                    </a:ln>
                  </pic:spPr>
                </pic:pic>
              </a:graphicData>
            </a:graphic>
          </wp:inline>
        </w:drawing>
      </w:r>
    </w:p>
    <w:p w14:paraId="2E42D9F2" w14:textId="77777777" w:rsidR="009F6D14" w:rsidRDefault="009F6D14" w:rsidP="009F6D14">
      <w:pPr>
        <w:spacing w:line="360" w:lineRule="auto"/>
        <w:rPr>
          <w:rFonts w:ascii="Times New Roman" w:hAnsi="Times New Roman" w:cs="Times New Roman"/>
          <w:color w:val="000000"/>
          <w:sz w:val="20"/>
        </w:rPr>
      </w:pPr>
      <w:r w:rsidRPr="00DC79C5">
        <w:rPr>
          <w:rFonts w:ascii="Times New Roman" w:hAnsi="Times New Roman" w:cs="Times New Roman"/>
          <w:b/>
          <w:bCs/>
          <w:sz w:val="20"/>
        </w:rPr>
        <w:t>Figure S6.</w:t>
      </w:r>
      <w:r w:rsidRPr="00DC79C5">
        <w:rPr>
          <w:rFonts w:ascii="Times New Roman" w:hAnsi="Times New Roman" w:cs="Times New Roman"/>
          <w:sz w:val="20"/>
        </w:rPr>
        <w:t xml:space="preserve"> </w:t>
      </w:r>
      <w:r w:rsidRPr="00DC79C5">
        <w:rPr>
          <w:rFonts w:ascii="Times New Roman" w:hAnsi="Times New Roman" w:cs="Times New Roman"/>
          <w:b/>
          <w:bCs/>
          <w:i/>
          <w:iCs/>
          <w:sz w:val="20"/>
        </w:rPr>
        <w:t xml:space="preserve">Gjb2 </w:t>
      </w:r>
      <w:r w:rsidRPr="00DC79C5">
        <w:rPr>
          <w:rFonts w:ascii="Times New Roman" w:hAnsi="Times New Roman" w:cs="Times New Roman"/>
          <w:b/>
          <w:bCs/>
          <w:sz w:val="20"/>
        </w:rPr>
        <w:t>is dispensable for the development of hair cells and supporting cells in the cochlea at prenatal stages.</w:t>
      </w:r>
      <w:r w:rsidRPr="0097319A">
        <w:rPr>
          <w:rFonts w:ascii="Times New Roman" w:hAnsi="Times New Roman" w:cs="Times New Roman"/>
          <w:sz w:val="20"/>
        </w:rPr>
        <w:t xml:space="preserve"> (</w:t>
      </w:r>
      <w:r w:rsidRPr="0097319A">
        <w:rPr>
          <w:rFonts w:ascii="Times New Roman" w:hAnsi="Times New Roman" w:cs="Times New Roman"/>
          <w:i/>
          <w:iCs/>
          <w:sz w:val="20"/>
        </w:rPr>
        <w:t>A and B</w:t>
      </w:r>
      <w:r w:rsidRPr="0097319A">
        <w:rPr>
          <w:rFonts w:ascii="Times New Roman" w:hAnsi="Times New Roman" w:cs="Times New Roman"/>
          <w:sz w:val="20"/>
        </w:rPr>
        <w:t>) Representative confocal microscopy</w:t>
      </w:r>
      <w:r w:rsidRPr="0097319A">
        <w:rPr>
          <w:rFonts w:ascii="Times New Roman" w:hAnsi="Times New Roman" w:cs="Times New Roman"/>
          <w:color w:val="000000" w:themeColor="text1"/>
          <w:sz w:val="20"/>
        </w:rPr>
        <w:t> </w:t>
      </w:r>
      <w:r w:rsidRPr="0097319A">
        <w:rPr>
          <w:rFonts w:ascii="Times New Roman" w:hAnsi="Times New Roman" w:cs="Times New Roman"/>
          <w:color w:val="000000"/>
          <w:sz w:val="20"/>
        </w:rPr>
        <w:t xml:space="preserve">images of Myo7a and Sox2 immunofluorescence in the apical, middle, and basal turns of the cochleae from wild-type and </w:t>
      </w:r>
      <w:r w:rsidRPr="0097319A">
        <w:rPr>
          <w:rFonts w:ascii="Times New Roman" w:hAnsi="Times New Roman" w:cs="Times New Roman"/>
          <w:i/>
          <w:iCs/>
          <w:color w:val="000000"/>
          <w:sz w:val="20"/>
        </w:rPr>
        <w:t>Gjb2</w:t>
      </w:r>
      <w:r w:rsidRPr="0097319A">
        <w:rPr>
          <w:rFonts w:ascii="Times New Roman" w:hAnsi="Times New Roman" w:cs="Times New Roman"/>
          <w:i/>
          <w:iCs/>
          <w:color w:val="000000"/>
          <w:sz w:val="20"/>
          <w:vertAlign w:val="superscript"/>
        </w:rPr>
        <w:t>35delG/35delG</w:t>
      </w:r>
      <w:r w:rsidRPr="0097319A">
        <w:rPr>
          <w:rFonts w:ascii="Times New Roman" w:hAnsi="Times New Roman" w:cs="Times New Roman"/>
          <w:color w:val="000000"/>
          <w:sz w:val="20"/>
        </w:rPr>
        <w:t xml:space="preserve"> mice at E17.5 (</w:t>
      </w:r>
      <w:r w:rsidRPr="00782D20">
        <w:rPr>
          <w:rFonts w:ascii="Times New Roman" w:hAnsi="Times New Roman" w:cs="Times New Roman"/>
          <w:i/>
          <w:iCs/>
          <w:color w:val="000000"/>
          <w:sz w:val="20"/>
        </w:rPr>
        <w:t>A</w:t>
      </w:r>
      <w:r w:rsidRPr="0097319A">
        <w:rPr>
          <w:rFonts w:ascii="Times New Roman" w:hAnsi="Times New Roman" w:cs="Times New Roman"/>
          <w:color w:val="000000"/>
          <w:sz w:val="20"/>
        </w:rPr>
        <w:t>) and P0 (</w:t>
      </w:r>
      <w:r w:rsidRPr="00782D20">
        <w:rPr>
          <w:rFonts w:ascii="Times New Roman" w:hAnsi="Times New Roman" w:cs="Times New Roman"/>
          <w:i/>
          <w:iCs/>
          <w:color w:val="000000"/>
          <w:sz w:val="20"/>
        </w:rPr>
        <w:t>B</w:t>
      </w:r>
      <w:r w:rsidRPr="0097319A">
        <w:rPr>
          <w:rFonts w:ascii="Times New Roman" w:hAnsi="Times New Roman" w:cs="Times New Roman"/>
          <w:color w:val="000000"/>
          <w:sz w:val="20"/>
        </w:rPr>
        <w:t>). Three independent mice were analyzed in each group.  Scale bar, 20 μm.</w:t>
      </w:r>
      <w:r w:rsidRPr="0097319A">
        <w:rPr>
          <w:rFonts w:ascii="Times New Roman" w:hAnsi="Times New Roman" w:cs="Times New Roman"/>
          <w:sz w:val="20"/>
        </w:rPr>
        <w:t xml:space="preserve"> (</w:t>
      </w:r>
      <w:r w:rsidRPr="0097319A">
        <w:rPr>
          <w:rFonts w:ascii="Times New Roman" w:hAnsi="Times New Roman" w:cs="Times New Roman"/>
          <w:i/>
          <w:iCs/>
          <w:sz w:val="20"/>
        </w:rPr>
        <w:t>C and D</w:t>
      </w:r>
      <w:r w:rsidRPr="0097319A">
        <w:rPr>
          <w:rFonts w:ascii="Times New Roman" w:hAnsi="Times New Roman" w:cs="Times New Roman"/>
          <w:sz w:val="20"/>
        </w:rPr>
        <w:t>) Represen</w:t>
      </w:r>
      <w:r w:rsidRPr="00DC79C5">
        <w:rPr>
          <w:rFonts w:ascii="Times New Roman" w:hAnsi="Times New Roman" w:cs="Times New Roman"/>
          <w:sz w:val="20"/>
        </w:rPr>
        <w:t>tative SEM images of hair cell stereocilia morphology</w:t>
      </w:r>
      <w:r w:rsidRPr="00DC79C5">
        <w:rPr>
          <w:rFonts w:ascii="Times New Roman" w:hAnsi="Times New Roman" w:cs="Times New Roman"/>
          <w:i/>
          <w:iCs/>
          <w:sz w:val="20"/>
        </w:rPr>
        <w:t xml:space="preserve"> </w:t>
      </w:r>
      <w:r w:rsidRPr="00DC79C5">
        <w:rPr>
          <w:rFonts w:ascii="Times New Roman" w:hAnsi="Times New Roman" w:cs="Times New Roman"/>
          <w:color w:val="000000"/>
          <w:sz w:val="20"/>
        </w:rPr>
        <w:t xml:space="preserve">in the apical, middle, and basal turns of the cochleae from wild-type and </w:t>
      </w:r>
      <w:r w:rsidRPr="00DC79C5">
        <w:rPr>
          <w:rFonts w:ascii="Times New Roman" w:hAnsi="Times New Roman" w:cs="Times New Roman"/>
          <w:i/>
          <w:iCs/>
          <w:color w:val="000000"/>
          <w:sz w:val="20"/>
        </w:rPr>
        <w:t>Gjb2</w:t>
      </w:r>
      <w:r w:rsidRPr="00DC79C5">
        <w:rPr>
          <w:rFonts w:ascii="Times New Roman" w:hAnsi="Times New Roman" w:cs="Times New Roman"/>
          <w:i/>
          <w:iCs/>
          <w:color w:val="000000"/>
          <w:sz w:val="20"/>
          <w:vertAlign w:val="superscript"/>
        </w:rPr>
        <w:t>35delG/35delG</w:t>
      </w:r>
      <w:r w:rsidRPr="00DC79C5">
        <w:rPr>
          <w:rFonts w:ascii="Times New Roman" w:hAnsi="Times New Roman" w:cs="Times New Roman"/>
          <w:color w:val="000000"/>
          <w:sz w:val="20"/>
        </w:rPr>
        <w:t xml:space="preserve"> mice at E17.5 (</w:t>
      </w:r>
      <w:r w:rsidRPr="00782D20">
        <w:rPr>
          <w:rFonts w:ascii="Times New Roman" w:hAnsi="Times New Roman" w:cs="Times New Roman"/>
          <w:i/>
          <w:iCs/>
          <w:color w:val="000000"/>
          <w:sz w:val="20"/>
        </w:rPr>
        <w:t>C</w:t>
      </w:r>
      <w:r w:rsidRPr="00DC79C5">
        <w:rPr>
          <w:rFonts w:ascii="Times New Roman" w:hAnsi="Times New Roman" w:cs="Times New Roman"/>
          <w:color w:val="000000"/>
          <w:sz w:val="20"/>
        </w:rPr>
        <w:t>) and P0 (</w:t>
      </w:r>
      <w:r w:rsidRPr="00782D20">
        <w:rPr>
          <w:rFonts w:ascii="Times New Roman" w:hAnsi="Times New Roman" w:cs="Times New Roman"/>
          <w:i/>
          <w:iCs/>
          <w:color w:val="000000"/>
          <w:sz w:val="20"/>
        </w:rPr>
        <w:t>D</w:t>
      </w:r>
      <w:r w:rsidRPr="00DC79C5">
        <w:rPr>
          <w:rFonts w:ascii="Times New Roman" w:hAnsi="Times New Roman" w:cs="Times New Roman"/>
          <w:color w:val="000000"/>
          <w:sz w:val="20"/>
        </w:rPr>
        <w:t>)</w:t>
      </w:r>
      <w:r w:rsidRPr="00DC79C5">
        <w:rPr>
          <w:rFonts w:ascii="Times New Roman" w:hAnsi="Times New Roman" w:cs="Times New Roman"/>
          <w:i/>
          <w:iCs/>
          <w:sz w:val="20"/>
        </w:rPr>
        <w:t>.</w:t>
      </w:r>
      <w:r w:rsidRPr="00DC79C5">
        <w:rPr>
          <w:rFonts w:ascii="Times New Roman" w:hAnsi="Times New Roman" w:cs="Times New Roman"/>
          <w:sz w:val="20"/>
        </w:rPr>
        <w:t xml:space="preserve"> </w:t>
      </w:r>
      <w:r w:rsidRPr="00DC79C5">
        <w:rPr>
          <w:rFonts w:ascii="Times New Roman" w:hAnsi="Times New Roman" w:cs="Times New Roman"/>
          <w:sz w:val="20"/>
        </w:rPr>
        <w:lastRenderedPageBreak/>
        <w:t>Low magnification: hair cells</w:t>
      </w:r>
      <w:r w:rsidRPr="00DC79C5">
        <w:rPr>
          <w:rFonts w:ascii="Times New Roman" w:hAnsi="Times New Roman" w:cs="Times New Roman"/>
          <w:color w:val="000000"/>
          <w:sz w:val="20"/>
        </w:rPr>
        <w:t xml:space="preserve"> in the upper panel</w:t>
      </w:r>
      <w:r w:rsidRPr="00DC79C5">
        <w:rPr>
          <w:rFonts w:ascii="Times New Roman" w:hAnsi="Times New Roman" w:cs="Times New Roman"/>
          <w:i/>
          <w:iCs/>
          <w:sz w:val="20"/>
        </w:rPr>
        <w:t xml:space="preserve">. </w:t>
      </w:r>
      <w:r w:rsidRPr="00DC79C5">
        <w:rPr>
          <w:rFonts w:ascii="Times New Roman" w:hAnsi="Times New Roman" w:cs="Times New Roman"/>
          <w:color w:val="000000"/>
          <w:sz w:val="20"/>
        </w:rPr>
        <w:t>Scale bar, 50 μm</w:t>
      </w:r>
      <w:r w:rsidRPr="00DC79C5">
        <w:rPr>
          <w:rFonts w:ascii="Times New Roman" w:hAnsi="Times New Roman" w:cs="Times New Roman"/>
          <w:sz w:val="20"/>
        </w:rPr>
        <w:t xml:space="preserve">. High magnification: IHCs in the middle panel and OHCs in the bottom panel. </w:t>
      </w:r>
      <w:r w:rsidRPr="00DC79C5">
        <w:rPr>
          <w:rFonts w:ascii="Times New Roman" w:hAnsi="Times New Roman" w:cs="Times New Roman"/>
          <w:color w:val="000000"/>
          <w:sz w:val="20"/>
        </w:rPr>
        <w:t xml:space="preserve">Scale bar, 25 μm. Three independent mice were analyzed in each group. </w:t>
      </w:r>
    </w:p>
    <w:p w14:paraId="55AFE51D" w14:textId="77777777" w:rsidR="009F6D14" w:rsidRDefault="009F6D14" w:rsidP="009F6D14">
      <w:pPr>
        <w:spacing w:line="360" w:lineRule="auto"/>
        <w:rPr>
          <w:rFonts w:ascii="Times New Roman" w:hAnsi="Times New Roman" w:cs="Times New Roman"/>
          <w:color w:val="000000"/>
          <w:sz w:val="20"/>
        </w:rPr>
      </w:pPr>
    </w:p>
    <w:p w14:paraId="57F57F52" w14:textId="77777777" w:rsidR="009F6D14" w:rsidRPr="00DC79C5" w:rsidRDefault="009F6D14" w:rsidP="009F6D14">
      <w:pPr>
        <w:spacing w:line="360" w:lineRule="auto"/>
        <w:rPr>
          <w:rFonts w:ascii="Times New Roman" w:hAnsi="Times New Roman" w:cs="Times New Roman"/>
          <w:sz w:val="20"/>
        </w:rPr>
      </w:pPr>
    </w:p>
    <w:p w14:paraId="00225B50" w14:textId="77777777" w:rsidR="009F6D14" w:rsidRPr="00DC79C5" w:rsidRDefault="009F6D14" w:rsidP="009F6D14">
      <w:pPr>
        <w:spacing w:line="360" w:lineRule="auto"/>
        <w:rPr>
          <w:rFonts w:ascii="Times New Roman" w:hAnsi="Times New Roman" w:cs="Times New Roman"/>
          <w:b/>
          <w:bCs/>
          <w:sz w:val="20"/>
        </w:rPr>
      </w:pPr>
      <w:r w:rsidRPr="00DC79C5">
        <w:rPr>
          <w:noProof/>
        </w:rPr>
        <w:drawing>
          <wp:inline distT="0" distB="0" distL="0" distR="0" wp14:anchorId="0A3FD9D4" wp14:editId="4E945878">
            <wp:extent cx="5274310" cy="6166485"/>
            <wp:effectExtent l="0" t="0" r="2540" b="57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6166485"/>
                    </a:xfrm>
                    <a:prstGeom prst="rect">
                      <a:avLst/>
                    </a:prstGeom>
                    <a:noFill/>
                    <a:ln>
                      <a:noFill/>
                    </a:ln>
                  </pic:spPr>
                </pic:pic>
              </a:graphicData>
            </a:graphic>
          </wp:inline>
        </w:drawing>
      </w:r>
    </w:p>
    <w:p w14:paraId="4115BC77" w14:textId="77777777" w:rsidR="009F6D14" w:rsidRPr="00DC79C5" w:rsidRDefault="009F6D14" w:rsidP="009F6D14">
      <w:pPr>
        <w:spacing w:line="360" w:lineRule="auto"/>
        <w:rPr>
          <w:rFonts w:ascii="Times New Roman" w:hAnsi="Times New Roman" w:cs="Times New Roman"/>
          <w:sz w:val="20"/>
        </w:rPr>
      </w:pPr>
      <w:r w:rsidRPr="00DC79C5">
        <w:rPr>
          <w:rFonts w:ascii="Times New Roman" w:hAnsi="Times New Roman" w:cs="Times New Roman"/>
          <w:b/>
          <w:bCs/>
          <w:sz w:val="20"/>
        </w:rPr>
        <w:t>Figure S7.</w:t>
      </w:r>
      <w:r w:rsidRPr="00DC79C5">
        <w:rPr>
          <w:rFonts w:ascii="Times New Roman" w:hAnsi="Times New Roman" w:cs="Times New Roman"/>
          <w:sz w:val="20"/>
        </w:rPr>
        <w:t xml:space="preserve"> </w:t>
      </w:r>
      <w:r w:rsidRPr="00DC79C5">
        <w:rPr>
          <w:rFonts w:ascii="Times New Roman" w:hAnsi="Times New Roman" w:cs="Times New Roman"/>
          <w:b/>
          <w:bCs/>
          <w:sz w:val="20"/>
        </w:rPr>
        <w:t>The influence of GJB2 on hair cells and supporting cells.</w:t>
      </w:r>
      <w:r>
        <w:rPr>
          <w:rFonts w:ascii="Times New Roman" w:hAnsi="Times New Roman" w:cs="Times New Roman" w:hint="eastAsia"/>
          <w:sz w:val="20"/>
        </w:rPr>
        <w:t xml:space="preserve"> </w:t>
      </w:r>
      <w:r w:rsidRPr="0097319A">
        <w:rPr>
          <w:rFonts w:ascii="Times New Roman" w:hAnsi="Times New Roman" w:cs="Times New Roman"/>
          <w:sz w:val="20"/>
        </w:rPr>
        <w:t>(</w:t>
      </w:r>
      <w:r w:rsidRPr="0097319A">
        <w:rPr>
          <w:rFonts w:ascii="Times New Roman" w:hAnsi="Times New Roman" w:cs="Times New Roman"/>
          <w:i/>
          <w:iCs/>
          <w:sz w:val="20"/>
        </w:rPr>
        <w:t>A</w:t>
      </w:r>
      <w:r w:rsidRPr="0097319A">
        <w:rPr>
          <w:rFonts w:ascii="Times New Roman" w:hAnsi="Times New Roman" w:cs="Times New Roman"/>
          <w:sz w:val="20"/>
        </w:rPr>
        <w:t>)</w:t>
      </w:r>
      <w:r w:rsidRPr="0097319A">
        <w:rPr>
          <w:rFonts w:ascii="Times New Roman" w:hAnsi="Times New Roman" w:cs="Times New Roman"/>
          <w:color w:val="000000"/>
          <w:sz w:val="20"/>
        </w:rPr>
        <w:t xml:space="preserve"> Quantification of surviving inner hair cells (IHCs), outer hair cells (OHCs), and supporting cells (SCs) in the wild-type and </w:t>
      </w:r>
      <w:r w:rsidRPr="0097319A">
        <w:rPr>
          <w:rFonts w:ascii="Times New Roman" w:hAnsi="Times New Roman" w:cs="Times New Roman"/>
          <w:i/>
          <w:iCs/>
          <w:color w:val="000000"/>
          <w:sz w:val="20"/>
        </w:rPr>
        <w:t>Gjb2</w:t>
      </w:r>
      <w:r w:rsidRPr="0097319A">
        <w:rPr>
          <w:rFonts w:ascii="Times New Roman" w:hAnsi="Times New Roman" w:cs="Times New Roman"/>
          <w:i/>
          <w:iCs/>
          <w:color w:val="000000"/>
          <w:sz w:val="20"/>
          <w:vertAlign w:val="superscript"/>
        </w:rPr>
        <w:t>35delG/35delG</w:t>
      </w:r>
      <w:r w:rsidRPr="0097319A" w:rsidDel="00DB6010">
        <w:rPr>
          <w:rFonts w:ascii="Times New Roman" w:hAnsi="Times New Roman" w:cs="Times New Roman"/>
          <w:i/>
          <w:iCs/>
          <w:color w:val="000000"/>
          <w:sz w:val="20"/>
        </w:rPr>
        <w:t xml:space="preserve"> </w:t>
      </w:r>
      <w:r w:rsidRPr="0097319A">
        <w:rPr>
          <w:rFonts w:ascii="Times New Roman" w:hAnsi="Times New Roman" w:cs="Times New Roman"/>
          <w:color w:val="000000"/>
          <w:sz w:val="20"/>
        </w:rPr>
        <w:t xml:space="preserve">mice at P14, respectively. Data are shown as the mean ± </w:t>
      </w:r>
      <w:r w:rsidRPr="0097319A">
        <w:rPr>
          <w:rFonts w:ascii="Times New Roman" w:hAnsi="Times New Roman" w:cs="Times New Roman"/>
          <w:color w:val="000000" w:themeColor="text1"/>
          <w:sz w:val="20"/>
        </w:rPr>
        <w:t xml:space="preserve">s.e.m of the indicated biological </w:t>
      </w:r>
      <w:r w:rsidRPr="0097319A">
        <w:rPr>
          <w:rFonts w:ascii="Times New Roman" w:hAnsi="Times New Roman" w:cs="Times New Roman"/>
          <w:color w:val="000000" w:themeColor="text1"/>
          <w:sz w:val="20"/>
        </w:rPr>
        <w:lastRenderedPageBreak/>
        <w:t>replicates</w:t>
      </w:r>
      <w:r w:rsidRPr="0097319A">
        <w:rPr>
          <w:rFonts w:ascii="Times New Roman" w:hAnsi="Times New Roman" w:cs="Times New Roman"/>
          <w:color w:val="000000"/>
          <w:sz w:val="20"/>
        </w:rPr>
        <w:t>.</w:t>
      </w:r>
      <w:r w:rsidRPr="0097319A">
        <w:rPr>
          <w:rFonts w:ascii="Times New Roman" w:hAnsi="Times New Roman" w:cs="Times New Roman"/>
          <w:color w:val="000000" w:themeColor="text1"/>
          <w:sz w:val="20"/>
        </w:rPr>
        <w:t xml:space="preserve"> n.s., no significance </w:t>
      </w:r>
      <w:r w:rsidRPr="0097319A">
        <w:rPr>
          <w:rFonts w:ascii="Times New Roman" w:hAnsi="Times New Roman" w:cs="Times New Roman"/>
          <w:color w:val="000000" w:themeColor="text1"/>
          <w:sz w:val="20"/>
          <w:szCs w:val="20"/>
        </w:rPr>
        <w:t>by Student’s unpaired two-sided t-test.</w:t>
      </w:r>
      <w:r w:rsidRPr="0097319A">
        <w:rPr>
          <w:rFonts w:ascii="Times New Roman" w:hAnsi="Times New Roman" w:cs="Times New Roman"/>
          <w:color w:val="000000" w:themeColor="text1"/>
          <w:sz w:val="20"/>
        </w:rPr>
        <w:t xml:space="preserve"> </w:t>
      </w:r>
      <w:r w:rsidRPr="0097319A">
        <w:rPr>
          <w:rFonts w:ascii="Times New Roman" w:hAnsi="Times New Roman" w:cs="Times New Roman"/>
          <w:sz w:val="20"/>
        </w:rPr>
        <w:t>(</w:t>
      </w:r>
      <w:r w:rsidRPr="0097319A">
        <w:rPr>
          <w:rFonts w:ascii="Times New Roman" w:hAnsi="Times New Roman" w:cs="Times New Roman"/>
          <w:i/>
          <w:iCs/>
          <w:sz w:val="20"/>
        </w:rPr>
        <w:t>B</w:t>
      </w:r>
      <w:r w:rsidRPr="0097319A">
        <w:rPr>
          <w:rFonts w:ascii="Times New Roman" w:hAnsi="Times New Roman" w:cs="Times New Roman"/>
          <w:sz w:val="20"/>
        </w:rPr>
        <w:t>) The representati</w:t>
      </w:r>
      <w:r w:rsidRPr="00DC79C5">
        <w:rPr>
          <w:rFonts w:ascii="Times New Roman" w:hAnsi="Times New Roman" w:cs="Times New Roman"/>
          <w:sz w:val="20"/>
        </w:rPr>
        <w:t>ve confocal microscopy</w:t>
      </w:r>
      <w:r w:rsidRPr="00DC79C5">
        <w:rPr>
          <w:rFonts w:ascii="Times New Roman" w:hAnsi="Times New Roman" w:cs="Times New Roman"/>
          <w:color w:val="000000" w:themeColor="text1"/>
          <w:sz w:val="20"/>
        </w:rPr>
        <w:t> </w:t>
      </w:r>
      <w:r w:rsidRPr="00DC79C5">
        <w:rPr>
          <w:rFonts w:ascii="Times New Roman" w:hAnsi="Times New Roman" w:cs="Times New Roman"/>
          <w:color w:val="000000"/>
          <w:sz w:val="20"/>
        </w:rPr>
        <w:t>images of Caspase-3 immunofluorescence in the apical, mid</w:t>
      </w:r>
      <w:r>
        <w:rPr>
          <w:rFonts w:ascii="Times New Roman" w:hAnsi="Times New Roman" w:cs="Times New Roman"/>
          <w:color w:val="000000" w:themeColor="text1"/>
          <w:sz w:val="20"/>
          <w:szCs w:val="20"/>
        </w:rPr>
        <w:t>dle</w:t>
      </w:r>
      <w:r w:rsidRPr="00DC79C5">
        <w:rPr>
          <w:rFonts w:ascii="Times New Roman" w:hAnsi="Times New Roman" w:cs="Times New Roman"/>
          <w:color w:val="000000"/>
          <w:sz w:val="20"/>
        </w:rPr>
        <w:t xml:space="preserve">, and basal turns of the cochleae from wild-type and </w:t>
      </w:r>
      <w:r w:rsidRPr="00DC79C5">
        <w:rPr>
          <w:rFonts w:ascii="Times New Roman" w:hAnsi="Times New Roman" w:cs="Times New Roman"/>
          <w:i/>
          <w:iCs/>
          <w:color w:val="000000"/>
          <w:sz w:val="20"/>
        </w:rPr>
        <w:t>Gjb2</w:t>
      </w:r>
      <w:r w:rsidRPr="00DC79C5">
        <w:rPr>
          <w:rFonts w:ascii="Times New Roman" w:hAnsi="Times New Roman" w:cs="Times New Roman"/>
          <w:i/>
          <w:iCs/>
          <w:color w:val="000000"/>
          <w:sz w:val="20"/>
          <w:vertAlign w:val="superscript"/>
        </w:rPr>
        <w:t>35delG/35delG</w:t>
      </w:r>
      <w:r w:rsidRPr="00DC79C5">
        <w:rPr>
          <w:rFonts w:ascii="Times New Roman" w:hAnsi="Times New Roman" w:cs="Times New Roman"/>
          <w:color w:val="000000"/>
          <w:sz w:val="20"/>
        </w:rPr>
        <w:t xml:space="preserve"> mice at P14. </w:t>
      </w:r>
      <w:bookmarkStart w:id="0" w:name="_Hlk116233430"/>
      <w:r w:rsidRPr="00DC79C5">
        <w:rPr>
          <w:rFonts w:ascii="Times New Roman" w:hAnsi="Times New Roman" w:cs="Times New Roman"/>
          <w:color w:val="000000"/>
          <w:sz w:val="20"/>
        </w:rPr>
        <w:t>Three independent mice were analyzed for each group.</w:t>
      </w:r>
      <w:bookmarkEnd w:id="0"/>
      <w:r w:rsidRPr="00DC79C5">
        <w:rPr>
          <w:rFonts w:ascii="Times New Roman" w:hAnsi="Times New Roman" w:cs="Times New Roman"/>
          <w:color w:val="000000"/>
          <w:sz w:val="20"/>
        </w:rPr>
        <w:t xml:space="preserve"> Scale bar, 20 μm. </w:t>
      </w:r>
      <w:r w:rsidRPr="00782D20">
        <w:rPr>
          <w:rFonts w:ascii="Times New Roman" w:hAnsi="Times New Roman" w:cs="Times New Roman"/>
          <w:sz w:val="20"/>
        </w:rPr>
        <w:t>(</w:t>
      </w:r>
      <w:r w:rsidRPr="00782D20">
        <w:rPr>
          <w:rFonts w:ascii="Times New Roman" w:hAnsi="Times New Roman" w:cs="Times New Roman"/>
          <w:i/>
          <w:iCs/>
          <w:sz w:val="20"/>
        </w:rPr>
        <w:t>C</w:t>
      </w:r>
      <w:r w:rsidRPr="00782D20">
        <w:rPr>
          <w:rFonts w:ascii="Times New Roman" w:hAnsi="Times New Roman" w:cs="Times New Roman"/>
          <w:sz w:val="20"/>
        </w:rPr>
        <w:t xml:space="preserve">) </w:t>
      </w:r>
      <w:r w:rsidRPr="00DC79C5">
        <w:rPr>
          <w:rFonts w:ascii="Times New Roman" w:hAnsi="Times New Roman" w:cs="Times New Roman"/>
          <w:sz w:val="20"/>
        </w:rPr>
        <w:t>Representative confocal microscopy</w:t>
      </w:r>
      <w:r w:rsidRPr="00DC79C5">
        <w:rPr>
          <w:rFonts w:ascii="Times New Roman" w:hAnsi="Times New Roman" w:cs="Times New Roman"/>
          <w:color w:val="000000" w:themeColor="text1"/>
          <w:sz w:val="20"/>
        </w:rPr>
        <w:t> </w:t>
      </w:r>
      <w:r w:rsidRPr="00DC79C5">
        <w:rPr>
          <w:rFonts w:ascii="Times New Roman" w:hAnsi="Times New Roman" w:cs="Times New Roman"/>
          <w:color w:val="000000"/>
          <w:sz w:val="20"/>
        </w:rPr>
        <w:t xml:space="preserve">images of GJB2 (connexin26, Cx26) and GJB6 (connexin30, Cx30) immunofluorescence in the apical, middle, and basal turns of the cochleae from wild-type and </w:t>
      </w:r>
      <w:r w:rsidRPr="00DC79C5">
        <w:rPr>
          <w:rFonts w:ascii="Times New Roman" w:hAnsi="Times New Roman" w:cs="Times New Roman"/>
          <w:i/>
          <w:iCs/>
          <w:color w:val="000000"/>
          <w:sz w:val="20"/>
        </w:rPr>
        <w:t>Gjb2</w:t>
      </w:r>
      <w:r w:rsidRPr="00DC79C5">
        <w:rPr>
          <w:rFonts w:ascii="Times New Roman" w:hAnsi="Times New Roman" w:cs="Times New Roman"/>
          <w:i/>
          <w:iCs/>
          <w:color w:val="000000"/>
          <w:sz w:val="20"/>
          <w:vertAlign w:val="superscript"/>
        </w:rPr>
        <w:t>35delG/35delG</w:t>
      </w:r>
      <w:r w:rsidRPr="00DC79C5">
        <w:rPr>
          <w:rFonts w:ascii="Times New Roman" w:hAnsi="Times New Roman" w:cs="Times New Roman"/>
          <w:color w:val="000000"/>
          <w:sz w:val="20"/>
        </w:rPr>
        <w:t xml:space="preserve"> mice at P0. Three independent mice were analyzed for each group. Scale bar, 20 μm.</w:t>
      </w:r>
    </w:p>
    <w:p w14:paraId="79EC081B" w14:textId="77777777" w:rsidR="009F6D14" w:rsidRPr="00DC79C5" w:rsidRDefault="009F6D14" w:rsidP="009F6D14">
      <w:pPr>
        <w:spacing w:line="360" w:lineRule="auto"/>
        <w:rPr>
          <w:rFonts w:ascii="Times New Roman" w:hAnsi="Times New Roman" w:cs="Times New Roman"/>
          <w:sz w:val="20"/>
        </w:rPr>
      </w:pPr>
    </w:p>
    <w:p w14:paraId="6EFFEB18" w14:textId="77777777" w:rsidR="009F6D14" w:rsidRPr="00DC79C5" w:rsidRDefault="009F6D14" w:rsidP="009F6D14">
      <w:pPr>
        <w:spacing w:line="360" w:lineRule="auto"/>
        <w:rPr>
          <w:rFonts w:ascii="Times New Roman" w:hAnsi="Times New Roman" w:cs="Times New Roman"/>
          <w:sz w:val="20"/>
        </w:rPr>
      </w:pPr>
    </w:p>
    <w:p w14:paraId="6AEAD826" w14:textId="77777777" w:rsidR="009F6D14" w:rsidRPr="00DC79C5" w:rsidRDefault="009F6D14" w:rsidP="009F6D14">
      <w:pPr>
        <w:spacing w:line="360" w:lineRule="auto"/>
        <w:rPr>
          <w:rFonts w:ascii="Times New Roman" w:hAnsi="Times New Roman" w:cs="Times New Roman"/>
          <w:b/>
          <w:bCs/>
          <w:sz w:val="20"/>
        </w:rPr>
      </w:pPr>
      <w:r>
        <w:rPr>
          <w:noProof/>
        </w:rPr>
        <w:lastRenderedPageBreak/>
        <w:drawing>
          <wp:inline distT="0" distB="0" distL="0" distR="0" wp14:anchorId="2C12C980" wp14:editId="67C903D2">
            <wp:extent cx="5274310" cy="737552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7375525"/>
                    </a:xfrm>
                    <a:prstGeom prst="rect">
                      <a:avLst/>
                    </a:prstGeom>
                    <a:noFill/>
                    <a:ln>
                      <a:noFill/>
                    </a:ln>
                  </pic:spPr>
                </pic:pic>
              </a:graphicData>
            </a:graphic>
          </wp:inline>
        </w:drawing>
      </w:r>
    </w:p>
    <w:p w14:paraId="4E732151" w14:textId="77777777" w:rsidR="009F6D14" w:rsidRPr="0097319A" w:rsidRDefault="009F6D14" w:rsidP="009F6D14">
      <w:pPr>
        <w:spacing w:line="360" w:lineRule="auto"/>
        <w:rPr>
          <w:rFonts w:ascii="Times New Roman" w:hAnsi="Times New Roman" w:cs="Times New Roman"/>
          <w:sz w:val="20"/>
        </w:rPr>
      </w:pPr>
      <w:r w:rsidRPr="00DC79C5">
        <w:rPr>
          <w:rFonts w:ascii="Times New Roman" w:hAnsi="Times New Roman" w:cs="Times New Roman"/>
          <w:b/>
          <w:bCs/>
          <w:sz w:val="20"/>
        </w:rPr>
        <w:t>Figure S8.</w:t>
      </w:r>
      <w:r w:rsidRPr="00DC79C5">
        <w:rPr>
          <w:rFonts w:ascii="Times New Roman" w:hAnsi="Times New Roman" w:cs="Times New Roman"/>
          <w:sz w:val="20"/>
        </w:rPr>
        <w:t xml:space="preserve"> </w:t>
      </w:r>
      <w:r w:rsidRPr="00DC79C5">
        <w:rPr>
          <w:rFonts w:ascii="Times New Roman" w:hAnsi="Times New Roman" w:cs="Times New Roman"/>
          <w:b/>
          <w:bCs/>
          <w:sz w:val="20"/>
        </w:rPr>
        <w:t>RNA sequencing and analysis of cochleae at P14.</w:t>
      </w:r>
      <w:r>
        <w:rPr>
          <w:rFonts w:ascii="Times New Roman" w:hAnsi="Times New Roman" w:cs="Times New Roman" w:hint="eastAsia"/>
          <w:sz w:val="20"/>
        </w:rPr>
        <w:t xml:space="preserve"> </w:t>
      </w:r>
      <w:r w:rsidRPr="005B2A3C">
        <w:rPr>
          <w:rFonts w:ascii="Times New Roman" w:hAnsi="Times New Roman" w:cs="Times New Roman"/>
          <w:bCs/>
          <w:color w:val="000000"/>
          <w:sz w:val="20"/>
          <w:szCs w:val="20"/>
        </w:rPr>
        <w:t>(</w:t>
      </w:r>
      <w:r w:rsidRPr="005B2A3C">
        <w:rPr>
          <w:rFonts w:ascii="Times New Roman" w:hAnsi="Times New Roman" w:cs="Times New Roman"/>
          <w:bCs/>
          <w:i/>
          <w:iCs/>
          <w:color w:val="000000"/>
          <w:sz w:val="20"/>
          <w:szCs w:val="20"/>
        </w:rPr>
        <w:t>A</w:t>
      </w:r>
      <w:r w:rsidRPr="005B2A3C">
        <w:rPr>
          <w:rFonts w:ascii="Times New Roman" w:hAnsi="Times New Roman" w:cs="Times New Roman"/>
          <w:bCs/>
          <w:color w:val="000000"/>
          <w:sz w:val="20"/>
          <w:szCs w:val="20"/>
        </w:rPr>
        <w:t xml:space="preserve">) </w:t>
      </w:r>
      <w:r w:rsidRPr="00825D44">
        <w:rPr>
          <w:rFonts w:ascii="Times New Roman" w:hAnsi="Times New Roman" w:cs="Times New Roman"/>
          <w:bCs/>
          <w:sz w:val="20"/>
        </w:rPr>
        <w:t xml:space="preserve">Schematic diagram of the isolation and RNA-seq of cochleae from wild-type and </w:t>
      </w:r>
      <w:r w:rsidRPr="00825D44">
        <w:rPr>
          <w:rFonts w:ascii="Times New Roman" w:hAnsi="Times New Roman" w:cs="Times New Roman"/>
          <w:bCs/>
          <w:i/>
          <w:iCs/>
          <w:sz w:val="20"/>
        </w:rPr>
        <w:t>Gjb2</w:t>
      </w:r>
      <w:r w:rsidRPr="00825D44">
        <w:rPr>
          <w:rFonts w:ascii="Times New Roman" w:hAnsi="Times New Roman" w:cs="Times New Roman"/>
          <w:bCs/>
          <w:i/>
          <w:iCs/>
          <w:sz w:val="20"/>
          <w:vertAlign w:val="superscript"/>
        </w:rPr>
        <w:t>35deG /35deG</w:t>
      </w:r>
      <w:r w:rsidRPr="00825D44">
        <w:rPr>
          <w:rFonts w:ascii="Times New Roman" w:hAnsi="Times New Roman" w:cs="Times New Roman"/>
          <w:bCs/>
          <w:sz w:val="20"/>
        </w:rPr>
        <w:t xml:space="preserve"> mice at P14. Cochleae were divided into three equal sections referred to as the apical, mid</w:t>
      </w:r>
      <w:r>
        <w:rPr>
          <w:rFonts w:ascii="Times New Roman" w:hAnsi="Times New Roman" w:cs="Times New Roman"/>
          <w:color w:val="000000" w:themeColor="text1"/>
          <w:sz w:val="20"/>
          <w:szCs w:val="20"/>
        </w:rPr>
        <w:t>dle</w:t>
      </w:r>
      <w:r w:rsidRPr="00825D44">
        <w:rPr>
          <w:rFonts w:ascii="Times New Roman" w:hAnsi="Times New Roman" w:cs="Times New Roman"/>
          <w:bCs/>
          <w:sz w:val="20"/>
        </w:rPr>
        <w:t xml:space="preserve">, and basal turns </w:t>
      </w:r>
      <w:r w:rsidRPr="00825D44">
        <w:rPr>
          <w:rFonts w:ascii="Times New Roman" w:hAnsi="Times New Roman" w:cs="Times New Roman"/>
          <w:bCs/>
          <w:color w:val="000000" w:themeColor="text1"/>
          <w:sz w:val="20"/>
        </w:rPr>
        <w:t>according to the sensitivity of different sound frequencies</w:t>
      </w:r>
      <w:r w:rsidRPr="00825D44">
        <w:rPr>
          <w:rFonts w:ascii="Times New Roman" w:hAnsi="Times New Roman" w:cs="Times New Roman"/>
          <w:bCs/>
          <w:sz w:val="20"/>
        </w:rPr>
        <w:t>. SE, sensory epithelium; NSE, non-sensory epithelium.</w:t>
      </w:r>
      <w:r w:rsidRPr="0097319A">
        <w:rPr>
          <w:rFonts w:ascii="Times New Roman" w:hAnsi="Times New Roman" w:cs="Times New Roman"/>
          <w:sz w:val="20"/>
        </w:rPr>
        <w:t xml:space="preserve"> (</w:t>
      </w:r>
      <w:r>
        <w:rPr>
          <w:rFonts w:ascii="Times New Roman" w:hAnsi="Times New Roman" w:cs="Times New Roman"/>
          <w:i/>
          <w:iCs/>
          <w:sz w:val="20"/>
        </w:rPr>
        <w:t>B</w:t>
      </w:r>
      <w:r w:rsidRPr="0097319A">
        <w:rPr>
          <w:rFonts w:ascii="Times New Roman" w:hAnsi="Times New Roman" w:cs="Times New Roman"/>
          <w:sz w:val="20"/>
        </w:rPr>
        <w:t xml:space="preserve">) </w:t>
      </w:r>
      <w:r w:rsidRPr="0097319A">
        <w:rPr>
          <w:rFonts w:ascii="Times New Roman" w:hAnsi="Times New Roman" w:cs="Times New Roman"/>
          <w:color w:val="000000"/>
          <w:sz w:val="20"/>
          <w:szCs w:val="20"/>
        </w:rPr>
        <w:t xml:space="preserve">FPKM of </w:t>
      </w:r>
      <w:r w:rsidRPr="0097319A">
        <w:rPr>
          <w:rFonts w:ascii="Times New Roman" w:hAnsi="Times New Roman" w:cs="Times New Roman"/>
          <w:i/>
          <w:iCs/>
          <w:color w:val="000000"/>
          <w:sz w:val="20"/>
          <w:szCs w:val="20"/>
        </w:rPr>
        <w:t>Gjb6</w:t>
      </w:r>
      <w:r w:rsidRPr="0097319A">
        <w:rPr>
          <w:rFonts w:ascii="Times New Roman" w:hAnsi="Times New Roman" w:cs="Times New Roman"/>
          <w:color w:val="000000"/>
          <w:sz w:val="20"/>
          <w:szCs w:val="20"/>
        </w:rPr>
        <w:t xml:space="preserve"> </w:t>
      </w:r>
      <w:r w:rsidRPr="0097319A">
        <w:rPr>
          <w:rFonts w:ascii="Times New Roman" w:hAnsi="Times New Roman" w:cs="Times New Roman"/>
          <w:color w:val="000000"/>
          <w:sz w:val="20"/>
          <w:szCs w:val="20"/>
        </w:rPr>
        <w:lastRenderedPageBreak/>
        <w:t xml:space="preserve">in the different turns of the cochlea as revealed by RNA-seq, </w:t>
      </w:r>
      <w:r w:rsidRPr="0097319A">
        <w:rPr>
          <w:rFonts w:ascii="Times New Roman" w:hAnsi="Times New Roman" w:cs="Times New Roman"/>
          <w:i/>
          <w:iCs/>
          <w:color w:val="000000"/>
          <w:sz w:val="20"/>
          <w:szCs w:val="20"/>
        </w:rPr>
        <w:t>n</w:t>
      </w:r>
      <w:r w:rsidRPr="0097319A">
        <w:rPr>
          <w:rFonts w:ascii="Times New Roman" w:hAnsi="Times New Roman" w:cs="Times New Roman"/>
          <w:color w:val="000000"/>
          <w:sz w:val="20"/>
          <w:szCs w:val="20"/>
        </w:rPr>
        <w:t xml:space="preserve"> = 2. </w:t>
      </w:r>
      <w:r w:rsidRPr="0097319A">
        <w:rPr>
          <w:rFonts w:ascii="Times New Roman" w:hAnsi="Times New Roman" w:cs="Times New Roman"/>
          <w:sz w:val="20"/>
        </w:rPr>
        <w:t>(</w:t>
      </w:r>
      <w:r>
        <w:rPr>
          <w:rFonts w:ascii="Times New Roman" w:hAnsi="Times New Roman" w:cs="Times New Roman"/>
          <w:i/>
          <w:iCs/>
          <w:sz w:val="20"/>
        </w:rPr>
        <w:t>C</w:t>
      </w:r>
      <w:r w:rsidRPr="0097319A">
        <w:rPr>
          <w:rFonts w:ascii="Times New Roman" w:hAnsi="Times New Roman" w:cs="Times New Roman"/>
          <w:sz w:val="20"/>
        </w:rPr>
        <w:t>)</w:t>
      </w:r>
      <w:r w:rsidRPr="0097319A">
        <w:rPr>
          <w:rFonts w:ascii="Times New Roman" w:hAnsi="Times New Roman" w:cs="Times New Roman"/>
          <w:color w:val="000000"/>
          <w:sz w:val="20"/>
        </w:rPr>
        <w:t xml:space="preserve"> The principal component analysis of RNA-seq data from wild-type and </w:t>
      </w:r>
      <w:r w:rsidRPr="0097319A">
        <w:rPr>
          <w:rFonts w:ascii="Times New Roman" w:hAnsi="Times New Roman" w:cs="Times New Roman"/>
          <w:i/>
          <w:iCs/>
          <w:color w:val="000000"/>
          <w:sz w:val="20"/>
        </w:rPr>
        <w:t>Gjb2</w:t>
      </w:r>
      <w:r w:rsidRPr="0097319A">
        <w:rPr>
          <w:rFonts w:ascii="Times New Roman" w:hAnsi="Times New Roman" w:cs="Times New Roman"/>
          <w:i/>
          <w:iCs/>
          <w:color w:val="000000"/>
          <w:sz w:val="20"/>
          <w:vertAlign w:val="superscript"/>
        </w:rPr>
        <w:t>35delG/35delG</w:t>
      </w:r>
      <w:r w:rsidRPr="0097319A">
        <w:rPr>
          <w:rFonts w:ascii="Times New Roman" w:hAnsi="Times New Roman" w:cs="Times New Roman"/>
          <w:color w:val="000000"/>
          <w:sz w:val="20"/>
        </w:rPr>
        <w:t xml:space="preserve"> cochleae, including the apical, middle, and basal turns. Two biological repeats for each group.</w:t>
      </w:r>
      <w:r w:rsidRPr="0097319A">
        <w:rPr>
          <w:rFonts w:ascii="Times New Roman" w:hAnsi="Times New Roman" w:cs="Times New Roman"/>
          <w:szCs w:val="24"/>
        </w:rPr>
        <w:t xml:space="preserve"> </w:t>
      </w:r>
      <w:r w:rsidRPr="0097319A">
        <w:rPr>
          <w:rFonts w:ascii="Times New Roman" w:hAnsi="Times New Roman" w:cs="Times New Roman"/>
          <w:sz w:val="20"/>
        </w:rPr>
        <w:t>(</w:t>
      </w:r>
      <w:r>
        <w:rPr>
          <w:rFonts w:ascii="Times New Roman" w:hAnsi="Times New Roman" w:cs="Times New Roman"/>
          <w:i/>
          <w:iCs/>
          <w:sz w:val="20"/>
        </w:rPr>
        <w:t>D</w:t>
      </w:r>
      <w:r w:rsidRPr="0097319A">
        <w:rPr>
          <w:rFonts w:ascii="Times New Roman" w:hAnsi="Times New Roman" w:cs="Times New Roman"/>
          <w:i/>
          <w:iCs/>
          <w:sz w:val="20"/>
        </w:rPr>
        <w:t>-</w:t>
      </w:r>
      <w:r>
        <w:rPr>
          <w:rFonts w:ascii="Times New Roman" w:hAnsi="Times New Roman" w:cs="Times New Roman"/>
          <w:i/>
          <w:iCs/>
          <w:sz w:val="20"/>
        </w:rPr>
        <w:t>F</w:t>
      </w:r>
      <w:r w:rsidRPr="0097319A">
        <w:rPr>
          <w:rFonts w:ascii="Times New Roman" w:hAnsi="Times New Roman" w:cs="Times New Roman"/>
          <w:sz w:val="20"/>
        </w:rPr>
        <w:t xml:space="preserve">) </w:t>
      </w:r>
      <w:r w:rsidRPr="0097319A">
        <w:rPr>
          <w:rFonts w:ascii="Times New Roman" w:hAnsi="Times New Roman" w:cs="Times New Roman"/>
          <w:color w:val="000000"/>
          <w:sz w:val="20"/>
        </w:rPr>
        <w:t xml:space="preserve">The Kyoto Encyclopedia of Genes and Genomes (KEGG) pathway analysis of DEGs between wild-type and </w:t>
      </w:r>
      <w:r w:rsidRPr="0097319A">
        <w:rPr>
          <w:rFonts w:ascii="Times New Roman" w:hAnsi="Times New Roman" w:cs="Times New Roman"/>
          <w:i/>
          <w:iCs/>
          <w:color w:val="000000"/>
          <w:sz w:val="20"/>
        </w:rPr>
        <w:t>Gjb2</w:t>
      </w:r>
      <w:r w:rsidRPr="0097319A">
        <w:rPr>
          <w:rFonts w:ascii="Times New Roman" w:hAnsi="Times New Roman" w:cs="Times New Roman"/>
          <w:color w:val="000000"/>
          <w:sz w:val="20"/>
          <w:vertAlign w:val="superscript"/>
        </w:rPr>
        <w:t>3</w:t>
      </w:r>
      <w:r w:rsidRPr="0097319A">
        <w:rPr>
          <w:rFonts w:ascii="Times New Roman" w:hAnsi="Times New Roman" w:cs="Times New Roman"/>
          <w:i/>
          <w:iCs/>
          <w:color w:val="000000"/>
          <w:sz w:val="20"/>
          <w:vertAlign w:val="superscript"/>
        </w:rPr>
        <w:t>5delG/35delG</w:t>
      </w:r>
      <w:r w:rsidRPr="0097319A">
        <w:rPr>
          <w:rFonts w:ascii="Times New Roman" w:hAnsi="Times New Roman" w:cs="Times New Roman"/>
          <w:i/>
          <w:iCs/>
          <w:color w:val="000000"/>
          <w:sz w:val="20"/>
        </w:rPr>
        <w:t xml:space="preserve"> </w:t>
      </w:r>
      <w:r w:rsidRPr="0097319A">
        <w:rPr>
          <w:rFonts w:ascii="Times New Roman" w:hAnsi="Times New Roman" w:cs="Times New Roman"/>
          <w:color w:val="000000"/>
          <w:sz w:val="20"/>
        </w:rPr>
        <w:t xml:space="preserve">cochleae in the apical turn </w:t>
      </w:r>
      <w:r w:rsidRPr="0097319A">
        <w:rPr>
          <w:rFonts w:ascii="Times New Roman" w:hAnsi="Times New Roman" w:cs="Times New Roman"/>
          <w:sz w:val="20"/>
        </w:rPr>
        <w:t>(</w:t>
      </w:r>
      <w:r>
        <w:rPr>
          <w:rFonts w:ascii="Times New Roman" w:hAnsi="Times New Roman" w:cs="Times New Roman"/>
          <w:i/>
          <w:iCs/>
          <w:sz w:val="20"/>
        </w:rPr>
        <w:t>D</w:t>
      </w:r>
      <w:r w:rsidRPr="0097319A">
        <w:rPr>
          <w:rFonts w:ascii="Times New Roman" w:hAnsi="Times New Roman" w:cs="Times New Roman"/>
          <w:sz w:val="20"/>
        </w:rPr>
        <w:t>), mid</w:t>
      </w:r>
      <w:r>
        <w:rPr>
          <w:rFonts w:ascii="Times New Roman" w:hAnsi="Times New Roman" w:cs="Times New Roman"/>
          <w:color w:val="000000" w:themeColor="text1"/>
          <w:sz w:val="20"/>
          <w:szCs w:val="20"/>
        </w:rPr>
        <w:t>dle</w:t>
      </w:r>
      <w:r w:rsidRPr="0097319A">
        <w:rPr>
          <w:rFonts w:ascii="Times New Roman" w:hAnsi="Times New Roman" w:cs="Times New Roman"/>
          <w:sz w:val="20"/>
        </w:rPr>
        <w:t xml:space="preserve"> turn (</w:t>
      </w:r>
      <w:r>
        <w:rPr>
          <w:rFonts w:ascii="Times New Roman" w:hAnsi="Times New Roman" w:cs="Times New Roman"/>
          <w:i/>
          <w:iCs/>
          <w:sz w:val="20"/>
        </w:rPr>
        <w:t>E</w:t>
      </w:r>
      <w:r w:rsidRPr="0097319A">
        <w:rPr>
          <w:rFonts w:ascii="Times New Roman" w:hAnsi="Times New Roman" w:cs="Times New Roman"/>
          <w:sz w:val="20"/>
        </w:rPr>
        <w:t>), and basal turn (</w:t>
      </w:r>
      <w:r>
        <w:rPr>
          <w:rFonts w:ascii="Times New Roman" w:hAnsi="Times New Roman" w:cs="Times New Roman"/>
          <w:i/>
          <w:iCs/>
          <w:sz w:val="20"/>
        </w:rPr>
        <w:t>F</w:t>
      </w:r>
      <w:r w:rsidRPr="0097319A">
        <w:rPr>
          <w:rFonts w:ascii="Times New Roman" w:hAnsi="Times New Roman" w:cs="Times New Roman"/>
          <w:sz w:val="20"/>
        </w:rPr>
        <w:t>). (</w:t>
      </w:r>
      <w:r>
        <w:rPr>
          <w:rFonts w:ascii="Times New Roman" w:hAnsi="Times New Roman" w:cs="Times New Roman"/>
          <w:i/>
          <w:iCs/>
          <w:sz w:val="20"/>
        </w:rPr>
        <w:t>G</w:t>
      </w:r>
      <w:r w:rsidRPr="0097319A">
        <w:rPr>
          <w:rFonts w:ascii="Times New Roman" w:hAnsi="Times New Roman" w:cs="Times New Roman"/>
          <w:sz w:val="20"/>
        </w:rPr>
        <w:t xml:space="preserve">) </w:t>
      </w:r>
      <w:r w:rsidRPr="0097319A">
        <w:rPr>
          <w:rFonts w:ascii="Times New Roman" w:hAnsi="Times New Roman" w:cs="Times New Roman"/>
          <w:color w:val="000000"/>
          <w:sz w:val="20"/>
        </w:rPr>
        <w:t xml:space="preserve">GO analysis of up-regulated and down-regulated genes between wild-type and </w:t>
      </w:r>
      <w:r w:rsidRPr="0097319A">
        <w:rPr>
          <w:rFonts w:ascii="Times New Roman" w:hAnsi="Times New Roman" w:cs="Times New Roman"/>
          <w:i/>
          <w:iCs/>
          <w:color w:val="000000"/>
          <w:sz w:val="20"/>
        </w:rPr>
        <w:t>Gjb2</w:t>
      </w:r>
      <w:r w:rsidRPr="0097319A">
        <w:rPr>
          <w:rFonts w:ascii="Times New Roman" w:hAnsi="Times New Roman" w:cs="Times New Roman"/>
          <w:i/>
          <w:iCs/>
          <w:color w:val="000000"/>
          <w:sz w:val="20"/>
          <w:vertAlign w:val="superscript"/>
        </w:rPr>
        <w:t>35delG/35delG</w:t>
      </w:r>
      <w:r w:rsidRPr="0097319A">
        <w:rPr>
          <w:rFonts w:ascii="Times New Roman" w:hAnsi="Times New Roman" w:cs="Times New Roman"/>
          <w:color w:val="000000"/>
          <w:sz w:val="20"/>
        </w:rPr>
        <w:t xml:space="preserve"> in the apical turn.</w:t>
      </w:r>
    </w:p>
    <w:p w14:paraId="31D1EF7A" w14:textId="77777777" w:rsidR="009F6D14" w:rsidRPr="00DC79C5" w:rsidRDefault="009F6D14" w:rsidP="009F6D14">
      <w:pPr>
        <w:spacing w:line="360" w:lineRule="auto"/>
        <w:rPr>
          <w:rFonts w:ascii="Times New Roman" w:hAnsi="Times New Roman" w:cs="Times New Roman"/>
          <w:b/>
          <w:szCs w:val="24"/>
        </w:rPr>
      </w:pPr>
    </w:p>
    <w:tbl>
      <w:tblPr>
        <w:tblpPr w:leftFromText="180" w:rightFromText="180" w:vertAnchor="text" w:horzAnchor="margin" w:tblpXSpec="center" w:tblpY="363"/>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971"/>
        <w:gridCol w:w="893"/>
        <w:gridCol w:w="976"/>
        <w:gridCol w:w="1433"/>
        <w:gridCol w:w="1548"/>
      </w:tblGrid>
      <w:tr w:rsidR="009F6D14" w:rsidRPr="00DC79C5" w14:paraId="77D9D5F2" w14:textId="77777777" w:rsidTr="00681C64">
        <w:trPr>
          <w:trHeight w:val="857"/>
          <w:jc w:val="center"/>
        </w:trPr>
        <w:tc>
          <w:tcPr>
            <w:tcW w:w="1825" w:type="dxa"/>
            <w:shd w:val="clear" w:color="auto" w:fill="auto"/>
            <w:noWrap/>
            <w:vAlign w:val="center"/>
            <w:hideMark/>
          </w:tcPr>
          <w:p w14:paraId="5DDCE6FF"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ES cell lines</w:t>
            </w:r>
          </w:p>
        </w:tc>
        <w:tc>
          <w:tcPr>
            <w:tcW w:w="1971" w:type="dxa"/>
            <w:shd w:val="clear" w:color="auto" w:fill="auto"/>
            <w:vAlign w:val="center"/>
            <w:hideMark/>
          </w:tcPr>
          <w:p w14:paraId="7E96B001"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No. of injected embryos transferred (mixed wild-type 2N embryos)</w:t>
            </w:r>
          </w:p>
        </w:tc>
        <w:tc>
          <w:tcPr>
            <w:tcW w:w="893" w:type="dxa"/>
            <w:shd w:val="clear" w:color="auto" w:fill="auto"/>
            <w:vAlign w:val="center"/>
            <w:hideMark/>
          </w:tcPr>
          <w:p w14:paraId="75EB21BA"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No. of recipient mice</w:t>
            </w:r>
          </w:p>
        </w:tc>
        <w:tc>
          <w:tcPr>
            <w:tcW w:w="976" w:type="dxa"/>
            <w:shd w:val="clear" w:color="auto" w:fill="auto"/>
            <w:vAlign w:val="center"/>
            <w:hideMark/>
          </w:tcPr>
          <w:p w14:paraId="5879D714"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No. total born (%)</w:t>
            </w:r>
          </w:p>
        </w:tc>
        <w:tc>
          <w:tcPr>
            <w:tcW w:w="1433" w:type="dxa"/>
            <w:shd w:val="clear" w:color="auto" w:fill="auto"/>
            <w:vAlign w:val="center"/>
            <w:hideMark/>
          </w:tcPr>
          <w:p w14:paraId="553CF381"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No. pups alive at term (% transferred embryos)</w:t>
            </w:r>
          </w:p>
        </w:tc>
        <w:tc>
          <w:tcPr>
            <w:tcW w:w="1548" w:type="dxa"/>
            <w:shd w:val="clear" w:color="auto" w:fill="auto"/>
            <w:vAlign w:val="center"/>
            <w:hideMark/>
          </w:tcPr>
          <w:p w14:paraId="1E568284"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No. pups surviving more than 2-weeks (35delG homozygotes)</w:t>
            </w:r>
          </w:p>
        </w:tc>
      </w:tr>
      <w:tr w:rsidR="009F6D14" w:rsidRPr="00DC79C5" w14:paraId="79FD186D" w14:textId="77777777" w:rsidTr="00681C64">
        <w:trPr>
          <w:trHeight w:val="348"/>
          <w:jc w:val="center"/>
        </w:trPr>
        <w:tc>
          <w:tcPr>
            <w:tcW w:w="1825" w:type="dxa"/>
            <w:shd w:val="clear" w:color="auto" w:fill="auto"/>
            <w:noWrap/>
            <w:vAlign w:val="center"/>
            <w:hideMark/>
          </w:tcPr>
          <w:p w14:paraId="7AF1968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-2 P6</w:t>
            </w:r>
          </w:p>
        </w:tc>
        <w:tc>
          <w:tcPr>
            <w:tcW w:w="1971" w:type="dxa"/>
            <w:shd w:val="clear" w:color="auto" w:fill="auto"/>
            <w:noWrap/>
            <w:vAlign w:val="center"/>
            <w:hideMark/>
          </w:tcPr>
          <w:p w14:paraId="2127BAC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90</w:t>
            </w:r>
          </w:p>
        </w:tc>
        <w:tc>
          <w:tcPr>
            <w:tcW w:w="893" w:type="dxa"/>
            <w:shd w:val="clear" w:color="auto" w:fill="auto"/>
            <w:noWrap/>
            <w:vAlign w:val="center"/>
            <w:hideMark/>
          </w:tcPr>
          <w:p w14:paraId="0C35AED4"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3</w:t>
            </w:r>
          </w:p>
        </w:tc>
        <w:tc>
          <w:tcPr>
            <w:tcW w:w="976" w:type="dxa"/>
            <w:shd w:val="clear" w:color="auto" w:fill="auto"/>
            <w:noWrap/>
            <w:vAlign w:val="center"/>
            <w:hideMark/>
          </w:tcPr>
          <w:p w14:paraId="0280AD85"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7 (7.8)</w:t>
            </w:r>
          </w:p>
        </w:tc>
        <w:tc>
          <w:tcPr>
            <w:tcW w:w="1433" w:type="dxa"/>
            <w:shd w:val="clear" w:color="auto" w:fill="auto"/>
            <w:noWrap/>
            <w:vAlign w:val="center"/>
            <w:hideMark/>
          </w:tcPr>
          <w:p w14:paraId="1D8D8B2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 (4.4)</w:t>
            </w:r>
          </w:p>
        </w:tc>
        <w:tc>
          <w:tcPr>
            <w:tcW w:w="1548" w:type="dxa"/>
            <w:shd w:val="clear" w:color="auto" w:fill="auto"/>
            <w:noWrap/>
            <w:vAlign w:val="center"/>
            <w:hideMark/>
          </w:tcPr>
          <w:p w14:paraId="5A1F333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0 (0)</w:t>
            </w:r>
          </w:p>
        </w:tc>
      </w:tr>
      <w:tr w:rsidR="009F6D14" w:rsidRPr="00DC79C5" w14:paraId="0B146B1C" w14:textId="77777777" w:rsidTr="00681C64">
        <w:trPr>
          <w:trHeight w:val="348"/>
          <w:jc w:val="center"/>
        </w:trPr>
        <w:tc>
          <w:tcPr>
            <w:tcW w:w="1825" w:type="dxa"/>
            <w:shd w:val="clear" w:color="auto" w:fill="auto"/>
            <w:noWrap/>
            <w:vAlign w:val="center"/>
            <w:hideMark/>
          </w:tcPr>
          <w:p w14:paraId="7D9EFE1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P5</w:t>
            </w:r>
          </w:p>
        </w:tc>
        <w:tc>
          <w:tcPr>
            <w:tcW w:w="1971" w:type="dxa"/>
            <w:shd w:val="clear" w:color="auto" w:fill="auto"/>
            <w:noWrap/>
            <w:vAlign w:val="center"/>
            <w:hideMark/>
          </w:tcPr>
          <w:p w14:paraId="57859E6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96</w:t>
            </w:r>
          </w:p>
        </w:tc>
        <w:tc>
          <w:tcPr>
            <w:tcW w:w="893" w:type="dxa"/>
            <w:shd w:val="clear" w:color="auto" w:fill="auto"/>
            <w:noWrap/>
            <w:vAlign w:val="center"/>
            <w:hideMark/>
          </w:tcPr>
          <w:p w14:paraId="3C19BEBD"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w:t>
            </w:r>
          </w:p>
        </w:tc>
        <w:tc>
          <w:tcPr>
            <w:tcW w:w="976" w:type="dxa"/>
            <w:shd w:val="clear" w:color="auto" w:fill="auto"/>
            <w:noWrap/>
            <w:vAlign w:val="center"/>
            <w:hideMark/>
          </w:tcPr>
          <w:p w14:paraId="42B727C9"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 (9.4)</w:t>
            </w:r>
          </w:p>
        </w:tc>
        <w:tc>
          <w:tcPr>
            <w:tcW w:w="1433" w:type="dxa"/>
            <w:shd w:val="clear" w:color="auto" w:fill="auto"/>
            <w:noWrap/>
            <w:vAlign w:val="center"/>
            <w:hideMark/>
          </w:tcPr>
          <w:p w14:paraId="077E1CA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 (8.3)</w:t>
            </w:r>
          </w:p>
        </w:tc>
        <w:tc>
          <w:tcPr>
            <w:tcW w:w="1548" w:type="dxa"/>
            <w:shd w:val="clear" w:color="auto" w:fill="auto"/>
            <w:noWrap/>
            <w:vAlign w:val="center"/>
            <w:hideMark/>
          </w:tcPr>
          <w:p w14:paraId="0C1E8D03"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 (2)</w:t>
            </w:r>
          </w:p>
        </w:tc>
      </w:tr>
      <w:tr w:rsidR="009F6D14" w:rsidRPr="00DC79C5" w14:paraId="3507C976" w14:textId="77777777" w:rsidTr="00681C64">
        <w:trPr>
          <w:trHeight w:val="348"/>
          <w:jc w:val="center"/>
        </w:trPr>
        <w:tc>
          <w:tcPr>
            <w:tcW w:w="1825" w:type="dxa"/>
            <w:shd w:val="clear" w:color="auto" w:fill="auto"/>
            <w:noWrap/>
            <w:vAlign w:val="center"/>
            <w:hideMark/>
          </w:tcPr>
          <w:p w14:paraId="295DBB6F"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P6</w:t>
            </w:r>
          </w:p>
        </w:tc>
        <w:tc>
          <w:tcPr>
            <w:tcW w:w="1971" w:type="dxa"/>
            <w:shd w:val="clear" w:color="auto" w:fill="auto"/>
            <w:noWrap/>
            <w:vAlign w:val="center"/>
            <w:hideMark/>
          </w:tcPr>
          <w:p w14:paraId="0BEC55E3"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60</w:t>
            </w:r>
          </w:p>
        </w:tc>
        <w:tc>
          <w:tcPr>
            <w:tcW w:w="893" w:type="dxa"/>
            <w:shd w:val="clear" w:color="auto" w:fill="auto"/>
            <w:noWrap/>
            <w:vAlign w:val="center"/>
            <w:hideMark/>
          </w:tcPr>
          <w:p w14:paraId="04A7A0A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w:t>
            </w:r>
          </w:p>
        </w:tc>
        <w:tc>
          <w:tcPr>
            <w:tcW w:w="976" w:type="dxa"/>
            <w:shd w:val="clear" w:color="auto" w:fill="auto"/>
            <w:noWrap/>
            <w:vAlign w:val="center"/>
            <w:hideMark/>
          </w:tcPr>
          <w:p w14:paraId="2DCB39E7"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 (15)</w:t>
            </w:r>
          </w:p>
        </w:tc>
        <w:tc>
          <w:tcPr>
            <w:tcW w:w="1433" w:type="dxa"/>
            <w:shd w:val="clear" w:color="auto" w:fill="auto"/>
            <w:noWrap/>
            <w:vAlign w:val="center"/>
            <w:hideMark/>
          </w:tcPr>
          <w:p w14:paraId="687929D5"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 (13.3)</w:t>
            </w:r>
          </w:p>
        </w:tc>
        <w:tc>
          <w:tcPr>
            <w:tcW w:w="1548" w:type="dxa"/>
            <w:shd w:val="clear" w:color="auto" w:fill="auto"/>
            <w:noWrap/>
            <w:vAlign w:val="center"/>
            <w:hideMark/>
          </w:tcPr>
          <w:p w14:paraId="0B46C53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0 (0)</w:t>
            </w:r>
          </w:p>
        </w:tc>
      </w:tr>
      <w:tr w:rsidR="009F6D14" w:rsidRPr="00DC79C5" w14:paraId="5D3918BB" w14:textId="77777777" w:rsidTr="00681C64">
        <w:trPr>
          <w:trHeight w:val="348"/>
          <w:jc w:val="center"/>
        </w:trPr>
        <w:tc>
          <w:tcPr>
            <w:tcW w:w="1825" w:type="dxa"/>
            <w:shd w:val="clear" w:color="auto" w:fill="auto"/>
            <w:noWrap/>
            <w:vAlign w:val="center"/>
            <w:hideMark/>
          </w:tcPr>
          <w:p w14:paraId="06C8737C"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P6</w:t>
            </w:r>
          </w:p>
        </w:tc>
        <w:tc>
          <w:tcPr>
            <w:tcW w:w="1971" w:type="dxa"/>
            <w:shd w:val="clear" w:color="auto" w:fill="auto"/>
            <w:noWrap/>
            <w:vAlign w:val="center"/>
            <w:hideMark/>
          </w:tcPr>
          <w:p w14:paraId="530317B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88</w:t>
            </w:r>
          </w:p>
        </w:tc>
        <w:tc>
          <w:tcPr>
            <w:tcW w:w="893" w:type="dxa"/>
            <w:shd w:val="clear" w:color="auto" w:fill="auto"/>
            <w:noWrap/>
            <w:vAlign w:val="center"/>
            <w:hideMark/>
          </w:tcPr>
          <w:p w14:paraId="38B0AB4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w:t>
            </w:r>
          </w:p>
        </w:tc>
        <w:tc>
          <w:tcPr>
            <w:tcW w:w="976" w:type="dxa"/>
            <w:shd w:val="clear" w:color="auto" w:fill="auto"/>
            <w:noWrap/>
            <w:vAlign w:val="center"/>
            <w:hideMark/>
          </w:tcPr>
          <w:p w14:paraId="6CA6C12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11 (12.5)</w:t>
            </w:r>
          </w:p>
        </w:tc>
        <w:tc>
          <w:tcPr>
            <w:tcW w:w="1433" w:type="dxa"/>
            <w:shd w:val="clear" w:color="auto" w:fill="auto"/>
            <w:noWrap/>
            <w:vAlign w:val="center"/>
            <w:hideMark/>
          </w:tcPr>
          <w:p w14:paraId="544D5F5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 (10.2)</w:t>
            </w:r>
          </w:p>
        </w:tc>
        <w:tc>
          <w:tcPr>
            <w:tcW w:w="1548" w:type="dxa"/>
            <w:shd w:val="clear" w:color="auto" w:fill="auto"/>
            <w:noWrap/>
            <w:vAlign w:val="center"/>
            <w:hideMark/>
          </w:tcPr>
          <w:p w14:paraId="374E9864"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 (1)</w:t>
            </w:r>
          </w:p>
        </w:tc>
      </w:tr>
      <w:tr w:rsidR="009F6D14" w:rsidRPr="00DC79C5" w14:paraId="786188D3" w14:textId="77777777" w:rsidTr="00681C64">
        <w:trPr>
          <w:trHeight w:val="348"/>
          <w:jc w:val="center"/>
        </w:trPr>
        <w:tc>
          <w:tcPr>
            <w:tcW w:w="1825" w:type="dxa"/>
            <w:shd w:val="clear" w:color="auto" w:fill="auto"/>
            <w:noWrap/>
            <w:vAlign w:val="center"/>
            <w:hideMark/>
          </w:tcPr>
          <w:p w14:paraId="7276A70E"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P6</w:t>
            </w:r>
          </w:p>
        </w:tc>
        <w:tc>
          <w:tcPr>
            <w:tcW w:w="1971" w:type="dxa"/>
            <w:shd w:val="clear" w:color="auto" w:fill="auto"/>
            <w:noWrap/>
            <w:vAlign w:val="center"/>
            <w:hideMark/>
          </w:tcPr>
          <w:p w14:paraId="4CF3BE38"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22</w:t>
            </w:r>
          </w:p>
        </w:tc>
        <w:tc>
          <w:tcPr>
            <w:tcW w:w="893" w:type="dxa"/>
            <w:shd w:val="clear" w:color="auto" w:fill="auto"/>
            <w:noWrap/>
            <w:vAlign w:val="center"/>
            <w:hideMark/>
          </w:tcPr>
          <w:p w14:paraId="3DD5472E"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w:t>
            </w:r>
          </w:p>
        </w:tc>
        <w:tc>
          <w:tcPr>
            <w:tcW w:w="976" w:type="dxa"/>
            <w:shd w:val="clear" w:color="auto" w:fill="auto"/>
            <w:noWrap/>
            <w:vAlign w:val="center"/>
            <w:hideMark/>
          </w:tcPr>
          <w:p w14:paraId="3A188B93"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 (18.2)</w:t>
            </w:r>
          </w:p>
        </w:tc>
        <w:tc>
          <w:tcPr>
            <w:tcW w:w="1433" w:type="dxa"/>
            <w:shd w:val="clear" w:color="auto" w:fill="auto"/>
            <w:noWrap/>
            <w:vAlign w:val="center"/>
            <w:hideMark/>
          </w:tcPr>
          <w:p w14:paraId="5AAF5467"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 (18.2)</w:t>
            </w:r>
          </w:p>
        </w:tc>
        <w:tc>
          <w:tcPr>
            <w:tcW w:w="1548" w:type="dxa"/>
            <w:shd w:val="clear" w:color="auto" w:fill="auto"/>
            <w:noWrap/>
            <w:vAlign w:val="center"/>
            <w:hideMark/>
          </w:tcPr>
          <w:p w14:paraId="1345D0A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 (2)</w:t>
            </w:r>
          </w:p>
        </w:tc>
      </w:tr>
      <w:tr w:rsidR="009F6D14" w:rsidRPr="00DC79C5" w14:paraId="253375A6" w14:textId="77777777" w:rsidTr="00681C64">
        <w:trPr>
          <w:trHeight w:val="348"/>
          <w:jc w:val="center"/>
        </w:trPr>
        <w:tc>
          <w:tcPr>
            <w:tcW w:w="1825" w:type="dxa"/>
            <w:shd w:val="clear" w:color="auto" w:fill="auto"/>
            <w:noWrap/>
            <w:vAlign w:val="center"/>
            <w:hideMark/>
          </w:tcPr>
          <w:p w14:paraId="50CB0CC6"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P6</w:t>
            </w:r>
          </w:p>
        </w:tc>
        <w:tc>
          <w:tcPr>
            <w:tcW w:w="1971" w:type="dxa"/>
            <w:shd w:val="clear" w:color="auto" w:fill="auto"/>
            <w:noWrap/>
            <w:vAlign w:val="center"/>
            <w:hideMark/>
          </w:tcPr>
          <w:p w14:paraId="18B5E72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92</w:t>
            </w:r>
          </w:p>
        </w:tc>
        <w:tc>
          <w:tcPr>
            <w:tcW w:w="893" w:type="dxa"/>
            <w:shd w:val="clear" w:color="auto" w:fill="auto"/>
            <w:noWrap/>
            <w:vAlign w:val="center"/>
            <w:hideMark/>
          </w:tcPr>
          <w:p w14:paraId="15720AEE"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w:t>
            </w:r>
          </w:p>
        </w:tc>
        <w:tc>
          <w:tcPr>
            <w:tcW w:w="976" w:type="dxa"/>
            <w:shd w:val="clear" w:color="auto" w:fill="auto"/>
            <w:noWrap/>
            <w:vAlign w:val="center"/>
            <w:hideMark/>
          </w:tcPr>
          <w:p w14:paraId="531A09AD"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 (9.8)</w:t>
            </w:r>
          </w:p>
        </w:tc>
        <w:tc>
          <w:tcPr>
            <w:tcW w:w="1433" w:type="dxa"/>
            <w:shd w:val="clear" w:color="auto" w:fill="auto"/>
            <w:noWrap/>
            <w:vAlign w:val="center"/>
            <w:hideMark/>
          </w:tcPr>
          <w:p w14:paraId="28F21B0C"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5 (5.4)</w:t>
            </w:r>
          </w:p>
        </w:tc>
        <w:tc>
          <w:tcPr>
            <w:tcW w:w="1548" w:type="dxa"/>
            <w:shd w:val="clear" w:color="auto" w:fill="auto"/>
            <w:noWrap/>
            <w:vAlign w:val="center"/>
            <w:hideMark/>
          </w:tcPr>
          <w:p w14:paraId="6B047618"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0 (0)</w:t>
            </w:r>
          </w:p>
        </w:tc>
      </w:tr>
      <w:tr w:rsidR="009F6D14" w:rsidRPr="00DC79C5" w14:paraId="04FAC763" w14:textId="77777777" w:rsidTr="00681C64">
        <w:trPr>
          <w:trHeight w:val="348"/>
          <w:jc w:val="center"/>
        </w:trPr>
        <w:tc>
          <w:tcPr>
            <w:tcW w:w="1825" w:type="dxa"/>
            <w:shd w:val="clear" w:color="auto" w:fill="auto"/>
            <w:noWrap/>
            <w:vAlign w:val="center"/>
            <w:hideMark/>
          </w:tcPr>
          <w:p w14:paraId="42352FC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P7</w:t>
            </w:r>
          </w:p>
        </w:tc>
        <w:tc>
          <w:tcPr>
            <w:tcW w:w="1971" w:type="dxa"/>
            <w:shd w:val="clear" w:color="auto" w:fill="auto"/>
            <w:noWrap/>
            <w:vAlign w:val="center"/>
            <w:hideMark/>
          </w:tcPr>
          <w:p w14:paraId="0D75DFC6"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88</w:t>
            </w:r>
          </w:p>
        </w:tc>
        <w:tc>
          <w:tcPr>
            <w:tcW w:w="893" w:type="dxa"/>
            <w:shd w:val="clear" w:color="auto" w:fill="auto"/>
            <w:noWrap/>
            <w:vAlign w:val="center"/>
            <w:hideMark/>
          </w:tcPr>
          <w:p w14:paraId="7E166E8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w:t>
            </w:r>
          </w:p>
        </w:tc>
        <w:tc>
          <w:tcPr>
            <w:tcW w:w="976" w:type="dxa"/>
            <w:shd w:val="clear" w:color="auto" w:fill="auto"/>
            <w:noWrap/>
            <w:vAlign w:val="center"/>
            <w:hideMark/>
          </w:tcPr>
          <w:p w14:paraId="3D9BAC8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12 (13.6)</w:t>
            </w:r>
          </w:p>
        </w:tc>
        <w:tc>
          <w:tcPr>
            <w:tcW w:w="1433" w:type="dxa"/>
            <w:shd w:val="clear" w:color="auto" w:fill="auto"/>
            <w:noWrap/>
            <w:vAlign w:val="center"/>
            <w:hideMark/>
          </w:tcPr>
          <w:p w14:paraId="18359AD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9 (10.2)</w:t>
            </w:r>
          </w:p>
        </w:tc>
        <w:tc>
          <w:tcPr>
            <w:tcW w:w="1548" w:type="dxa"/>
            <w:shd w:val="clear" w:color="auto" w:fill="auto"/>
            <w:noWrap/>
            <w:vAlign w:val="center"/>
            <w:hideMark/>
          </w:tcPr>
          <w:p w14:paraId="5B81287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0 (0)</w:t>
            </w:r>
          </w:p>
        </w:tc>
      </w:tr>
      <w:tr w:rsidR="009F6D14" w:rsidRPr="00DC79C5" w14:paraId="0AAAA3AC" w14:textId="77777777" w:rsidTr="00681C64">
        <w:trPr>
          <w:trHeight w:val="348"/>
          <w:jc w:val="center"/>
        </w:trPr>
        <w:tc>
          <w:tcPr>
            <w:tcW w:w="1825" w:type="dxa"/>
            <w:shd w:val="clear" w:color="auto" w:fill="auto"/>
            <w:noWrap/>
            <w:vAlign w:val="center"/>
            <w:hideMark/>
          </w:tcPr>
          <w:p w14:paraId="23BFC62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P7</w:t>
            </w:r>
          </w:p>
        </w:tc>
        <w:tc>
          <w:tcPr>
            <w:tcW w:w="1971" w:type="dxa"/>
            <w:shd w:val="clear" w:color="auto" w:fill="auto"/>
            <w:noWrap/>
            <w:vAlign w:val="center"/>
            <w:hideMark/>
          </w:tcPr>
          <w:p w14:paraId="0F20BD6D"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88</w:t>
            </w:r>
          </w:p>
        </w:tc>
        <w:tc>
          <w:tcPr>
            <w:tcW w:w="893" w:type="dxa"/>
            <w:shd w:val="clear" w:color="auto" w:fill="auto"/>
            <w:noWrap/>
            <w:vAlign w:val="center"/>
            <w:hideMark/>
          </w:tcPr>
          <w:p w14:paraId="760FC57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w:t>
            </w:r>
          </w:p>
        </w:tc>
        <w:tc>
          <w:tcPr>
            <w:tcW w:w="976" w:type="dxa"/>
            <w:shd w:val="clear" w:color="auto" w:fill="auto"/>
            <w:noWrap/>
            <w:vAlign w:val="center"/>
            <w:hideMark/>
          </w:tcPr>
          <w:p w14:paraId="5617D314"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 (6.9)</w:t>
            </w:r>
          </w:p>
        </w:tc>
        <w:tc>
          <w:tcPr>
            <w:tcW w:w="1433" w:type="dxa"/>
            <w:shd w:val="clear" w:color="auto" w:fill="auto"/>
            <w:noWrap/>
            <w:vAlign w:val="center"/>
            <w:hideMark/>
          </w:tcPr>
          <w:p w14:paraId="6B09868C"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 (2.3)</w:t>
            </w:r>
          </w:p>
        </w:tc>
        <w:tc>
          <w:tcPr>
            <w:tcW w:w="1548" w:type="dxa"/>
            <w:shd w:val="clear" w:color="auto" w:fill="auto"/>
            <w:noWrap/>
            <w:vAlign w:val="center"/>
            <w:hideMark/>
          </w:tcPr>
          <w:p w14:paraId="677B925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0 (0)</w:t>
            </w:r>
          </w:p>
        </w:tc>
      </w:tr>
      <w:tr w:rsidR="009F6D14" w:rsidRPr="00DC79C5" w14:paraId="3A119ABF" w14:textId="77777777" w:rsidTr="00681C64">
        <w:trPr>
          <w:trHeight w:val="348"/>
          <w:jc w:val="center"/>
        </w:trPr>
        <w:tc>
          <w:tcPr>
            <w:tcW w:w="1825" w:type="dxa"/>
            <w:shd w:val="clear" w:color="auto" w:fill="auto"/>
            <w:noWrap/>
            <w:vAlign w:val="center"/>
            <w:hideMark/>
          </w:tcPr>
          <w:p w14:paraId="4F55C59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P8</w:t>
            </w:r>
          </w:p>
        </w:tc>
        <w:tc>
          <w:tcPr>
            <w:tcW w:w="1971" w:type="dxa"/>
            <w:shd w:val="clear" w:color="auto" w:fill="auto"/>
            <w:noWrap/>
            <w:vAlign w:val="center"/>
            <w:hideMark/>
          </w:tcPr>
          <w:p w14:paraId="28891B7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80</w:t>
            </w:r>
          </w:p>
        </w:tc>
        <w:tc>
          <w:tcPr>
            <w:tcW w:w="893" w:type="dxa"/>
            <w:shd w:val="clear" w:color="auto" w:fill="auto"/>
            <w:noWrap/>
            <w:vAlign w:val="center"/>
            <w:hideMark/>
          </w:tcPr>
          <w:p w14:paraId="2EEFDBF5"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w:t>
            </w:r>
          </w:p>
        </w:tc>
        <w:tc>
          <w:tcPr>
            <w:tcW w:w="976" w:type="dxa"/>
            <w:shd w:val="clear" w:color="auto" w:fill="auto"/>
            <w:noWrap/>
            <w:vAlign w:val="center"/>
            <w:hideMark/>
          </w:tcPr>
          <w:p w14:paraId="42D6082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 (10)</w:t>
            </w:r>
          </w:p>
        </w:tc>
        <w:tc>
          <w:tcPr>
            <w:tcW w:w="1433" w:type="dxa"/>
            <w:shd w:val="clear" w:color="auto" w:fill="auto"/>
            <w:noWrap/>
            <w:vAlign w:val="center"/>
            <w:hideMark/>
          </w:tcPr>
          <w:p w14:paraId="28041C0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 (7.5)</w:t>
            </w:r>
          </w:p>
        </w:tc>
        <w:tc>
          <w:tcPr>
            <w:tcW w:w="1548" w:type="dxa"/>
            <w:shd w:val="clear" w:color="auto" w:fill="auto"/>
            <w:noWrap/>
            <w:vAlign w:val="center"/>
            <w:hideMark/>
          </w:tcPr>
          <w:p w14:paraId="40B35005"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0 (0)</w:t>
            </w:r>
          </w:p>
        </w:tc>
      </w:tr>
      <w:tr w:rsidR="009F6D14" w:rsidRPr="00DC79C5" w14:paraId="738E847D" w14:textId="77777777" w:rsidTr="00681C64">
        <w:trPr>
          <w:trHeight w:val="348"/>
          <w:jc w:val="center"/>
        </w:trPr>
        <w:tc>
          <w:tcPr>
            <w:tcW w:w="1825" w:type="dxa"/>
            <w:shd w:val="clear" w:color="auto" w:fill="auto"/>
            <w:noWrap/>
            <w:vAlign w:val="center"/>
            <w:hideMark/>
          </w:tcPr>
          <w:p w14:paraId="506A5D7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P8</w:t>
            </w:r>
          </w:p>
        </w:tc>
        <w:tc>
          <w:tcPr>
            <w:tcW w:w="1971" w:type="dxa"/>
            <w:shd w:val="clear" w:color="auto" w:fill="auto"/>
            <w:noWrap/>
            <w:vAlign w:val="center"/>
            <w:hideMark/>
          </w:tcPr>
          <w:p w14:paraId="1B8F798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105</w:t>
            </w:r>
          </w:p>
        </w:tc>
        <w:tc>
          <w:tcPr>
            <w:tcW w:w="893" w:type="dxa"/>
            <w:shd w:val="clear" w:color="auto" w:fill="auto"/>
            <w:noWrap/>
            <w:vAlign w:val="center"/>
            <w:hideMark/>
          </w:tcPr>
          <w:p w14:paraId="6A367387"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5</w:t>
            </w:r>
          </w:p>
        </w:tc>
        <w:tc>
          <w:tcPr>
            <w:tcW w:w="976" w:type="dxa"/>
            <w:shd w:val="clear" w:color="auto" w:fill="auto"/>
            <w:noWrap/>
            <w:vAlign w:val="center"/>
            <w:hideMark/>
          </w:tcPr>
          <w:p w14:paraId="45FAFE6D"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 (7.6)</w:t>
            </w:r>
          </w:p>
        </w:tc>
        <w:tc>
          <w:tcPr>
            <w:tcW w:w="1433" w:type="dxa"/>
            <w:shd w:val="clear" w:color="auto" w:fill="auto"/>
            <w:noWrap/>
            <w:vAlign w:val="center"/>
            <w:hideMark/>
          </w:tcPr>
          <w:p w14:paraId="48FF6327"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 (3.8)</w:t>
            </w:r>
          </w:p>
        </w:tc>
        <w:tc>
          <w:tcPr>
            <w:tcW w:w="1548" w:type="dxa"/>
            <w:shd w:val="clear" w:color="auto" w:fill="auto"/>
            <w:noWrap/>
            <w:vAlign w:val="center"/>
            <w:hideMark/>
          </w:tcPr>
          <w:p w14:paraId="088BBAE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 (1)</w:t>
            </w:r>
          </w:p>
        </w:tc>
      </w:tr>
      <w:tr w:rsidR="009F6D14" w:rsidRPr="00DC79C5" w14:paraId="62E6485D" w14:textId="77777777" w:rsidTr="00681C64">
        <w:trPr>
          <w:trHeight w:val="348"/>
          <w:jc w:val="center"/>
        </w:trPr>
        <w:tc>
          <w:tcPr>
            <w:tcW w:w="1825" w:type="dxa"/>
            <w:shd w:val="clear" w:color="auto" w:fill="auto"/>
            <w:noWrap/>
            <w:vAlign w:val="center"/>
            <w:hideMark/>
          </w:tcPr>
          <w:p w14:paraId="3D7D955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P6</w:t>
            </w:r>
          </w:p>
        </w:tc>
        <w:tc>
          <w:tcPr>
            <w:tcW w:w="1971" w:type="dxa"/>
            <w:shd w:val="clear" w:color="auto" w:fill="auto"/>
            <w:noWrap/>
            <w:vAlign w:val="center"/>
            <w:hideMark/>
          </w:tcPr>
          <w:p w14:paraId="15D5F91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66</w:t>
            </w:r>
          </w:p>
        </w:tc>
        <w:tc>
          <w:tcPr>
            <w:tcW w:w="893" w:type="dxa"/>
            <w:shd w:val="clear" w:color="auto" w:fill="auto"/>
            <w:noWrap/>
            <w:vAlign w:val="center"/>
            <w:hideMark/>
          </w:tcPr>
          <w:p w14:paraId="4CC22885"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3</w:t>
            </w:r>
          </w:p>
        </w:tc>
        <w:tc>
          <w:tcPr>
            <w:tcW w:w="976" w:type="dxa"/>
            <w:shd w:val="clear" w:color="auto" w:fill="auto"/>
            <w:noWrap/>
            <w:vAlign w:val="center"/>
            <w:hideMark/>
          </w:tcPr>
          <w:p w14:paraId="4F995A7F"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5 (4.5)</w:t>
            </w:r>
          </w:p>
        </w:tc>
        <w:tc>
          <w:tcPr>
            <w:tcW w:w="1433" w:type="dxa"/>
            <w:shd w:val="clear" w:color="auto" w:fill="auto"/>
            <w:noWrap/>
            <w:vAlign w:val="center"/>
            <w:hideMark/>
          </w:tcPr>
          <w:p w14:paraId="49318E5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 (1.5)</w:t>
            </w:r>
          </w:p>
        </w:tc>
        <w:tc>
          <w:tcPr>
            <w:tcW w:w="1548" w:type="dxa"/>
            <w:shd w:val="clear" w:color="auto" w:fill="auto"/>
            <w:noWrap/>
            <w:vAlign w:val="center"/>
            <w:hideMark/>
          </w:tcPr>
          <w:p w14:paraId="0D2F193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 (1)</w:t>
            </w:r>
          </w:p>
        </w:tc>
      </w:tr>
      <w:tr w:rsidR="009F6D14" w:rsidRPr="00DC79C5" w14:paraId="5B091E17" w14:textId="77777777" w:rsidTr="00681C64">
        <w:trPr>
          <w:trHeight w:val="348"/>
          <w:jc w:val="center"/>
        </w:trPr>
        <w:tc>
          <w:tcPr>
            <w:tcW w:w="1825" w:type="dxa"/>
            <w:shd w:val="clear" w:color="auto" w:fill="auto"/>
            <w:noWrap/>
            <w:vAlign w:val="center"/>
            <w:hideMark/>
          </w:tcPr>
          <w:p w14:paraId="3772F047"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P7</w:t>
            </w:r>
          </w:p>
        </w:tc>
        <w:tc>
          <w:tcPr>
            <w:tcW w:w="1971" w:type="dxa"/>
            <w:shd w:val="clear" w:color="auto" w:fill="auto"/>
            <w:noWrap/>
            <w:vAlign w:val="center"/>
            <w:hideMark/>
          </w:tcPr>
          <w:p w14:paraId="4F789B2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132</w:t>
            </w:r>
          </w:p>
        </w:tc>
        <w:tc>
          <w:tcPr>
            <w:tcW w:w="893" w:type="dxa"/>
            <w:shd w:val="clear" w:color="auto" w:fill="auto"/>
            <w:noWrap/>
            <w:vAlign w:val="center"/>
            <w:hideMark/>
          </w:tcPr>
          <w:p w14:paraId="60E3F177"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w:t>
            </w:r>
          </w:p>
        </w:tc>
        <w:tc>
          <w:tcPr>
            <w:tcW w:w="976" w:type="dxa"/>
            <w:shd w:val="clear" w:color="auto" w:fill="auto"/>
            <w:noWrap/>
            <w:vAlign w:val="center"/>
            <w:hideMark/>
          </w:tcPr>
          <w:p w14:paraId="23B35014"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19 (14.4)</w:t>
            </w:r>
          </w:p>
        </w:tc>
        <w:tc>
          <w:tcPr>
            <w:tcW w:w="1433" w:type="dxa"/>
            <w:shd w:val="clear" w:color="auto" w:fill="auto"/>
            <w:noWrap/>
            <w:vAlign w:val="center"/>
            <w:hideMark/>
          </w:tcPr>
          <w:p w14:paraId="3113CDAF"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15 (11.4)</w:t>
            </w:r>
          </w:p>
        </w:tc>
        <w:tc>
          <w:tcPr>
            <w:tcW w:w="1548" w:type="dxa"/>
            <w:shd w:val="clear" w:color="auto" w:fill="auto"/>
            <w:noWrap/>
            <w:vAlign w:val="center"/>
            <w:hideMark/>
          </w:tcPr>
          <w:p w14:paraId="5FC671D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8 (8)</w:t>
            </w:r>
          </w:p>
        </w:tc>
      </w:tr>
      <w:tr w:rsidR="009F6D14" w:rsidRPr="00DC79C5" w14:paraId="0E69D8DD" w14:textId="77777777" w:rsidTr="00681C64">
        <w:trPr>
          <w:trHeight w:val="348"/>
          <w:jc w:val="center"/>
        </w:trPr>
        <w:tc>
          <w:tcPr>
            <w:tcW w:w="1825" w:type="dxa"/>
            <w:shd w:val="clear" w:color="auto" w:fill="auto"/>
            <w:noWrap/>
            <w:vAlign w:val="center"/>
            <w:hideMark/>
          </w:tcPr>
          <w:p w14:paraId="07D436E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P8</w:t>
            </w:r>
          </w:p>
        </w:tc>
        <w:tc>
          <w:tcPr>
            <w:tcW w:w="1971" w:type="dxa"/>
            <w:shd w:val="clear" w:color="auto" w:fill="auto"/>
            <w:noWrap/>
            <w:vAlign w:val="center"/>
            <w:hideMark/>
          </w:tcPr>
          <w:p w14:paraId="734B91B0"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120</w:t>
            </w:r>
          </w:p>
        </w:tc>
        <w:tc>
          <w:tcPr>
            <w:tcW w:w="893" w:type="dxa"/>
            <w:shd w:val="clear" w:color="auto" w:fill="auto"/>
            <w:noWrap/>
            <w:vAlign w:val="center"/>
            <w:hideMark/>
          </w:tcPr>
          <w:p w14:paraId="3520EF3F"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5</w:t>
            </w:r>
          </w:p>
        </w:tc>
        <w:tc>
          <w:tcPr>
            <w:tcW w:w="976" w:type="dxa"/>
            <w:shd w:val="clear" w:color="auto" w:fill="auto"/>
            <w:noWrap/>
            <w:vAlign w:val="center"/>
            <w:hideMark/>
          </w:tcPr>
          <w:p w14:paraId="4B87035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10 (8.3)</w:t>
            </w:r>
          </w:p>
        </w:tc>
        <w:tc>
          <w:tcPr>
            <w:tcW w:w="1433" w:type="dxa"/>
            <w:shd w:val="clear" w:color="auto" w:fill="auto"/>
            <w:noWrap/>
            <w:vAlign w:val="center"/>
            <w:hideMark/>
          </w:tcPr>
          <w:p w14:paraId="159867C5"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7 (5.8)</w:t>
            </w:r>
          </w:p>
        </w:tc>
        <w:tc>
          <w:tcPr>
            <w:tcW w:w="1548" w:type="dxa"/>
            <w:shd w:val="clear" w:color="auto" w:fill="auto"/>
            <w:noWrap/>
            <w:vAlign w:val="center"/>
            <w:hideMark/>
          </w:tcPr>
          <w:p w14:paraId="12D19C67"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 (1)</w:t>
            </w:r>
          </w:p>
        </w:tc>
      </w:tr>
      <w:tr w:rsidR="009F6D14" w:rsidRPr="00DC79C5" w14:paraId="4E1BA7F7" w14:textId="77777777" w:rsidTr="00681C64">
        <w:trPr>
          <w:trHeight w:val="348"/>
          <w:jc w:val="center"/>
        </w:trPr>
        <w:tc>
          <w:tcPr>
            <w:tcW w:w="1825" w:type="dxa"/>
            <w:shd w:val="clear" w:color="auto" w:fill="auto"/>
            <w:noWrap/>
            <w:vAlign w:val="center"/>
            <w:hideMark/>
          </w:tcPr>
          <w:p w14:paraId="0DB147A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P8</w:t>
            </w:r>
          </w:p>
        </w:tc>
        <w:tc>
          <w:tcPr>
            <w:tcW w:w="1971" w:type="dxa"/>
            <w:shd w:val="clear" w:color="auto" w:fill="auto"/>
            <w:noWrap/>
            <w:vAlign w:val="center"/>
            <w:hideMark/>
          </w:tcPr>
          <w:p w14:paraId="6517132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120</w:t>
            </w:r>
          </w:p>
        </w:tc>
        <w:tc>
          <w:tcPr>
            <w:tcW w:w="893" w:type="dxa"/>
            <w:shd w:val="clear" w:color="auto" w:fill="auto"/>
            <w:noWrap/>
            <w:vAlign w:val="center"/>
            <w:hideMark/>
          </w:tcPr>
          <w:p w14:paraId="4145D90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5</w:t>
            </w:r>
          </w:p>
        </w:tc>
        <w:tc>
          <w:tcPr>
            <w:tcW w:w="976" w:type="dxa"/>
            <w:shd w:val="clear" w:color="auto" w:fill="auto"/>
            <w:noWrap/>
            <w:vAlign w:val="center"/>
            <w:hideMark/>
          </w:tcPr>
          <w:p w14:paraId="2FA43EBC"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16 (13.3)</w:t>
            </w:r>
          </w:p>
        </w:tc>
        <w:tc>
          <w:tcPr>
            <w:tcW w:w="1433" w:type="dxa"/>
            <w:shd w:val="clear" w:color="auto" w:fill="auto"/>
            <w:noWrap/>
            <w:vAlign w:val="center"/>
            <w:hideMark/>
          </w:tcPr>
          <w:p w14:paraId="4B076D9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12 (10)</w:t>
            </w:r>
          </w:p>
        </w:tc>
        <w:tc>
          <w:tcPr>
            <w:tcW w:w="1548" w:type="dxa"/>
            <w:shd w:val="clear" w:color="auto" w:fill="auto"/>
            <w:noWrap/>
            <w:vAlign w:val="center"/>
            <w:hideMark/>
          </w:tcPr>
          <w:p w14:paraId="77032126"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5 (5)</w:t>
            </w:r>
          </w:p>
        </w:tc>
      </w:tr>
      <w:tr w:rsidR="009F6D14" w:rsidRPr="00DC79C5" w14:paraId="0B8A67F5" w14:textId="77777777" w:rsidTr="00681C64">
        <w:trPr>
          <w:trHeight w:val="410"/>
          <w:jc w:val="center"/>
        </w:trPr>
        <w:tc>
          <w:tcPr>
            <w:tcW w:w="1825" w:type="dxa"/>
            <w:shd w:val="clear" w:color="auto" w:fill="auto"/>
            <w:noWrap/>
            <w:vAlign w:val="center"/>
            <w:hideMark/>
          </w:tcPr>
          <w:p w14:paraId="16077DA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-3 P9</w:t>
            </w:r>
          </w:p>
        </w:tc>
        <w:tc>
          <w:tcPr>
            <w:tcW w:w="1971" w:type="dxa"/>
            <w:shd w:val="clear" w:color="auto" w:fill="auto"/>
            <w:noWrap/>
            <w:vAlign w:val="center"/>
            <w:hideMark/>
          </w:tcPr>
          <w:p w14:paraId="386B6D98"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156</w:t>
            </w:r>
          </w:p>
        </w:tc>
        <w:tc>
          <w:tcPr>
            <w:tcW w:w="893" w:type="dxa"/>
            <w:shd w:val="clear" w:color="auto" w:fill="auto"/>
            <w:noWrap/>
            <w:vAlign w:val="center"/>
            <w:hideMark/>
          </w:tcPr>
          <w:p w14:paraId="0C582D79"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w:t>
            </w:r>
          </w:p>
        </w:tc>
        <w:tc>
          <w:tcPr>
            <w:tcW w:w="976" w:type="dxa"/>
            <w:shd w:val="clear" w:color="auto" w:fill="auto"/>
            <w:noWrap/>
            <w:vAlign w:val="center"/>
            <w:hideMark/>
          </w:tcPr>
          <w:p w14:paraId="2DD538D9"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26 (16.7)</w:t>
            </w:r>
          </w:p>
        </w:tc>
        <w:tc>
          <w:tcPr>
            <w:tcW w:w="1433" w:type="dxa"/>
            <w:shd w:val="clear" w:color="auto" w:fill="auto"/>
            <w:noWrap/>
            <w:vAlign w:val="center"/>
            <w:hideMark/>
          </w:tcPr>
          <w:p w14:paraId="67F2B805"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22 (14.1)</w:t>
            </w:r>
          </w:p>
        </w:tc>
        <w:tc>
          <w:tcPr>
            <w:tcW w:w="1548" w:type="dxa"/>
            <w:shd w:val="clear" w:color="auto" w:fill="auto"/>
            <w:noWrap/>
            <w:vAlign w:val="center"/>
            <w:hideMark/>
          </w:tcPr>
          <w:p w14:paraId="658A73D4"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4 (4)</w:t>
            </w:r>
          </w:p>
        </w:tc>
      </w:tr>
      <w:tr w:rsidR="009F6D14" w:rsidRPr="00DC79C5" w14:paraId="37F0074B" w14:textId="77777777" w:rsidTr="00681C64">
        <w:trPr>
          <w:trHeight w:val="348"/>
          <w:jc w:val="center"/>
        </w:trPr>
        <w:tc>
          <w:tcPr>
            <w:tcW w:w="1825" w:type="dxa"/>
            <w:shd w:val="clear" w:color="auto" w:fill="auto"/>
            <w:noWrap/>
            <w:vAlign w:val="center"/>
            <w:hideMark/>
          </w:tcPr>
          <w:p w14:paraId="57C2D09C"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-6 P5</w:t>
            </w:r>
          </w:p>
        </w:tc>
        <w:tc>
          <w:tcPr>
            <w:tcW w:w="1971" w:type="dxa"/>
            <w:shd w:val="clear" w:color="auto" w:fill="auto"/>
            <w:noWrap/>
            <w:vAlign w:val="center"/>
            <w:hideMark/>
          </w:tcPr>
          <w:p w14:paraId="67C9C9C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156 (48)</w:t>
            </w:r>
            <w:r w:rsidRPr="00DC79C5">
              <w:rPr>
                <w:rFonts w:ascii="Times New Roman" w:eastAsia="DengXian" w:hAnsi="Times New Roman" w:cs="Times New Roman"/>
                <w:color w:val="000000"/>
                <w:sz w:val="18"/>
                <w:szCs w:val="18"/>
                <w:vertAlign w:val="superscript"/>
              </w:rPr>
              <w:t>a</w:t>
            </w:r>
          </w:p>
        </w:tc>
        <w:tc>
          <w:tcPr>
            <w:tcW w:w="893" w:type="dxa"/>
            <w:shd w:val="clear" w:color="auto" w:fill="auto"/>
            <w:noWrap/>
            <w:vAlign w:val="center"/>
            <w:hideMark/>
          </w:tcPr>
          <w:p w14:paraId="434E168E"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w:t>
            </w:r>
          </w:p>
        </w:tc>
        <w:tc>
          <w:tcPr>
            <w:tcW w:w="976" w:type="dxa"/>
            <w:shd w:val="clear" w:color="auto" w:fill="auto"/>
            <w:noWrap/>
            <w:vAlign w:val="center"/>
            <w:hideMark/>
          </w:tcPr>
          <w:p w14:paraId="25C421D3"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27 (17.3)</w:t>
            </w:r>
          </w:p>
        </w:tc>
        <w:tc>
          <w:tcPr>
            <w:tcW w:w="1433" w:type="dxa"/>
            <w:shd w:val="clear" w:color="auto" w:fill="auto"/>
            <w:noWrap/>
            <w:vAlign w:val="center"/>
            <w:hideMark/>
          </w:tcPr>
          <w:p w14:paraId="7052662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26 (16.7)</w:t>
            </w:r>
          </w:p>
        </w:tc>
        <w:tc>
          <w:tcPr>
            <w:tcW w:w="1548" w:type="dxa"/>
            <w:shd w:val="clear" w:color="auto" w:fill="auto"/>
            <w:noWrap/>
            <w:vAlign w:val="center"/>
            <w:hideMark/>
          </w:tcPr>
          <w:p w14:paraId="2424EEF6"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20 (1)</w:t>
            </w:r>
          </w:p>
        </w:tc>
      </w:tr>
      <w:tr w:rsidR="009F6D14" w:rsidRPr="00DC79C5" w14:paraId="491B72AA" w14:textId="77777777" w:rsidTr="00681C64">
        <w:trPr>
          <w:trHeight w:val="348"/>
          <w:jc w:val="center"/>
        </w:trPr>
        <w:tc>
          <w:tcPr>
            <w:tcW w:w="1825" w:type="dxa"/>
            <w:shd w:val="clear" w:color="auto" w:fill="auto"/>
            <w:noWrap/>
            <w:vAlign w:val="center"/>
            <w:hideMark/>
          </w:tcPr>
          <w:p w14:paraId="0E549D5E"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-6 P6</w:t>
            </w:r>
          </w:p>
        </w:tc>
        <w:tc>
          <w:tcPr>
            <w:tcW w:w="1971" w:type="dxa"/>
            <w:shd w:val="clear" w:color="auto" w:fill="auto"/>
            <w:noWrap/>
            <w:vAlign w:val="center"/>
            <w:hideMark/>
          </w:tcPr>
          <w:p w14:paraId="5F25DFCF"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132 (36)</w:t>
            </w:r>
            <w:r w:rsidRPr="00DC79C5">
              <w:rPr>
                <w:rFonts w:ascii="Times New Roman" w:eastAsia="DengXian" w:hAnsi="Times New Roman" w:cs="Times New Roman"/>
                <w:color w:val="000000"/>
                <w:sz w:val="18"/>
                <w:szCs w:val="18"/>
                <w:vertAlign w:val="superscript"/>
              </w:rPr>
              <w:t>a</w:t>
            </w:r>
          </w:p>
        </w:tc>
        <w:tc>
          <w:tcPr>
            <w:tcW w:w="893" w:type="dxa"/>
            <w:shd w:val="clear" w:color="auto" w:fill="auto"/>
            <w:noWrap/>
            <w:vAlign w:val="center"/>
            <w:hideMark/>
          </w:tcPr>
          <w:p w14:paraId="4B07FF09"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6</w:t>
            </w:r>
          </w:p>
        </w:tc>
        <w:tc>
          <w:tcPr>
            <w:tcW w:w="976" w:type="dxa"/>
            <w:shd w:val="clear" w:color="auto" w:fill="auto"/>
            <w:noWrap/>
            <w:vAlign w:val="center"/>
            <w:hideMark/>
          </w:tcPr>
          <w:p w14:paraId="0CCFD942"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24 (18.2)</w:t>
            </w:r>
          </w:p>
        </w:tc>
        <w:tc>
          <w:tcPr>
            <w:tcW w:w="1433" w:type="dxa"/>
            <w:shd w:val="clear" w:color="auto" w:fill="auto"/>
            <w:noWrap/>
            <w:vAlign w:val="center"/>
            <w:hideMark/>
          </w:tcPr>
          <w:p w14:paraId="1CCE7C6A"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24 (18.2)</w:t>
            </w:r>
          </w:p>
        </w:tc>
        <w:tc>
          <w:tcPr>
            <w:tcW w:w="1548" w:type="dxa"/>
            <w:shd w:val="clear" w:color="auto" w:fill="auto"/>
            <w:noWrap/>
            <w:vAlign w:val="center"/>
            <w:hideMark/>
          </w:tcPr>
          <w:p w14:paraId="3887B444"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22 (0)</w:t>
            </w:r>
          </w:p>
        </w:tc>
      </w:tr>
      <w:tr w:rsidR="009F6D14" w:rsidRPr="00DC79C5" w14:paraId="792B4A93" w14:textId="77777777" w:rsidTr="00681C64">
        <w:trPr>
          <w:trHeight w:val="348"/>
          <w:jc w:val="center"/>
        </w:trPr>
        <w:tc>
          <w:tcPr>
            <w:tcW w:w="1825" w:type="dxa"/>
            <w:shd w:val="clear" w:color="auto" w:fill="auto"/>
            <w:noWrap/>
            <w:vAlign w:val="center"/>
            <w:hideMark/>
          </w:tcPr>
          <w:p w14:paraId="3D0AB50E"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i/>
                <w:iCs/>
                <w:color w:val="000000"/>
                <w:sz w:val="18"/>
                <w:szCs w:val="18"/>
              </w:rPr>
              <w:t>Gjb2</w:t>
            </w:r>
            <w:r w:rsidRPr="00DC79C5">
              <w:rPr>
                <w:rFonts w:ascii="Times New Roman" w:eastAsia="DengXian" w:hAnsi="Times New Roman" w:cs="Times New Roman"/>
                <w:i/>
                <w:iCs/>
                <w:color w:val="000000"/>
                <w:sz w:val="18"/>
                <w:szCs w:val="18"/>
                <w:vertAlign w:val="superscript"/>
              </w:rPr>
              <w:t>35delG/35delG</w:t>
            </w:r>
            <w:r w:rsidRPr="00DC79C5">
              <w:rPr>
                <w:rFonts w:ascii="Times New Roman" w:eastAsia="DengXian" w:hAnsi="Times New Roman" w:cs="Times New Roman"/>
                <w:color w:val="000000"/>
                <w:sz w:val="18"/>
                <w:szCs w:val="18"/>
              </w:rPr>
              <w:t>-6 P6</w:t>
            </w:r>
          </w:p>
        </w:tc>
        <w:tc>
          <w:tcPr>
            <w:tcW w:w="1971" w:type="dxa"/>
            <w:shd w:val="clear" w:color="auto" w:fill="auto"/>
            <w:noWrap/>
            <w:vAlign w:val="center"/>
            <w:hideMark/>
          </w:tcPr>
          <w:p w14:paraId="5ED0B6FF"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154 (42)</w:t>
            </w:r>
            <w:r w:rsidRPr="00DC79C5">
              <w:rPr>
                <w:rFonts w:ascii="Times New Roman" w:eastAsia="DengXian" w:hAnsi="Times New Roman" w:cs="Times New Roman"/>
                <w:color w:val="000000"/>
                <w:sz w:val="18"/>
                <w:szCs w:val="18"/>
                <w:vertAlign w:val="superscript"/>
              </w:rPr>
              <w:t>a</w:t>
            </w:r>
          </w:p>
        </w:tc>
        <w:tc>
          <w:tcPr>
            <w:tcW w:w="893" w:type="dxa"/>
            <w:shd w:val="clear" w:color="auto" w:fill="auto"/>
            <w:noWrap/>
            <w:vAlign w:val="center"/>
            <w:hideMark/>
          </w:tcPr>
          <w:p w14:paraId="08093779"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7</w:t>
            </w:r>
          </w:p>
        </w:tc>
        <w:tc>
          <w:tcPr>
            <w:tcW w:w="976" w:type="dxa"/>
            <w:shd w:val="clear" w:color="auto" w:fill="auto"/>
            <w:noWrap/>
            <w:vAlign w:val="center"/>
            <w:hideMark/>
          </w:tcPr>
          <w:p w14:paraId="64A1C079"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23 (14.9)</w:t>
            </w:r>
          </w:p>
        </w:tc>
        <w:tc>
          <w:tcPr>
            <w:tcW w:w="1433" w:type="dxa"/>
            <w:shd w:val="clear" w:color="auto" w:fill="auto"/>
            <w:noWrap/>
            <w:vAlign w:val="center"/>
            <w:hideMark/>
          </w:tcPr>
          <w:p w14:paraId="2C61BF8B"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23 (14.9)</w:t>
            </w:r>
          </w:p>
        </w:tc>
        <w:tc>
          <w:tcPr>
            <w:tcW w:w="1548" w:type="dxa"/>
            <w:shd w:val="clear" w:color="auto" w:fill="auto"/>
            <w:noWrap/>
            <w:vAlign w:val="center"/>
            <w:hideMark/>
          </w:tcPr>
          <w:p w14:paraId="3CFE0C51" w14:textId="77777777" w:rsidR="009F6D14" w:rsidRPr="00DC79C5" w:rsidRDefault="009F6D14" w:rsidP="00681C64">
            <w:pPr>
              <w:jc w:val="cente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18 (0)</w:t>
            </w:r>
          </w:p>
        </w:tc>
      </w:tr>
      <w:tr w:rsidR="009F6D14" w:rsidRPr="00DC79C5" w14:paraId="4E6771ED" w14:textId="77777777" w:rsidTr="00681C64">
        <w:trPr>
          <w:trHeight w:val="385"/>
          <w:jc w:val="center"/>
        </w:trPr>
        <w:tc>
          <w:tcPr>
            <w:tcW w:w="7098" w:type="dxa"/>
            <w:gridSpan w:val="5"/>
            <w:shd w:val="clear" w:color="auto" w:fill="auto"/>
            <w:noWrap/>
            <w:vAlign w:val="center"/>
            <w:hideMark/>
          </w:tcPr>
          <w:p w14:paraId="0CD8F0BA"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vertAlign w:val="superscript"/>
              </w:rPr>
              <w:t xml:space="preserve">a </w:t>
            </w:r>
            <w:r w:rsidRPr="00DC79C5">
              <w:rPr>
                <w:rFonts w:ascii="Times New Roman" w:eastAsia="DengXian" w:hAnsi="Times New Roman" w:cs="Times New Roman"/>
                <w:color w:val="000000"/>
                <w:sz w:val="18"/>
                <w:szCs w:val="18"/>
              </w:rPr>
              <w:t>Transferred tetraploid embryos mixed with some wild-type diploid embryos in each uterus of recipients.</w:t>
            </w:r>
          </w:p>
        </w:tc>
        <w:tc>
          <w:tcPr>
            <w:tcW w:w="1548" w:type="dxa"/>
            <w:shd w:val="clear" w:color="auto" w:fill="auto"/>
            <w:noWrap/>
            <w:vAlign w:val="center"/>
            <w:hideMark/>
          </w:tcPr>
          <w:p w14:paraId="7997C4D7" w14:textId="77777777" w:rsidR="009F6D14" w:rsidRPr="00DC79C5" w:rsidRDefault="009F6D14" w:rsidP="00681C64">
            <w:pPr>
              <w:rPr>
                <w:rFonts w:ascii="Times New Roman" w:eastAsia="DengXian" w:hAnsi="Times New Roman" w:cs="Times New Roman"/>
                <w:color w:val="000000"/>
                <w:sz w:val="18"/>
                <w:szCs w:val="18"/>
              </w:rPr>
            </w:pPr>
          </w:p>
        </w:tc>
      </w:tr>
    </w:tbl>
    <w:p w14:paraId="718A7AD2" w14:textId="77777777" w:rsidR="009F6D14" w:rsidRPr="00DC79C5" w:rsidRDefault="009F6D14" w:rsidP="009F6D14">
      <w:pPr>
        <w:spacing w:line="360" w:lineRule="auto"/>
        <w:rPr>
          <w:rFonts w:ascii="Times New Roman" w:hAnsi="Times New Roman" w:cs="Times New Roman"/>
          <w:sz w:val="20"/>
        </w:rPr>
      </w:pPr>
      <w:r w:rsidRPr="00DC79C5">
        <w:rPr>
          <w:rFonts w:ascii="Times New Roman" w:hAnsi="Times New Roman" w:cs="Times New Roman"/>
          <w:b/>
          <w:bCs/>
          <w:sz w:val="20"/>
        </w:rPr>
        <w:t xml:space="preserve">Table S1. </w:t>
      </w:r>
      <w:r w:rsidRPr="00DC79C5">
        <w:rPr>
          <w:rFonts w:ascii="Times New Roman" w:hAnsi="Times New Roman" w:cs="Times New Roman"/>
          <w:sz w:val="20"/>
        </w:rPr>
        <w:t xml:space="preserve">Summary of homozygous 35delG mice generation </w:t>
      </w:r>
      <w:r w:rsidRPr="00DC79C5">
        <w:rPr>
          <w:rFonts w:ascii="Times New Roman" w:hAnsi="Times New Roman" w:cs="Times New Roman"/>
          <w:i/>
          <w:iCs/>
          <w:sz w:val="20"/>
        </w:rPr>
        <w:t>via</w:t>
      </w:r>
      <w:r w:rsidRPr="00DC79C5">
        <w:rPr>
          <w:rFonts w:ascii="Times New Roman" w:hAnsi="Times New Roman" w:cs="Times New Roman"/>
          <w:sz w:val="20"/>
        </w:rPr>
        <w:t xml:space="preserve"> tetraploid embryo complementation.</w:t>
      </w:r>
    </w:p>
    <w:p w14:paraId="6896AF71" w14:textId="77777777" w:rsidR="009F6D14" w:rsidRPr="00DC79C5" w:rsidRDefault="009F6D14" w:rsidP="009F6D14">
      <w:pPr>
        <w:spacing w:line="360" w:lineRule="auto"/>
        <w:rPr>
          <w:rFonts w:ascii="Times New Roman" w:hAnsi="Times New Roman" w:cs="Times New Roman"/>
          <w:sz w:val="20"/>
        </w:rPr>
      </w:pPr>
    </w:p>
    <w:p w14:paraId="77D56447" w14:textId="77777777" w:rsidR="009F6D14" w:rsidRPr="00DC79C5" w:rsidRDefault="009F6D14" w:rsidP="009F6D14">
      <w:pPr>
        <w:spacing w:line="360" w:lineRule="auto"/>
        <w:rPr>
          <w:rFonts w:ascii="Times New Roman" w:hAnsi="Times New Roman" w:cs="Times New Roman"/>
          <w:sz w:val="20"/>
        </w:rPr>
      </w:pPr>
    </w:p>
    <w:p w14:paraId="5074FD04" w14:textId="77777777" w:rsidR="009F6D14" w:rsidRPr="00DC79C5" w:rsidRDefault="009F6D14" w:rsidP="009F6D14">
      <w:pPr>
        <w:spacing w:line="360" w:lineRule="auto"/>
        <w:rPr>
          <w:rFonts w:ascii="Times New Roman" w:hAnsi="Times New Roman" w:cs="Times New Roman"/>
          <w:sz w:val="20"/>
        </w:rPr>
      </w:pPr>
    </w:p>
    <w:p w14:paraId="331B5ACB" w14:textId="77777777" w:rsidR="009F6D14" w:rsidRPr="00DC79C5" w:rsidRDefault="009F6D14" w:rsidP="009F6D14">
      <w:pPr>
        <w:spacing w:line="360" w:lineRule="auto"/>
        <w:rPr>
          <w:rFonts w:ascii="Times New Roman" w:hAnsi="Times New Roman" w:cs="Times New Roman"/>
          <w:sz w:val="20"/>
        </w:rPr>
      </w:pPr>
      <w:r w:rsidRPr="00DC79C5">
        <w:rPr>
          <w:rFonts w:ascii="Times New Roman" w:hAnsi="Times New Roman" w:cs="Times New Roman"/>
          <w:b/>
          <w:bCs/>
          <w:sz w:val="20"/>
        </w:rPr>
        <w:t xml:space="preserve">Table S2. </w:t>
      </w:r>
      <w:r w:rsidRPr="00DC79C5">
        <w:rPr>
          <w:rFonts w:ascii="Times New Roman" w:hAnsi="Times New Roman" w:cs="Times New Roman"/>
          <w:sz w:val="20"/>
        </w:rPr>
        <w:t>List of oligo and primer sequence information related to experimental procedures.</w:t>
      </w:r>
    </w:p>
    <w:tbl>
      <w:tblPr>
        <w:tblpPr w:leftFromText="180" w:rightFromText="180" w:vertAnchor="text" w:horzAnchor="margin" w:tblpY="141"/>
        <w:tblW w:w="9079" w:type="dxa"/>
        <w:tblLook w:val="04A0" w:firstRow="1" w:lastRow="0" w:firstColumn="1" w:lastColumn="0" w:noHBand="0" w:noVBand="1"/>
      </w:tblPr>
      <w:tblGrid>
        <w:gridCol w:w="2037"/>
        <w:gridCol w:w="4657"/>
        <w:gridCol w:w="2385"/>
      </w:tblGrid>
      <w:tr w:rsidR="009F6D14" w:rsidRPr="00DC79C5" w14:paraId="0E1C018D" w14:textId="77777777" w:rsidTr="00681C64">
        <w:trPr>
          <w:trHeight w:val="346"/>
        </w:trPr>
        <w:tc>
          <w:tcPr>
            <w:tcW w:w="18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76FD81"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lastRenderedPageBreak/>
              <w:t>Name</w:t>
            </w:r>
          </w:p>
        </w:tc>
        <w:tc>
          <w:tcPr>
            <w:tcW w:w="1826" w:type="dxa"/>
            <w:tcBorders>
              <w:top w:val="single" w:sz="8" w:space="0" w:color="auto"/>
              <w:left w:val="nil"/>
              <w:bottom w:val="single" w:sz="8" w:space="0" w:color="auto"/>
              <w:right w:val="single" w:sz="8" w:space="0" w:color="auto"/>
            </w:tcBorders>
            <w:shd w:val="clear" w:color="auto" w:fill="auto"/>
            <w:noWrap/>
            <w:vAlign w:val="center"/>
            <w:hideMark/>
          </w:tcPr>
          <w:p w14:paraId="5EE81CF2"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Sequence (5’-3’)</w:t>
            </w:r>
          </w:p>
        </w:tc>
        <w:tc>
          <w:tcPr>
            <w:tcW w:w="2139" w:type="dxa"/>
            <w:tcBorders>
              <w:top w:val="single" w:sz="8" w:space="0" w:color="auto"/>
              <w:left w:val="nil"/>
              <w:bottom w:val="single" w:sz="8" w:space="0" w:color="auto"/>
              <w:right w:val="single" w:sz="8" w:space="0" w:color="auto"/>
            </w:tcBorders>
            <w:shd w:val="clear" w:color="auto" w:fill="auto"/>
            <w:noWrap/>
            <w:vAlign w:val="center"/>
            <w:hideMark/>
          </w:tcPr>
          <w:p w14:paraId="09AB5D03" w14:textId="77777777" w:rsidR="009F6D14" w:rsidRPr="00DC79C5" w:rsidRDefault="009F6D14" w:rsidP="00681C64">
            <w:pPr>
              <w:jc w:val="center"/>
              <w:rPr>
                <w:rFonts w:ascii="Times New Roman" w:eastAsia="DengXian" w:hAnsi="Times New Roman" w:cs="Times New Roman"/>
                <w:b/>
                <w:bCs/>
                <w:color w:val="000000"/>
                <w:sz w:val="18"/>
                <w:szCs w:val="18"/>
              </w:rPr>
            </w:pPr>
            <w:r w:rsidRPr="00DC79C5">
              <w:rPr>
                <w:rFonts w:ascii="Times New Roman" w:eastAsia="DengXian" w:hAnsi="Times New Roman" w:cs="Times New Roman"/>
                <w:b/>
                <w:bCs/>
                <w:color w:val="000000"/>
                <w:sz w:val="18"/>
                <w:szCs w:val="18"/>
              </w:rPr>
              <w:t>Application</w:t>
            </w:r>
          </w:p>
        </w:tc>
      </w:tr>
      <w:tr w:rsidR="009F6D14" w:rsidRPr="00DC79C5" w14:paraId="6BF023A2" w14:textId="77777777" w:rsidTr="00681C64">
        <w:trPr>
          <w:trHeight w:val="346"/>
        </w:trPr>
        <w:tc>
          <w:tcPr>
            <w:tcW w:w="1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4404F"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Gjb2-35delG-oligoF</w:t>
            </w:r>
          </w:p>
        </w:tc>
        <w:tc>
          <w:tcPr>
            <w:tcW w:w="1826" w:type="dxa"/>
            <w:tcBorders>
              <w:top w:val="single" w:sz="4" w:space="0" w:color="auto"/>
              <w:left w:val="nil"/>
              <w:bottom w:val="single" w:sz="4" w:space="0" w:color="auto"/>
              <w:right w:val="single" w:sz="4" w:space="0" w:color="auto"/>
            </w:tcBorders>
            <w:shd w:val="clear" w:color="auto" w:fill="auto"/>
            <w:noWrap/>
            <w:vAlign w:val="center"/>
            <w:hideMark/>
          </w:tcPr>
          <w:p w14:paraId="7DD3F87A" w14:textId="77777777" w:rsidR="009F6D14" w:rsidRPr="00DC79C5" w:rsidRDefault="009F6D14" w:rsidP="00681C64">
            <w:pPr>
              <w:rPr>
                <w:rFonts w:ascii="Times New Roman" w:eastAsia="DengXian" w:hAnsi="Times New Roman" w:cs="Times New Roman"/>
                <w:color w:val="000000" w:themeColor="text1"/>
                <w:sz w:val="18"/>
                <w:szCs w:val="18"/>
              </w:rPr>
            </w:pPr>
            <w:r w:rsidRPr="00DC79C5">
              <w:rPr>
                <w:rFonts w:ascii="Times New Roman" w:eastAsia="DengXian" w:hAnsi="Times New Roman" w:cs="Times New Roman"/>
                <w:color w:val="000000" w:themeColor="text1"/>
                <w:sz w:val="18"/>
                <w:szCs w:val="18"/>
              </w:rPr>
              <w:t>CACCAGTGTTTGTTGACACCCCCG</w:t>
            </w:r>
          </w:p>
        </w:tc>
        <w:tc>
          <w:tcPr>
            <w:tcW w:w="2139" w:type="dxa"/>
            <w:vMerge w:val="restart"/>
            <w:tcBorders>
              <w:top w:val="nil"/>
              <w:left w:val="single" w:sz="8" w:space="0" w:color="auto"/>
              <w:bottom w:val="single" w:sz="8" w:space="0" w:color="auto"/>
              <w:right w:val="single" w:sz="8" w:space="0" w:color="auto"/>
            </w:tcBorders>
            <w:shd w:val="clear" w:color="auto" w:fill="auto"/>
            <w:vAlign w:val="center"/>
            <w:hideMark/>
          </w:tcPr>
          <w:p w14:paraId="47F06219"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Oligos for construction of pX330-mCherry-35delG and pX330-mCherry-235delC</w:t>
            </w:r>
          </w:p>
        </w:tc>
      </w:tr>
      <w:tr w:rsidR="009F6D14" w:rsidRPr="00DC79C5" w14:paraId="6BCEE9BF"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7693F3C9"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Gjb2-35delG-oligoR</w:t>
            </w:r>
          </w:p>
        </w:tc>
        <w:tc>
          <w:tcPr>
            <w:tcW w:w="1826" w:type="dxa"/>
            <w:tcBorders>
              <w:top w:val="nil"/>
              <w:left w:val="nil"/>
              <w:bottom w:val="single" w:sz="4" w:space="0" w:color="auto"/>
              <w:right w:val="single" w:sz="4" w:space="0" w:color="auto"/>
            </w:tcBorders>
            <w:shd w:val="clear" w:color="auto" w:fill="auto"/>
            <w:noWrap/>
            <w:vAlign w:val="center"/>
            <w:hideMark/>
          </w:tcPr>
          <w:p w14:paraId="24FC62A1" w14:textId="77777777" w:rsidR="009F6D14" w:rsidRPr="00DC79C5" w:rsidRDefault="009F6D14" w:rsidP="00681C64">
            <w:pPr>
              <w:rPr>
                <w:rFonts w:ascii="Times New Roman" w:eastAsia="DengXian" w:hAnsi="Times New Roman" w:cs="Times New Roman"/>
                <w:color w:val="000000" w:themeColor="text1"/>
                <w:sz w:val="18"/>
                <w:szCs w:val="18"/>
              </w:rPr>
            </w:pPr>
            <w:r w:rsidRPr="00DC79C5">
              <w:rPr>
                <w:rFonts w:ascii="Times New Roman" w:eastAsia="DengXian" w:hAnsi="Times New Roman" w:cs="Times New Roman"/>
                <w:color w:val="000000" w:themeColor="text1"/>
                <w:sz w:val="18"/>
                <w:szCs w:val="18"/>
              </w:rPr>
              <w:t>AAACCGGGGGTGTCAACAAACACT</w:t>
            </w:r>
          </w:p>
        </w:tc>
        <w:tc>
          <w:tcPr>
            <w:tcW w:w="2139" w:type="dxa"/>
            <w:vMerge/>
            <w:tcBorders>
              <w:top w:val="nil"/>
              <w:left w:val="single" w:sz="8" w:space="0" w:color="auto"/>
              <w:bottom w:val="single" w:sz="8" w:space="0" w:color="auto"/>
              <w:right w:val="single" w:sz="8" w:space="0" w:color="auto"/>
            </w:tcBorders>
            <w:vAlign w:val="center"/>
            <w:hideMark/>
          </w:tcPr>
          <w:p w14:paraId="016070AA"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5C4B8C3A"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7BEA22DF"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Gjb2-235delC-oligoF</w:t>
            </w:r>
          </w:p>
        </w:tc>
        <w:tc>
          <w:tcPr>
            <w:tcW w:w="1826" w:type="dxa"/>
            <w:tcBorders>
              <w:top w:val="nil"/>
              <w:left w:val="nil"/>
              <w:bottom w:val="single" w:sz="4" w:space="0" w:color="auto"/>
              <w:right w:val="single" w:sz="4" w:space="0" w:color="auto"/>
            </w:tcBorders>
            <w:shd w:val="clear" w:color="auto" w:fill="auto"/>
            <w:noWrap/>
            <w:vAlign w:val="center"/>
            <w:hideMark/>
          </w:tcPr>
          <w:p w14:paraId="6048AC56" w14:textId="77777777" w:rsidR="009F6D14" w:rsidRPr="00DC79C5" w:rsidRDefault="009F6D14" w:rsidP="00681C64">
            <w:pPr>
              <w:rPr>
                <w:rFonts w:ascii="Times New Roman" w:eastAsia="DengXian" w:hAnsi="Times New Roman" w:cs="Times New Roman"/>
                <w:color w:val="000000" w:themeColor="text1"/>
                <w:sz w:val="18"/>
                <w:szCs w:val="18"/>
              </w:rPr>
            </w:pPr>
            <w:r w:rsidRPr="00DC79C5">
              <w:rPr>
                <w:rFonts w:ascii="Times New Roman" w:eastAsia="DengXian" w:hAnsi="Times New Roman" w:cs="Times New Roman"/>
                <w:color w:val="000000" w:themeColor="text1"/>
                <w:sz w:val="18"/>
                <w:szCs w:val="18"/>
              </w:rPr>
              <w:t>CACCCTGGGCTCTGCAGCTGATCA</w:t>
            </w:r>
          </w:p>
        </w:tc>
        <w:tc>
          <w:tcPr>
            <w:tcW w:w="2139" w:type="dxa"/>
            <w:vMerge/>
            <w:tcBorders>
              <w:top w:val="nil"/>
              <w:left w:val="single" w:sz="8" w:space="0" w:color="auto"/>
              <w:bottom w:val="single" w:sz="8" w:space="0" w:color="auto"/>
              <w:right w:val="single" w:sz="8" w:space="0" w:color="auto"/>
            </w:tcBorders>
            <w:vAlign w:val="center"/>
            <w:hideMark/>
          </w:tcPr>
          <w:p w14:paraId="5F084BA9"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263B0A3F"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594F743F"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Gjb2-235delC-oligoR</w:t>
            </w:r>
          </w:p>
        </w:tc>
        <w:tc>
          <w:tcPr>
            <w:tcW w:w="1826" w:type="dxa"/>
            <w:tcBorders>
              <w:top w:val="nil"/>
              <w:left w:val="nil"/>
              <w:bottom w:val="single" w:sz="4" w:space="0" w:color="auto"/>
              <w:right w:val="single" w:sz="4" w:space="0" w:color="auto"/>
            </w:tcBorders>
            <w:shd w:val="clear" w:color="auto" w:fill="auto"/>
            <w:noWrap/>
            <w:vAlign w:val="center"/>
            <w:hideMark/>
          </w:tcPr>
          <w:p w14:paraId="582B734C" w14:textId="77777777" w:rsidR="009F6D14" w:rsidRPr="00DC79C5" w:rsidRDefault="009F6D14" w:rsidP="00681C64">
            <w:pPr>
              <w:rPr>
                <w:rFonts w:ascii="Times New Roman" w:eastAsia="DengXian" w:hAnsi="Times New Roman" w:cs="Times New Roman"/>
                <w:color w:val="000000" w:themeColor="text1"/>
                <w:sz w:val="18"/>
                <w:szCs w:val="18"/>
              </w:rPr>
            </w:pPr>
            <w:r w:rsidRPr="00DC79C5">
              <w:rPr>
                <w:rFonts w:ascii="Times New Roman" w:eastAsia="DengXian" w:hAnsi="Times New Roman" w:cs="Times New Roman"/>
                <w:color w:val="000000" w:themeColor="text1"/>
                <w:sz w:val="18"/>
                <w:szCs w:val="18"/>
              </w:rPr>
              <w:t>AAACTGATCAGCTGCAGAGCCCAG</w:t>
            </w:r>
          </w:p>
        </w:tc>
        <w:tc>
          <w:tcPr>
            <w:tcW w:w="2139" w:type="dxa"/>
            <w:vMerge/>
            <w:tcBorders>
              <w:top w:val="nil"/>
              <w:left w:val="single" w:sz="8" w:space="0" w:color="auto"/>
              <w:bottom w:val="single" w:sz="8" w:space="0" w:color="auto"/>
              <w:right w:val="single" w:sz="8" w:space="0" w:color="auto"/>
            </w:tcBorders>
            <w:vAlign w:val="center"/>
            <w:hideMark/>
          </w:tcPr>
          <w:p w14:paraId="15F2FF5B"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249BC1D5"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4204D19A"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Gjb2-35/235-leftF</w:t>
            </w:r>
          </w:p>
        </w:tc>
        <w:tc>
          <w:tcPr>
            <w:tcW w:w="1826" w:type="dxa"/>
            <w:tcBorders>
              <w:top w:val="nil"/>
              <w:left w:val="nil"/>
              <w:bottom w:val="single" w:sz="4" w:space="0" w:color="auto"/>
              <w:right w:val="single" w:sz="4" w:space="0" w:color="auto"/>
            </w:tcBorders>
            <w:shd w:val="clear" w:color="auto" w:fill="auto"/>
            <w:noWrap/>
            <w:vAlign w:val="center"/>
            <w:hideMark/>
          </w:tcPr>
          <w:p w14:paraId="4DE9DC0F"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GCCCTGTTCCTCTCACACAG</w:t>
            </w:r>
          </w:p>
        </w:tc>
        <w:tc>
          <w:tcPr>
            <w:tcW w:w="2139" w:type="dxa"/>
            <w:vMerge w:val="restart"/>
            <w:tcBorders>
              <w:top w:val="nil"/>
              <w:left w:val="single" w:sz="8" w:space="0" w:color="auto"/>
              <w:bottom w:val="single" w:sz="8" w:space="0" w:color="auto"/>
              <w:right w:val="single" w:sz="8" w:space="0" w:color="auto"/>
            </w:tcBorders>
            <w:shd w:val="clear" w:color="auto" w:fill="auto"/>
            <w:vAlign w:val="center"/>
            <w:hideMark/>
          </w:tcPr>
          <w:p w14:paraId="1FAC007F"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Primers for construction o19T-Gjb2-35G and 19T-Gjb2-235C</w:t>
            </w:r>
          </w:p>
        </w:tc>
      </w:tr>
      <w:tr w:rsidR="009F6D14" w:rsidRPr="00DC79C5" w14:paraId="4C3A7880"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0667DCFA"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Gjb2-35-leftR</w:t>
            </w:r>
          </w:p>
        </w:tc>
        <w:tc>
          <w:tcPr>
            <w:tcW w:w="1826" w:type="dxa"/>
            <w:tcBorders>
              <w:top w:val="nil"/>
              <w:left w:val="nil"/>
              <w:bottom w:val="single" w:sz="4" w:space="0" w:color="auto"/>
              <w:right w:val="single" w:sz="4" w:space="0" w:color="auto"/>
            </w:tcBorders>
            <w:shd w:val="clear" w:color="auto" w:fill="auto"/>
            <w:noWrap/>
            <w:vAlign w:val="center"/>
            <w:hideMark/>
          </w:tcPr>
          <w:p w14:paraId="59951911"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CTGGTGGAGTGTTTGTTGACACCCCGAGG</w:t>
            </w:r>
          </w:p>
        </w:tc>
        <w:tc>
          <w:tcPr>
            <w:tcW w:w="2139" w:type="dxa"/>
            <w:vMerge/>
            <w:tcBorders>
              <w:top w:val="nil"/>
              <w:left w:val="single" w:sz="8" w:space="0" w:color="auto"/>
              <w:bottom w:val="single" w:sz="8" w:space="0" w:color="auto"/>
              <w:right w:val="single" w:sz="8" w:space="0" w:color="auto"/>
            </w:tcBorders>
            <w:vAlign w:val="center"/>
            <w:hideMark/>
          </w:tcPr>
          <w:p w14:paraId="47EF8E7F"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7CFBBB61"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7A2DA295"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Gjb2-35-rightF</w:t>
            </w:r>
          </w:p>
        </w:tc>
        <w:tc>
          <w:tcPr>
            <w:tcW w:w="1826" w:type="dxa"/>
            <w:tcBorders>
              <w:top w:val="nil"/>
              <w:left w:val="nil"/>
              <w:bottom w:val="single" w:sz="4" w:space="0" w:color="auto"/>
              <w:right w:val="single" w:sz="4" w:space="0" w:color="auto"/>
            </w:tcBorders>
            <w:shd w:val="clear" w:color="auto" w:fill="auto"/>
            <w:noWrap/>
            <w:vAlign w:val="center"/>
            <w:hideMark/>
          </w:tcPr>
          <w:p w14:paraId="43C33766"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CCAGAGCATCCTCGGGGTGTCAACAAACACT</w:t>
            </w:r>
          </w:p>
        </w:tc>
        <w:tc>
          <w:tcPr>
            <w:tcW w:w="2139" w:type="dxa"/>
            <w:vMerge/>
            <w:tcBorders>
              <w:top w:val="nil"/>
              <w:left w:val="single" w:sz="8" w:space="0" w:color="auto"/>
              <w:bottom w:val="single" w:sz="8" w:space="0" w:color="auto"/>
              <w:right w:val="single" w:sz="8" w:space="0" w:color="auto"/>
            </w:tcBorders>
            <w:vAlign w:val="center"/>
            <w:hideMark/>
          </w:tcPr>
          <w:p w14:paraId="333114E7"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48C5DB20"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605073CB"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Gjb2-35/235-rightR</w:t>
            </w:r>
          </w:p>
        </w:tc>
        <w:tc>
          <w:tcPr>
            <w:tcW w:w="1826" w:type="dxa"/>
            <w:tcBorders>
              <w:top w:val="nil"/>
              <w:left w:val="nil"/>
              <w:bottom w:val="single" w:sz="4" w:space="0" w:color="auto"/>
              <w:right w:val="single" w:sz="4" w:space="0" w:color="auto"/>
            </w:tcBorders>
            <w:shd w:val="clear" w:color="auto" w:fill="auto"/>
            <w:noWrap/>
            <w:vAlign w:val="center"/>
            <w:hideMark/>
          </w:tcPr>
          <w:p w14:paraId="097720D2"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CTCAGTGGCACCTTCCTCAG</w:t>
            </w:r>
          </w:p>
        </w:tc>
        <w:tc>
          <w:tcPr>
            <w:tcW w:w="2139" w:type="dxa"/>
            <w:vMerge/>
            <w:tcBorders>
              <w:top w:val="nil"/>
              <w:left w:val="single" w:sz="8" w:space="0" w:color="auto"/>
              <w:bottom w:val="single" w:sz="8" w:space="0" w:color="auto"/>
              <w:right w:val="single" w:sz="8" w:space="0" w:color="auto"/>
            </w:tcBorders>
            <w:vAlign w:val="center"/>
            <w:hideMark/>
          </w:tcPr>
          <w:p w14:paraId="3A32C53F"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347DCC99"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69744146"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Gjb2-235-leftR</w:t>
            </w:r>
          </w:p>
        </w:tc>
        <w:tc>
          <w:tcPr>
            <w:tcW w:w="1826" w:type="dxa"/>
            <w:tcBorders>
              <w:top w:val="nil"/>
              <w:left w:val="nil"/>
              <w:bottom w:val="single" w:sz="4" w:space="0" w:color="auto"/>
              <w:right w:val="single" w:sz="4" w:space="0" w:color="auto"/>
            </w:tcBorders>
            <w:shd w:val="clear" w:color="auto" w:fill="auto"/>
            <w:noWrap/>
            <w:vAlign w:val="center"/>
            <w:hideMark/>
          </w:tcPr>
          <w:p w14:paraId="2BF914CA"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TGGCGTGGACACCATGATCAGCTGCAAGCCCA</w:t>
            </w:r>
          </w:p>
        </w:tc>
        <w:tc>
          <w:tcPr>
            <w:tcW w:w="2139" w:type="dxa"/>
            <w:vMerge/>
            <w:tcBorders>
              <w:top w:val="nil"/>
              <w:left w:val="single" w:sz="8" w:space="0" w:color="auto"/>
              <w:bottom w:val="single" w:sz="8" w:space="0" w:color="auto"/>
              <w:right w:val="single" w:sz="8" w:space="0" w:color="auto"/>
            </w:tcBorders>
            <w:vAlign w:val="center"/>
            <w:hideMark/>
          </w:tcPr>
          <w:p w14:paraId="0D9F549D"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4AA1B605"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591EE0F2"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Gjb2-235-rightF</w:t>
            </w:r>
          </w:p>
        </w:tc>
        <w:tc>
          <w:tcPr>
            <w:tcW w:w="1826" w:type="dxa"/>
            <w:tcBorders>
              <w:top w:val="nil"/>
              <w:left w:val="nil"/>
              <w:bottom w:val="single" w:sz="4" w:space="0" w:color="auto"/>
              <w:right w:val="single" w:sz="4" w:space="0" w:color="auto"/>
            </w:tcBorders>
            <w:shd w:val="clear" w:color="auto" w:fill="auto"/>
            <w:noWrap/>
            <w:vAlign w:val="center"/>
            <w:hideMark/>
          </w:tcPr>
          <w:p w14:paraId="10A89C2D"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TCCGGCTCTGGGCTTGCAGCTGATCATGGTGTC</w:t>
            </w:r>
          </w:p>
        </w:tc>
        <w:tc>
          <w:tcPr>
            <w:tcW w:w="2139" w:type="dxa"/>
            <w:vMerge/>
            <w:tcBorders>
              <w:top w:val="nil"/>
              <w:left w:val="single" w:sz="8" w:space="0" w:color="auto"/>
              <w:bottom w:val="single" w:sz="8" w:space="0" w:color="auto"/>
              <w:right w:val="single" w:sz="8" w:space="0" w:color="auto"/>
            </w:tcBorders>
            <w:vAlign w:val="center"/>
            <w:hideMark/>
          </w:tcPr>
          <w:p w14:paraId="2F7C3248"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06A1DECE"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38D0AAB2"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Gjb2-checkF</w:t>
            </w:r>
          </w:p>
        </w:tc>
        <w:tc>
          <w:tcPr>
            <w:tcW w:w="1826" w:type="dxa"/>
            <w:tcBorders>
              <w:top w:val="nil"/>
              <w:left w:val="nil"/>
              <w:bottom w:val="single" w:sz="4" w:space="0" w:color="auto"/>
              <w:right w:val="single" w:sz="4" w:space="0" w:color="auto"/>
            </w:tcBorders>
            <w:shd w:val="clear" w:color="auto" w:fill="auto"/>
            <w:noWrap/>
            <w:vAlign w:val="center"/>
            <w:hideMark/>
          </w:tcPr>
          <w:p w14:paraId="38313014"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TGCCCGGGAAGACAGTTAAG</w:t>
            </w:r>
          </w:p>
        </w:tc>
        <w:tc>
          <w:tcPr>
            <w:tcW w:w="2139" w:type="dxa"/>
            <w:vMerge w:val="restart"/>
            <w:tcBorders>
              <w:top w:val="nil"/>
              <w:left w:val="single" w:sz="8" w:space="0" w:color="auto"/>
              <w:bottom w:val="single" w:sz="8" w:space="0" w:color="auto"/>
              <w:right w:val="single" w:sz="8" w:space="0" w:color="auto"/>
            </w:tcBorders>
            <w:shd w:val="clear" w:color="auto" w:fill="auto"/>
            <w:vAlign w:val="center"/>
            <w:hideMark/>
          </w:tcPr>
          <w:p w14:paraId="520E38B2" w14:textId="77777777" w:rsidR="009F6D14" w:rsidRPr="00DC79C5" w:rsidRDefault="009F6D14" w:rsidP="00681C64">
            <w:pPr>
              <w:rPr>
                <w:rFonts w:ascii="Times New Roman" w:eastAsia="DengXian" w:hAnsi="Times New Roman" w:cs="Times New Roman"/>
                <w:color w:val="000000"/>
                <w:sz w:val="18"/>
                <w:szCs w:val="18"/>
              </w:rPr>
            </w:pPr>
            <w:r w:rsidRPr="00DC79C5">
              <w:rPr>
                <w:rFonts w:ascii="Times New Roman" w:eastAsia="DengXian" w:hAnsi="Times New Roman" w:cs="Times New Roman"/>
                <w:color w:val="000000"/>
                <w:sz w:val="18"/>
                <w:szCs w:val="18"/>
              </w:rPr>
              <w:t>Genotyping</w:t>
            </w:r>
          </w:p>
        </w:tc>
      </w:tr>
      <w:tr w:rsidR="009F6D14" w:rsidRPr="00DC79C5" w14:paraId="6E243A7D"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0AED4C05"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Gjb2-checkR</w:t>
            </w:r>
          </w:p>
        </w:tc>
        <w:tc>
          <w:tcPr>
            <w:tcW w:w="1826" w:type="dxa"/>
            <w:tcBorders>
              <w:top w:val="nil"/>
              <w:left w:val="nil"/>
              <w:bottom w:val="nil"/>
              <w:right w:val="nil"/>
            </w:tcBorders>
            <w:shd w:val="clear" w:color="auto" w:fill="auto"/>
            <w:noWrap/>
            <w:vAlign w:val="center"/>
            <w:hideMark/>
          </w:tcPr>
          <w:p w14:paraId="4C8A24B9" w14:textId="77777777" w:rsidR="009F6D14" w:rsidRPr="00DC79C5" w:rsidRDefault="009F6D14" w:rsidP="00681C64">
            <w:pPr>
              <w:rPr>
                <w:rFonts w:ascii="Times New Roman" w:eastAsia="DengXian" w:hAnsi="Times New Roman" w:cs="Times New Roman"/>
                <w:color w:val="222222"/>
                <w:sz w:val="18"/>
                <w:szCs w:val="18"/>
              </w:rPr>
            </w:pPr>
            <w:r w:rsidRPr="00DC79C5">
              <w:rPr>
                <w:rFonts w:ascii="Times New Roman" w:eastAsia="DengXian" w:hAnsi="Times New Roman" w:cs="Times New Roman"/>
                <w:color w:val="222222"/>
                <w:sz w:val="18"/>
                <w:szCs w:val="18"/>
              </w:rPr>
              <w:t>TTCATGTCTCCGGTAGGCCA</w:t>
            </w:r>
          </w:p>
        </w:tc>
        <w:tc>
          <w:tcPr>
            <w:tcW w:w="2139" w:type="dxa"/>
            <w:vMerge/>
            <w:tcBorders>
              <w:top w:val="nil"/>
              <w:left w:val="single" w:sz="8" w:space="0" w:color="auto"/>
              <w:bottom w:val="single" w:sz="8" w:space="0" w:color="auto"/>
              <w:right w:val="single" w:sz="8" w:space="0" w:color="auto"/>
            </w:tcBorders>
            <w:vAlign w:val="center"/>
            <w:hideMark/>
          </w:tcPr>
          <w:p w14:paraId="6AAF9CEE"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6570D665" w14:textId="77777777" w:rsidTr="00681C64">
        <w:trPr>
          <w:trHeight w:val="346"/>
        </w:trPr>
        <w:tc>
          <w:tcPr>
            <w:tcW w:w="1826" w:type="dxa"/>
            <w:tcBorders>
              <w:top w:val="nil"/>
              <w:left w:val="single" w:sz="4" w:space="0" w:color="auto"/>
              <w:bottom w:val="single" w:sz="4" w:space="0" w:color="auto"/>
              <w:right w:val="nil"/>
            </w:tcBorders>
            <w:shd w:val="clear" w:color="auto" w:fill="auto"/>
            <w:noWrap/>
            <w:vAlign w:val="center"/>
            <w:hideMark/>
          </w:tcPr>
          <w:p w14:paraId="7EE4BA0D"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H19-DMR-wt-F</w:t>
            </w:r>
          </w:p>
        </w:tc>
        <w:tc>
          <w:tcPr>
            <w:tcW w:w="1826" w:type="dxa"/>
            <w:tcBorders>
              <w:top w:val="single" w:sz="4" w:space="0" w:color="auto"/>
              <w:left w:val="single" w:sz="4" w:space="0" w:color="auto"/>
              <w:bottom w:val="single" w:sz="4" w:space="0" w:color="auto"/>
              <w:right w:val="nil"/>
            </w:tcBorders>
            <w:shd w:val="clear" w:color="auto" w:fill="auto"/>
            <w:noWrap/>
            <w:vAlign w:val="center"/>
            <w:hideMark/>
          </w:tcPr>
          <w:p w14:paraId="27C2939D"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AGATGGGGTCATTCTTTTCC</w:t>
            </w:r>
          </w:p>
        </w:tc>
        <w:tc>
          <w:tcPr>
            <w:tcW w:w="2139" w:type="dxa"/>
            <w:vMerge/>
            <w:tcBorders>
              <w:top w:val="nil"/>
              <w:left w:val="single" w:sz="8" w:space="0" w:color="auto"/>
              <w:bottom w:val="single" w:sz="8" w:space="0" w:color="auto"/>
              <w:right w:val="single" w:sz="8" w:space="0" w:color="auto"/>
            </w:tcBorders>
            <w:vAlign w:val="center"/>
            <w:hideMark/>
          </w:tcPr>
          <w:p w14:paraId="6EA5B07E"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0FD594FB" w14:textId="77777777" w:rsidTr="00681C64">
        <w:trPr>
          <w:trHeight w:val="346"/>
        </w:trPr>
        <w:tc>
          <w:tcPr>
            <w:tcW w:w="1826" w:type="dxa"/>
            <w:tcBorders>
              <w:top w:val="nil"/>
              <w:left w:val="single" w:sz="4" w:space="0" w:color="auto"/>
              <w:bottom w:val="single" w:sz="4" w:space="0" w:color="auto"/>
              <w:right w:val="nil"/>
            </w:tcBorders>
            <w:shd w:val="clear" w:color="auto" w:fill="auto"/>
            <w:noWrap/>
            <w:vAlign w:val="center"/>
            <w:hideMark/>
          </w:tcPr>
          <w:p w14:paraId="34DDCE03"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H19-DMR-wt-R</w:t>
            </w:r>
          </w:p>
        </w:tc>
        <w:tc>
          <w:tcPr>
            <w:tcW w:w="1826" w:type="dxa"/>
            <w:tcBorders>
              <w:top w:val="nil"/>
              <w:left w:val="single" w:sz="4" w:space="0" w:color="auto"/>
              <w:bottom w:val="single" w:sz="4" w:space="0" w:color="auto"/>
              <w:right w:val="nil"/>
            </w:tcBorders>
            <w:shd w:val="clear" w:color="auto" w:fill="auto"/>
            <w:noWrap/>
            <w:vAlign w:val="center"/>
            <w:hideMark/>
          </w:tcPr>
          <w:p w14:paraId="3C352374"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ATTGCTCTTAGCTTCTGTTG</w:t>
            </w:r>
          </w:p>
        </w:tc>
        <w:tc>
          <w:tcPr>
            <w:tcW w:w="2139" w:type="dxa"/>
            <w:vMerge/>
            <w:tcBorders>
              <w:top w:val="nil"/>
              <w:left w:val="single" w:sz="8" w:space="0" w:color="auto"/>
              <w:bottom w:val="single" w:sz="8" w:space="0" w:color="auto"/>
              <w:right w:val="single" w:sz="8" w:space="0" w:color="auto"/>
            </w:tcBorders>
            <w:vAlign w:val="center"/>
            <w:hideMark/>
          </w:tcPr>
          <w:p w14:paraId="5D9DF53A"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649C12A4" w14:textId="77777777" w:rsidTr="00681C64">
        <w:trPr>
          <w:trHeight w:val="346"/>
        </w:trPr>
        <w:tc>
          <w:tcPr>
            <w:tcW w:w="1826" w:type="dxa"/>
            <w:tcBorders>
              <w:top w:val="nil"/>
              <w:left w:val="single" w:sz="4" w:space="0" w:color="auto"/>
              <w:bottom w:val="single" w:sz="4" w:space="0" w:color="auto"/>
              <w:right w:val="nil"/>
            </w:tcBorders>
            <w:shd w:val="clear" w:color="auto" w:fill="auto"/>
            <w:noWrap/>
            <w:vAlign w:val="center"/>
            <w:hideMark/>
          </w:tcPr>
          <w:p w14:paraId="0FC10BAC"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H19-DMR-del-F</w:t>
            </w:r>
          </w:p>
        </w:tc>
        <w:tc>
          <w:tcPr>
            <w:tcW w:w="1826" w:type="dxa"/>
            <w:tcBorders>
              <w:top w:val="nil"/>
              <w:left w:val="single" w:sz="4" w:space="0" w:color="auto"/>
              <w:bottom w:val="single" w:sz="4" w:space="0" w:color="auto"/>
              <w:right w:val="nil"/>
            </w:tcBorders>
            <w:shd w:val="clear" w:color="auto" w:fill="auto"/>
            <w:noWrap/>
            <w:vAlign w:val="center"/>
            <w:hideMark/>
          </w:tcPr>
          <w:p w14:paraId="7BE97895"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GTGGTTAGTTCTATATGGGG</w:t>
            </w:r>
          </w:p>
        </w:tc>
        <w:tc>
          <w:tcPr>
            <w:tcW w:w="2139" w:type="dxa"/>
            <w:vMerge/>
            <w:tcBorders>
              <w:top w:val="nil"/>
              <w:left w:val="single" w:sz="8" w:space="0" w:color="auto"/>
              <w:bottom w:val="single" w:sz="8" w:space="0" w:color="auto"/>
              <w:right w:val="single" w:sz="8" w:space="0" w:color="auto"/>
            </w:tcBorders>
            <w:vAlign w:val="center"/>
            <w:hideMark/>
          </w:tcPr>
          <w:p w14:paraId="46C3E7B0"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76EECEDD" w14:textId="77777777" w:rsidTr="00681C64">
        <w:trPr>
          <w:trHeight w:val="346"/>
        </w:trPr>
        <w:tc>
          <w:tcPr>
            <w:tcW w:w="1826" w:type="dxa"/>
            <w:tcBorders>
              <w:top w:val="nil"/>
              <w:left w:val="single" w:sz="4" w:space="0" w:color="auto"/>
              <w:bottom w:val="single" w:sz="4" w:space="0" w:color="auto"/>
              <w:right w:val="nil"/>
            </w:tcBorders>
            <w:shd w:val="clear" w:color="auto" w:fill="auto"/>
            <w:noWrap/>
            <w:vAlign w:val="center"/>
            <w:hideMark/>
          </w:tcPr>
          <w:p w14:paraId="52841743"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H19-DMR-del-R</w:t>
            </w:r>
          </w:p>
        </w:tc>
        <w:tc>
          <w:tcPr>
            <w:tcW w:w="1826" w:type="dxa"/>
            <w:tcBorders>
              <w:top w:val="nil"/>
              <w:left w:val="single" w:sz="4" w:space="0" w:color="auto"/>
              <w:bottom w:val="single" w:sz="4" w:space="0" w:color="auto"/>
              <w:right w:val="nil"/>
            </w:tcBorders>
            <w:shd w:val="clear" w:color="auto" w:fill="auto"/>
            <w:noWrap/>
            <w:vAlign w:val="center"/>
            <w:hideMark/>
          </w:tcPr>
          <w:p w14:paraId="307D3E95"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TCTTACAGTCTGGTCTTGGT</w:t>
            </w:r>
          </w:p>
        </w:tc>
        <w:tc>
          <w:tcPr>
            <w:tcW w:w="2139" w:type="dxa"/>
            <w:vMerge/>
            <w:tcBorders>
              <w:top w:val="nil"/>
              <w:left w:val="single" w:sz="8" w:space="0" w:color="auto"/>
              <w:bottom w:val="single" w:sz="8" w:space="0" w:color="auto"/>
              <w:right w:val="single" w:sz="8" w:space="0" w:color="auto"/>
            </w:tcBorders>
            <w:vAlign w:val="center"/>
            <w:hideMark/>
          </w:tcPr>
          <w:p w14:paraId="4FD69A6B"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4DA39280"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4282E5E0"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IG-DMR-wt-F</w:t>
            </w:r>
          </w:p>
        </w:tc>
        <w:tc>
          <w:tcPr>
            <w:tcW w:w="1826" w:type="dxa"/>
            <w:tcBorders>
              <w:top w:val="nil"/>
              <w:left w:val="nil"/>
              <w:bottom w:val="single" w:sz="4" w:space="0" w:color="auto"/>
              <w:right w:val="nil"/>
            </w:tcBorders>
            <w:shd w:val="clear" w:color="auto" w:fill="auto"/>
            <w:noWrap/>
            <w:vAlign w:val="center"/>
            <w:hideMark/>
          </w:tcPr>
          <w:p w14:paraId="32B9AA4D"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 xml:space="preserve">TGTATGGTACAAACCGGGTGA </w:t>
            </w:r>
          </w:p>
        </w:tc>
        <w:tc>
          <w:tcPr>
            <w:tcW w:w="2139" w:type="dxa"/>
            <w:vMerge/>
            <w:tcBorders>
              <w:top w:val="nil"/>
              <w:left w:val="single" w:sz="8" w:space="0" w:color="auto"/>
              <w:bottom w:val="single" w:sz="8" w:space="0" w:color="auto"/>
              <w:right w:val="single" w:sz="8" w:space="0" w:color="auto"/>
            </w:tcBorders>
            <w:vAlign w:val="center"/>
            <w:hideMark/>
          </w:tcPr>
          <w:p w14:paraId="17C72358"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4EB016A7" w14:textId="77777777" w:rsidTr="00681C64">
        <w:trPr>
          <w:trHeight w:val="346"/>
        </w:trPr>
        <w:tc>
          <w:tcPr>
            <w:tcW w:w="1826" w:type="dxa"/>
            <w:tcBorders>
              <w:top w:val="nil"/>
              <w:left w:val="single" w:sz="4" w:space="0" w:color="auto"/>
              <w:bottom w:val="single" w:sz="4" w:space="0" w:color="auto"/>
              <w:right w:val="single" w:sz="4" w:space="0" w:color="auto"/>
            </w:tcBorders>
            <w:shd w:val="clear" w:color="auto" w:fill="auto"/>
            <w:noWrap/>
            <w:vAlign w:val="center"/>
            <w:hideMark/>
          </w:tcPr>
          <w:p w14:paraId="173826CC"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IG-DMR-wt-R</w:t>
            </w:r>
          </w:p>
        </w:tc>
        <w:tc>
          <w:tcPr>
            <w:tcW w:w="1826" w:type="dxa"/>
            <w:tcBorders>
              <w:top w:val="nil"/>
              <w:left w:val="nil"/>
              <w:bottom w:val="single" w:sz="4" w:space="0" w:color="auto"/>
              <w:right w:val="nil"/>
            </w:tcBorders>
            <w:shd w:val="clear" w:color="auto" w:fill="auto"/>
            <w:noWrap/>
            <w:vAlign w:val="center"/>
            <w:hideMark/>
          </w:tcPr>
          <w:p w14:paraId="603521F8"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ACTTTTGCTGTGAGGCACTTG</w:t>
            </w:r>
          </w:p>
        </w:tc>
        <w:tc>
          <w:tcPr>
            <w:tcW w:w="2139" w:type="dxa"/>
            <w:vMerge/>
            <w:tcBorders>
              <w:top w:val="nil"/>
              <w:left w:val="single" w:sz="8" w:space="0" w:color="auto"/>
              <w:bottom w:val="single" w:sz="8" w:space="0" w:color="auto"/>
              <w:right w:val="single" w:sz="8" w:space="0" w:color="auto"/>
            </w:tcBorders>
            <w:vAlign w:val="center"/>
            <w:hideMark/>
          </w:tcPr>
          <w:p w14:paraId="71651A55"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38B63FC1" w14:textId="77777777" w:rsidTr="00681C64">
        <w:trPr>
          <w:trHeight w:val="346"/>
        </w:trPr>
        <w:tc>
          <w:tcPr>
            <w:tcW w:w="1826" w:type="dxa"/>
            <w:tcBorders>
              <w:top w:val="nil"/>
              <w:left w:val="single" w:sz="4" w:space="0" w:color="auto"/>
              <w:bottom w:val="single" w:sz="4" w:space="0" w:color="auto"/>
              <w:right w:val="nil"/>
            </w:tcBorders>
            <w:shd w:val="clear" w:color="auto" w:fill="auto"/>
            <w:noWrap/>
            <w:vAlign w:val="center"/>
            <w:hideMark/>
          </w:tcPr>
          <w:p w14:paraId="5461F489"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IG-DMR-del-F</w:t>
            </w:r>
          </w:p>
        </w:tc>
        <w:tc>
          <w:tcPr>
            <w:tcW w:w="1826" w:type="dxa"/>
            <w:tcBorders>
              <w:top w:val="nil"/>
              <w:left w:val="single" w:sz="4" w:space="0" w:color="auto"/>
              <w:bottom w:val="single" w:sz="4" w:space="0" w:color="auto"/>
              <w:right w:val="nil"/>
            </w:tcBorders>
            <w:shd w:val="clear" w:color="auto" w:fill="auto"/>
            <w:noWrap/>
            <w:vAlign w:val="center"/>
            <w:hideMark/>
          </w:tcPr>
          <w:p w14:paraId="4CEF0CE0"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TGTGCAGCAGCAAAGCTAAG</w:t>
            </w:r>
          </w:p>
        </w:tc>
        <w:tc>
          <w:tcPr>
            <w:tcW w:w="2139" w:type="dxa"/>
            <w:vMerge/>
            <w:tcBorders>
              <w:top w:val="nil"/>
              <w:left w:val="single" w:sz="8" w:space="0" w:color="auto"/>
              <w:bottom w:val="single" w:sz="8" w:space="0" w:color="auto"/>
              <w:right w:val="single" w:sz="8" w:space="0" w:color="auto"/>
            </w:tcBorders>
            <w:vAlign w:val="center"/>
            <w:hideMark/>
          </w:tcPr>
          <w:p w14:paraId="09CDD6CE" w14:textId="77777777" w:rsidR="009F6D14" w:rsidRPr="00DC79C5" w:rsidRDefault="009F6D14" w:rsidP="00681C64">
            <w:pPr>
              <w:rPr>
                <w:rFonts w:ascii="Times New Roman" w:eastAsia="DengXian" w:hAnsi="Times New Roman" w:cs="Times New Roman"/>
                <w:color w:val="000000"/>
                <w:sz w:val="18"/>
                <w:szCs w:val="18"/>
              </w:rPr>
            </w:pPr>
          </w:p>
        </w:tc>
      </w:tr>
      <w:tr w:rsidR="009F6D14" w:rsidRPr="00DC79C5" w14:paraId="40A22376" w14:textId="77777777" w:rsidTr="00681C64">
        <w:trPr>
          <w:trHeight w:val="346"/>
        </w:trPr>
        <w:tc>
          <w:tcPr>
            <w:tcW w:w="1826" w:type="dxa"/>
            <w:tcBorders>
              <w:top w:val="nil"/>
              <w:left w:val="single" w:sz="4" w:space="0" w:color="auto"/>
              <w:bottom w:val="single" w:sz="4" w:space="0" w:color="auto"/>
              <w:right w:val="nil"/>
            </w:tcBorders>
            <w:shd w:val="clear" w:color="auto" w:fill="auto"/>
            <w:noWrap/>
            <w:vAlign w:val="center"/>
            <w:hideMark/>
          </w:tcPr>
          <w:p w14:paraId="42B89B51" w14:textId="77777777" w:rsidR="009F6D14" w:rsidRPr="00DC79C5" w:rsidRDefault="009F6D14" w:rsidP="00681C64">
            <w:pPr>
              <w:rPr>
                <w:rFonts w:ascii="Times New Roman" w:eastAsia="DengXian" w:hAnsi="Times New Roman" w:cs="Times New Roman"/>
                <w:sz w:val="18"/>
                <w:szCs w:val="18"/>
              </w:rPr>
            </w:pPr>
            <w:r w:rsidRPr="00DC79C5">
              <w:rPr>
                <w:rFonts w:ascii="Times New Roman" w:eastAsia="DengXian" w:hAnsi="Times New Roman" w:cs="Times New Roman"/>
                <w:sz w:val="18"/>
                <w:szCs w:val="18"/>
              </w:rPr>
              <w:t>IG-DMR-del-R</w:t>
            </w:r>
          </w:p>
        </w:tc>
        <w:tc>
          <w:tcPr>
            <w:tcW w:w="1826" w:type="dxa"/>
            <w:tcBorders>
              <w:top w:val="nil"/>
              <w:left w:val="single" w:sz="4" w:space="0" w:color="auto"/>
              <w:bottom w:val="single" w:sz="4" w:space="0" w:color="auto"/>
              <w:right w:val="nil"/>
            </w:tcBorders>
            <w:shd w:val="clear" w:color="auto" w:fill="auto"/>
            <w:noWrap/>
            <w:vAlign w:val="center"/>
            <w:hideMark/>
          </w:tcPr>
          <w:p w14:paraId="3F2B41DA" w14:textId="77777777" w:rsidR="009F6D14" w:rsidRPr="00DC79C5" w:rsidRDefault="009F6D14" w:rsidP="00681C64">
            <w:pPr>
              <w:rPr>
                <w:rFonts w:ascii="Times New Roman" w:eastAsia="DengXian" w:hAnsi="Times New Roman" w:cs="Times New Roman"/>
                <w:sz w:val="18"/>
                <w:szCs w:val="18"/>
              </w:rPr>
            </w:pPr>
            <w:bookmarkStart w:id="1" w:name="RANGE!B22"/>
            <w:r w:rsidRPr="00DC79C5">
              <w:rPr>
                <w:rFonts w:ascii="Times New Roman" w:eastAsia="DengXian" w:hAnsi="Times New Roman" w:cs="Times New Roman"/>
                <w:sz w:val="18"/>
                <w:szCs w:val="18"/>
              </w:rPr>
              <w:t>ATACGATACGGCAACCAACG</w:t>
            </w:r>
            <w:bookmarkEnd w:id="1"/>
          </w:p>
        </w:tc>
        <w:tc>
          <w:tcPr>
            <w:tcW w:w="2139" w:type="dxa"/>
            <w:vMerge/>
            <w:tcBorders>
              <w:top w:val="nil"/>
              <w:left w:val="single" w:sz="8" w:space="0" w:color="auto"/>
              <w:bottom w:val="single" w:sz="8" w:space="0" w:color="auto"/>
              <w:right w:val="single" w:sz="8" w:space="0" w:color="auto"/>
            </w:tcBorders>
            <w:vAlign w:val="center"/>
            <w:hideMark/>
          </w:tcPr>
          <w:p w14:paraId="798A1059" w14:textId="77777777" w:rsidR="009F6D14" w:rsidRPr="00DC79C5" w:rsidRDefault="009F6D14" w:rsidP="00681C64">
            <w:pPr>
              <w:rPr>
                <w:rFonts w:ascii="Times New Roman" w:eastAsia="DengXian" w:hAnsi="Times New Roman" w:cs="Times New Roman"/>
                <w:color w:val="000000"/>
                <w:sz w:val="18"/>
                <w:szCs w:val="18"/>
              </w:rPr>
            </w:pPr>
          </w:p>
        </w:tc>
      </w:tr>
    </w:tbl>
    <w:p w14:paraId="27374CE5" w14:textId="77777777" w:rsidR="009F6D14" w:rsidRPr="00DC79C5" w:rsidRDefault="009F6D14" w:rsidP="009F6D14">
      <w:pPr>
        <w:spacing w:line="360" w:lineRule="auto"/>
        <w:rPr>
          <w:rFonts w:ascii="Times New Roman" w:hAnsi="Times New Roman" w:cs="Times New Roman"/>
          <w:sz w:val="20"/>
        </w:rPr>
      </w:pPr>
    </w:p>
    <w:p w14:paraId="0F8DBDAB" w14:textId="77777777" w:rsidR="009F6D14" w:rsidRPr="00DC79C5" w:rsidRDefault="009F6D14" w:rsidP="009F6D14">
      <w:pPr>
        <w:spacing w:line="360" w:lineRule="auto"/>
        <w:rPr>
          <w:rFonts w:ascii="Times New Roman" w:hAnsi="Times New Roman" w:cs="Times New Roman"/>
          <w:b/>
          <w:bCs/>
          <w:sz w:val="20"/>
        </w:rPr>
      </w:pPr>
    </w:p>
    <w:p w14:paraId="4BB1FFBE" w14:textId="77777777" w:rsidR="009F6D14" w:rsidRPr="00995222" w:rsidRDefault="009F6D14" w:rsidP="009F6D14">
      <w:pPr>
        <w:spacing w:line="360" w:lineRule="auto"/>
        <w:rPr>
          <w:rFonts w:ascii="Times New Roman" w:hAnsi="Times New Roman" w:cs="Times New Roman"/>
          <w:sz w:val="20"/>
        </w:rPr>
      </w:pPr>
      <w:r w:rsidRPr="004C44EC">
        <w:rPr>
          <w:rFonts w:ascii="Times New Roman" w:hAnsi="Times New Roman" w:cs="Times New Roman"/>
          <w:b/>
          <w:bCs/>
          <w:sz w:val="20"/>
        </w:rPr>
        <w:t xml:space="preserve">Supplemental Material. </w:t>
      </w:r>
      <w:r w:rsidRPr="00DC79C5">
        <w:rPr>
          <w:rFonts w:ascii="Times New Roman" w:hAnsi="Times New Roman" w:cs="Times New Roman"/>
          <w:sz w:val="20"/>
        </w:rPr>
        <w:t>List of DEGs between wild-type and 35delG homozygous cochleae.</w:t>
      </w:r>
    </w:p>
    <w:p w14:paraId="06AD05D3" w14:textId="77777777" w:rsidR="009F6D14" w:rsidRPr="00995222" w:rsidRDefault="009F6D14" w:rsidP="009F6D14">
      <w:pPr>
        <w:pBdr>
          <w:top w:val="nil"/>
          <w:left w:val="nil"/>
          <w:bottom w:val="nil"/>
          <w:right w:val="nil"/>
          <w:between w:val="nil"/>
        </w:pBdr>
        <w:spacing w:line="360" w:lineRule="auto"/>
        <w:contextualSpacing/>
        <w:rPr>
          <w:rFonts w:ascii="Times New Roman" w:hAnsi="Times New Roman" w:cs="Times New Roman"/>
          <w:b/>
          <w:bCs/>
          <w:color w:val="000000"/>
          <w:sz w:val="20"/>
          <w:szCs w:val="20"/>
        </w:rPr>
      </w:pPr>
    </w:p>
    <w:p w14:paraId="36C53569" w14:textId="77777777" w:rsidR="009F6D14" w:rsidRPr="0000115E" w:rsidRDefault="009F6D14" w:rsidP="009F6D14"/>
    <w:p w14:paraId="469EDB1B" w14:textId="77777777" w:rsidR="009F6D14" w:rsidRPr="00350E31" w:rsidRDefault="009F6D14" w:rsidP="009F6D14">
      <w:pPr>
        <w:pBdr>
          <w:top w:val="nil"/>
          <w:left w:val="nil"/>
          <w:bottom w:val="nil"/>
          <w:right w:val="nil"/>
          <w:between w:val="nil"/>
        </w:pBdr>
        <w:spacing w:line="360" w:lineRule="auto"/>
        <w:contextualSpacing/>
        <w:rPr>
          <w:rFonts w:ascii="Times New Roman" w:hAnsi="Times New Roman" w:cs="Times New Roman"/>
          <w:sz w:val="20"/>
          <w:szCs w:val="20"/>
        </w:rPr>
      </w:pPr>
    </w:p>
    <w:p w14:paraId="57486C1B" w14:textId="77777777" w:rsidR="009F6D14" w:rsidRPr="00DC79C5" w:rsidRDefault="009F6D14" w:rsidP="009F6D14">
      <w:pPr>
        <w:pBdr>
          <w:top w:val="nil"/>
          <w:left w:val="nil"/>
          <w:bottom w:val="nil"/>
          <w:right w:val="nil"/>
          <w:between w:val="nil"/>
        </w:pBdr>
        <w:spacing w:line="360" w:lineRule="auto"/>
        <w:contextualSpacing/>
        <w:rPr>
          <w:rFonts w:ascii="Times New Roman" w:hAnsi="Times New Roman" w:cs="Times New Roman"/>
          <w:sz w:val="20"/>
          <w:szCs w:val="20"/>
        </w:rPr>
      </w:pPr>
    </w:p>
    <w:p w14:paraId="106824B9" w14:textId="77777777" w:rsidR="009F6D14" w:rsidRPr="00DC79C5" w:rsidRDefault="009F6D14" w:rsidP="009F6D14">
      <w:pPr>
        <w:pBdr>
          <w:top w:val="nil"/>
          <w:left w:val="nil"/>
          <w:bottom w:val="nil"/>
          <w:right w:val="nil"/>
          <w:between w:val="nil"/>
        </w:pBdr>
        <w:spacing w:line="360" w:lineRule="auto"/>
        <w:contextualSpacing/>
        <w:rPr>
          <w:rFonts w:ascii="Times New Roman" w:hAnsi="Times New Roman" w:cs="Times New Roman"/>
          <w:sz w:val="20"/>
          <w:szCs w:val="20"/>
        </w:rPr>
      </w:pPr>
    </w:p>
    <w:p w14:paraId="065589AE" w14:textId="77777777" w:rsidR="009F6D14" w:rsidRPr="0097319A" w:rsidRDefault="009F6D14" w:rsidP="009F6D14"/>
    <w:p w14:paraId="1A8F7BBB" w14:textId="77777777" w:rsidR="009F6D14" w:rsidRPr="00FB4EB6" w:rsidRDefault="009F6D14" w:rsidP="009F6D14">
      <w:pPr>
        <w:pBdr>
          <w:top w:val="nil"/>
          <w:left w:val="nil"/>
          <w:bottom w:val="nil"/>
          <w:right w:val="nil"/>
          <w:between w:val="nil"/>
        </w:pBdr>
        <w:spacing w:line="360" w:lineRule="auto"/>
        <w:contextualSpacing/>
        <w:rPr>
          <w:rFonts w:ascii="Times New Roman" w:hAnsi="Times New Roman" w:cs="Times New Roman"/>
          <w:b/>
          <w:bCs/>
          <w:color w:val="000000" w:themeColor="text1"/>
          <w:sz w:val="20"/>
          <w:szCs w:val="20"/>
        </w:rPr>
      </w:pPr>
    </w:p>
    <w:p w14:paraId="71C0CDB4" w14:textId="77777777" w:rsidR="000D4074" w:rsidRDefault="000D4074"/>
    <w:sectPr w:rsidR="000D4074" w:rsidSect="00E24A84">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14"/>
    <w:rsid w:val="000D4074"/>
    <w:rsid w:val="001E4B73"/>
    <w:rsid w:val="005314AC"/>
    <w:rsid w:val="009B53F0"/>
    <w:rsid w:val="009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25B06"/>
  <w15:chartTrackingRefBased/>
  <w15:docId w15:val="{C63B14AA-C71E-4ECF-AB52-B2816CB1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D14"/>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F6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render.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biorender.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mailto:liqing2015@sibcb.ac.cn" TargetMode="External"/><Relationship Id="rId11" Type="http://schemas.openxmlformats.org/officeDocument/2006/relationships/image" Target="media/image4.jpeg"/><Relationship Id="rId5" Type="http://schemas.openxmlformats.org/officeDocument/2006/relationships/hyperlink" Target="mailto:hwli@shmu.edu.cn" TargetMode="Externa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hyperlink" Target="mailto:yilai_shu@fudan.edu.cn" TargetMode="Externa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1427</Words>
  <Characters>8139</Characters>
  <Application>Microsoft Office Word</Application>
  <DocSecurity>0</DocSecurity>
  <Lines>67</Lines>
  <Paragraphs>19</Paragraphs>
  <ScaleCrop>false</ScaleCrop>
  <Company>Springer Nature</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2023-01-06T07:40:00Z</dcterms:created>
  <dcterms:modified xsi:type="dcterms:W3CDTF">2023-01-06T07:41:00Z</dcterms:modified>
</cp:coreProperties>
</file>