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</w:rPr>
        <w:t>Supplementary Material</w:t>
      </w:r>
    </w:p>
    <w:p>
      <w:pPr>
        <w:jc w:val="center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drawing>
          <wp:inline distT="0" distB="0" distL="114300" distR="114300">
            <wp:extent cx="4154170" cy="2848610"/>
            <wp:effectExtent l="0" t="0" r="6350" b="1270"/>
            <wp:docPr id="2" name="图片 1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417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S1</w:t>
      </w:r>
      <w:r>
        <w:rPr>
          <w:rFonts w:hint="eastAsia" w:ascii="Times New Roman" w:hAnsi="Times New Roman"/>
          <w:szCs w:val="21"/>
        </w:rPr>
        <w:t xml:space="preserve"> </w:t>
      </w:r>
      <w:bookmarkStart w:id="0" w:name="_GoBack"/>
      <w:bookmarkEnd w:id="0"/>
      <w:r>
        <w:rPr>
          <w:rFonts w:ascii="Times New Roman" w:hAnsi="Times New Roman"/>
          <w:szCs w:val="21"/>
        </w:rPr>
        <w:t>Distribution of eastern, central and western China</w:t>
      </w:r>
    </w:p>
    <w:p>
      <w:pPr>
        <w:jc w:val="center"/>
        <w:rPr>
          <w:rFonts w:ascii="Times New Roman" w:hAnsi="Times New Roman"/>
          <w:szCs w:val="21"/>
        </w:rPr>
      </w:pP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5272405" cy="3385185"/>
            <wp:effectExtent l="0" t="0" r="635" b="1333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Times New Roman" w:hAnsi="Times New Roman"/>
          <w:b/>
          <w:bCs/>
          <w:szCs w:val="21"/>
        </w:rPr>
        <w:t>S2A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Trends in standardized mortality rates are illustrated using Joinpoint analyses from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the four major NCDs</w:t>
      </w:r>
      <w:r>
        <w:rPr>
          <w:rFonts w:hint="eastAsia" w:ascii="Times New Roman" w:hAnsi="Times New Roman"/>
          <w:szCs w:val="21"/>
        </w:rPr>
        <w:t xml:space="preserve">. </w:t>
      </w:r>
      <w:r>
        <w:rPr>
          <w:rFonts w:ascii="Times New Roman" w:hAnsi="Times New Roman"/>
          <w:szCs w:val="21"/>
        </w:rPr>
        <w:t xml:space="preserve">APC indicates annual percentage change. 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</w:rPr>
        <w:t xml:space="preserve"> ≤</w:t>
      </w:r>
      <w:r>
        <w:rPr>
          <w:rFonts w:hint="eastAsia" w:ascii="Times New Roman" w:hAnsi="Times New Roman"/>
          <w:szCs w:val="21"/>
        </w:rPr>
        <w:t>0.05</w:t>
      </w:r>
    </w:p>
    <w:p>
      <w:pPr>
        <w:jc w:val="left"/>
      </w:pPr>
      <w:r>
        <w:drawing>
          <wp:inline distT="0" distB="0" distL="114300" distR="114300">
            <wp:extent cx="5273675" cy="3840480"/>
            <wp:effectExtent l="0" t="0" r="14605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Times New Roman" w:hAnsi="Times New Roman"/>
          <w:b/>
          <w:bCs/>
          <w:szCs w:val="21"/>
        </w:rPr>
        <w:t xml:space="preserve">S2B </w:t>
      </w:r>
      <w:r>
        <w:rPr>
          <w:rFonts w:ascii="Times New Roman" w:hAnsi="Times New Roman"/>
          <w:szCs w:val="21"/>
        </w:rPr>
        <w:t>Trends in standardized mortality rates are illustrated using Joinpoint analyses from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the four major NCDs by geographic</w:t>
      </w:r>
      <w:r>
        <w:rPr>
          <w:rFonts w:hint="eastAsia" w:ascii="Times New Roman" w:hAnsi="Times New Roman"/>
          <w:szCs w:val="21"/>
        </w:rPr>
        <w:t xml:space="preserve">. </w:t>
      </w:r>
      <w:r>
        <w:rPr>
          <w:rFonts w:ascii="Times New Roman" w:hAnsi="Times New Roman"/>
          <w:szCs w:val="21"/>
        </w:rPr>
        <w:t xml:space="preserve">APC indicates annual percentage change. 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</w:rPr>
        <w:t xml:space="preserve"> ≤</w:t>
      </w:r>
      <w:r>
        <w:rPr>
          <w:rFonts w:hint="eastAsia" w:ascii="Times New Roman" w:hAnsi="Times New Roman"/>
          <w:szCs w:val="21"/>
        </w:rPr>
        <w:t>0.05</w:t>
      </w:r>
    </w:p>
    <w:p>
      <w:pPr>
        <w:jc w:val="left"/>
      </w:pPr>
      <w:r>
        <w:drawing>
          <wp:inline distT="0" distB="0" distL="114300" distR="114300">
            <wp:extent cx="5273675" cy="3840480"/>
            <wp:effectExtent l="0" t="0" r="14605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Times New Roman" w:hAnsi="Times New Roman"/>
          <w:b/>
          <w:bCs/>
          <w:szCs w:val="21"/>
        </w:rPr>
        <w:t>S2C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Trends in standardized mortality rates are illustrated using Joinpoint analyses from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the four major NCDs by gender</w:t>
      </w:r>
      <w:r>
        <w:rPr>
          <w:rFonts w:hint="eastAsia" w:ascii="Times New Roman" w:hAnsi="Times New Roman"/>
          <w:szCs w:val="21"/>
        </w:rPr>
        <w:t xml:space="preserve">. </w:t>
      </w:r>
      <w:r>
        <w:rPr>
          <w:rFonts w:ascii="Times New Roman" w:hAnsi="Times New Roman"/>
          <w:szCs w:val="21"/>
        </w:rPr>
        <w:t xml:space="preserve">APC indicates annual percentage change. 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</w:rPr>
        <w:t xml:space="preserve"> ≤</w:t>
      </w:r>
      <w:r>
        <w:rPr>
          <w:rFonts w:hint="eastAsia" w:ascii="Times New Roman" w:hAnsi="Times New Roman"/>
          <w:szCs w:val="21"/>
        </w:rPr>
        <w:t>0.05</w:t>
      </w:r>
    </w:p>
    <w:p>
      <w:pPr>
        <w:jc w:val="left"/>
      </w:pPr>
      <w:r>
        <w:drawing>
          <wp:inline distT="0" distB="0" distL="114300" distR="114300">
            <wp:extent cx="5273675" cy="3840480"/>
            <wp:effectExtent l="0" t="0" r="14605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 xml:space="preserve">S2D </w:t>
      </w:r>
      <w:r>
        <w:rPr>
          <w:rFonts w:ascii="Times New Roman" w:hAnsi="Times New Roman"/>
          <w:szCs w:val="21"/>
        </w:rPr>
        <w:t xml:space="preserve">Trends in standardized mortality rates are illustrated using Joinpoint analyses by region. APC indicates annual percentage change. 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</w:rPr>
        <w:t xml:space="preserve"> ≤</w:t>
      </w:r>
      <w:r>
        <w:rPr>
          <w:rFonts w:hint="eastAsia" w:ascii="Times New Roman" w:hAnsi="Times New Roman"/>
          <w:szCs w:val="21"/>
        </w:rPr>
        <w:t>0.05</w:t>
      </w:r>
    </w:p>
    <w:p>
      <w:pPr>
        <w:rPr>
          <w:rFonts w:ascii="Times New Roman" w:hAnsi="Times New Roman"/>
          <w:b/>
          <w:bCs/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rPr>
          <w:szCs w:val="21"/>
        </w:rPr>
        <w:drawing>
          <wp:inline distT="0" distB="0" distL="114300" distR="114300">
            <wp:extent cx="4700270" cy="7034530"/>
            <wp:effectExtent l="0" t="0" r="8890" b="6350"/>
            <wp:docPr id="10" name="图片 10" descr="男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男女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703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S3A</w:t>
      </w:r>
      <w:r>
        <w:rPr>
          <w:rFonts w:hint="eastAsia" w:ascii="Times New Roman" w:hAnsi="Times New Roman"/>
          <w:szCs w:val="21"/>
        </w:rPr>
        <w:t xml:space="preserve"> Standardized mortality rates for Cancer, Diabetes, Cardiovascular disease and Chronic respiratory disease by gender </w:t>
      </w:r>
    </w:p>
    <w:p>
      <w:pPr>
        <w:rPr>
          <w:szCs w:val="21"/>
        </w:rPr>
      </w:pPr>
      <w:r>
        <w:rPr>
          <w:szCs w:val="21"/>
        </w:rPr>
        <w:drawing>
          <wp:inline distT="0" distB="0" distL="114300" distR="114300">
            <wp:extent cx="4700270" cy="7034530"/>
            <wp:effectExtent l="0" t="0" r="8890" b="6350"/>
            <wp:docPr id="9" name="图片 9" descr="城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城乡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703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S3B</w:t>
      </w:r>
      <w:r>
        <w:rPr>
          <w:rFonts w:hint="eastAsia" w:ascii="Times New Roman" w:hAnsi="Times New Roman"/>
          <w:szCs w:val="21"/>
        </w:rPr>
        <w:t xml:space="preserve"> Standardized mortality rates for Cancer, Diabetes, Cardiovascular disease and Chronic respiratory disease by urban and rural groups</w: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rFonts w:ascii="Times New Roman" w:hAnsi="Times New Roman"/>
          <w:b/>
          <w:bCs/>
          <w:szCs w:val="21"/>
        </w:rPr>
      </w:pPr>
      <w:r>
        <w:rPr>
          <w:szCs w:val="21"/>
        </w:rPr>
        <w:drawing>
          <wp:inline distT="0" distB="0" distL="114300" distR="114300">
            <wp:extent cx="4697095" cy="7031990"/>
            <wp:effectExtent l="0" t="0" r="12065" b="8890"/>
            <wp:docPr id="11" name="图片 11" descr="东中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东中西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709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ragraph">
                  <wp:posOffset>2548255</wp:posOffset>
                </wp:positionV>
                <wp:extent cx="914400" cy="9144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45pt;margin-top:200.65pt;height:72pt;width:72pt;z-index:251658240;mso-width-relative:page;mso-height-relative:page;" filled="f" stroked="f" coordsize="21600,21600" o:gfxdata="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D2F5gh2AAAAAsBAAAPAAAAAAAAAAEAIAAAACIAAABkcnMvZG93bnJldi54&#10;bWxQSwECFAAUAAAACACHTuJAOdynbogBAAD/AgAADgAAAAAAAAABACAAAAAnAQAAZHJzL2Uyb0Rv&#10;Yy54bWxQSwUGAAAAAAYABgBZAQAAI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beforeLines="0" w:afterLines="0"/>
        <w:jc w:val="left"/>
        <w:rPr>
          <w:rFonts w:hint="eastAsia" w:ascii="Times New Roman" w:hAnsi="Times New Roman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szCs w:val="21"/>
        </w:rPr>
        <w:t>S3C</w:t>
      </w:r>
      <w:r>
        <w:rPr>
          <w:rFonts w:hint="eastAsia" w:ascii="Times New Roman" w:hAnsi="Times New Roman"/>
          <w:szCs w:val="21"/>
        </w:rPr>
        <w:t xml:space="preserve"> Standardized mortality rates for Cancer, Diabetes, Cardiovascular disease and Chronic respiratory disease by re</w:t>
      </w:r>
      <w:r>
        <w:rPr>
          <w:rFonts w:hint="eastAsia" w:ascii="Times New Roman" w:hAnsi="Times New Roman"/>
          <w:szCs w:val="21"/>
          <w:lang w:val="en-US" w:eastAsia="zh-CN"/>
        </w:rPr>
        <w:t>gions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2404E"/>
    <w:rsid w:val="07DB6D0F"/>
    <w:rsid w:val="6562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中华人民共和国国务院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2022-08-26T08:38:00Z</dcterms:created>
  <dc:creator>Wu田田</dc:creator>
  <cp:lastModifiedBy>Wu田田</cp:lastModifiedBy>
  <dcterms:modified xsi:type="dcterms:W3CDTF">2022-09-10T14:38:32Z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