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9C9C2" w14:textId="77777777" w:rsidR="001C4FA3" w:rsidRDefault="00000000">
      <w:pPr>
        <w:pStyle w:val="1"/>
        <w:spacing w:line="480" w:lineRule="auto"/>
        <w:ind w:firstLineChars="0"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Appendix A. Supplementary data</w:t>
      </w:r>
    </w:p>
    <w:p w14:paraId="1E401304" w14:textId="52752425" w:rsidR="001C4FA3" w:rsidRDefault="00000000" w:rsidP="008904D4">
      <w:pPr>
        <w:pStyle w:val="ac"/>
        <w:adjustRightInd w:val="0"/>
        <w:snapToGrid w:val="0"/>
        <w:jc w:val="left"/>
        <w:outlineLvl w:val="1"/>
        <w:rPr>
          <w:b w:val="0"/>
          <w:bCs/>
          <w:sz w:val="24"/>
          <w:szCs w:val="24"/>
        </w:rPr>
      </w:pPr>
      <w:r>
        <w:rPr>
          <w:sz w:val="24"/>
          <w:szCs w:val="24"/>
        </w:rPr>
        <w:t xml:space="preserve">Table 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Table.2. \* ARABIC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</w:t>
      </w:r>
      <w:r>
        <w:rPr>
          <w:sz w:val="24"/>
          <w:szCs w:val="24"/>
        </w:rPr>
        <w:fldChar w:fldCharType="end"/>
      </w:r>
      <w:r>
        <w:rPr>
          <w:rFonts w:hint="eastAsia"/>
          <w:sz w:val="24"/>
          <w:szCs w:val="24"/>
        </w:rPr>
        <w:t xml:space="preserve"> </w:t>
      </w:r>
      <w:r>
        <w:rPr>
          <w:b w:val="0"/>
          <w:bCs/>
          <w:sz w:val="24"/>
          <w:szCs w:val="24"/>
        </w:rPr>
        <w:t xml:space="preserve">Water quality indicators at sampling sites in </w:t>
      </w:r>
      <w:r>
        <w:rPr>
          <w:rFonts w:hint="eastAsia"/>
          <w:b w:val="0"/>
          <w:bCs/>
          <w:sz w:val="24"/>
          <w:szCs w:val="24"/>
        </w:rPr>
        <w:t>April</w:t>
      </w:r>
      <w:r>
        <w:rPr>
          <w:b w:val="0"/>
          <w:bCs/>
          <w:sz w:val="24"/>
          <w:szCs w:val="24"/>
        </w:rPr>
        <w:t xml:space="preserve"> 2021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1759"/>
        <w:gridCol w:w="2093"/>
        <w:gridCol w:w="2659"/>
        <w:gridCol w:w="1767"/>
        <w:gridCol w:w="2299"/>
        <w:gridCol w:w="2661"/>
      </w:tblGrid>
      <w:tr w:rsidR="001C4FA3" w14:paraId="11494F7A" w14:textId="77777777" w:rsidTr="001C4F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0"/>
          <w:tblHeader/>
        </w:trPr>
        <w:tc>
          <w:tcPr>
            <w:tcW w:w="664" w:type="pct"/>
            <w:vAlign w:val="center"/>
          </w:tcPr>
          <w:p w14:paraId="1B2648D6" w14:textId="77777777" w:rsidR="001C4FA3" w:rsidRDefault="00000000" w:rsidP="00866848">
            <w:pPr>
              <w:pStyle w:val="ac"/>
              <w:spacing w:line="240" w:lineRule="auto"/>
              <w:rPr>
                <w:rFonts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eastAsia="宋体" w:cs="Times New Roman"/>
                <w:b w:val="0"/>
                <w:bCs/>
                <w:sz w:val="24"/>
                <w:szCs w:val="24"/>
              </w:rPr>
              <w:t>Number</w:t>
            </w:r>
          </w:p>
        </w:tc>
        <w:tc>
          <w:tcPr>
            <w:tcW w:w="790" w:type="pct"/>
            <w:vAlign w:val="center"/>
          </w:tcPr>
          <w:p w14:paraId="26C4FF0D" w14:textId="77777777" w:rsidR="001C4FA3" w:rsidRDefault="00000000" w:rsidP="00866848">
            <w:pPr>
              <w:pStyle w:val="ac"/>
              <w:spacing w:line="240" w:lineRule="auto"/>
              <w:rPr>
                <w:rFonts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eastAsia="宋体" w:cs="Times New Roman"/>
                <w:b w:val="0"/>
                <w:bCs/>
                <w:sz w:val="24"/>
                <w:szCs w:val="24"/>
              </w:rPr>
              <w:t>Parameters</w:t>
            </w:r>
          </w:p>
        </w:tc>
        <w:tc>
          <w:tcPr>
            <w:tcW w:w="1004" w:type="pct"/>
            <w:vAlign w:val="center"/>
          </w:tcPr>
          <w:p w14:paraId="6E79703C" w14:textId="77777777" w:rsidR="001C4FA3" w:rsidRDefault="00000000" w:rsidP="00866848">
            <w:pPr>
              <w:pStyle w:val="ac"/>
              <w:spacing w:line="240" w:lineRule="auto"/>
              <w:rPr>
                <w:rFonts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eastAsia="宋体" w:cs="Times New Roman"/>
                <w:b w:val="0"/>
                <w:bCs/>
                <w:sz w:val="24"/>
                <w:szCs w:val="24"/>
              </w:rPr>
              <w:t>Concentrations (mg/L)</w:t>
            </w:r>
          </w:p>
        </w:tc>
        <w:tc>
          <w:tcPr>
            <w:tcW w:w="667" w:type="pct"/>
            <w:vAlign w:val="center"/>
          </w:tcPr>
          <w:p w14:paraId="43D397D2" w14:textId="77777777" w:rsidR="001C4FA3" w:rsidRDefault="00000000" w:rsidP="00866848">
            <w:pPr>
              <w:pStyle w:val="ac"/>
              <w:spacing w:line="240" w:lineRule="auto"/>
              <w:rPr>
                <w:rFonts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eastAsia="宋体" w:cs="Times New Roman"/>
                <w:b w:val="0"/>
                <w:bCs/>
                <w:sz w:val="24"/>
                <w:szCs w:val="24"/>
              </w:rPr>
              <w:t>Number</w:t>
            </w:r>
          </w:p>
        </w:tc>
        <w:tc>
          <w:tcPr>
            <w:tcW w:w="868" w:type="pct"/>
            <w:vAlign w:val="center"/>
          </w:tcPr>
          <w:p w14:paraId="27742E07" w14:textId="77777777" w:rsidR="001C4FA3" w:rsidRDefault="00000000" w:rsidP="00866848">
            <w:pPr>
              <w:pStyle w:val="ac"/>
              <w:spacing w:line="240" w:lineRule="auto"/>
              <w:rPr>
                <w:rFonts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eastAsia="宋体" w:cs="Times New Roman"/>
                <w:b w:val="0"/>
                <w:bCs/>
                <w:sz w:val="24"/>
                <w:szCs w:val="24"/>
              </w:rPr>
              <w:t>Parameters</w:t>
            </w:r>
          </w:p>
        </w:tc>
        <w:tc>
          <w:tcPr>
            <w:tcW w:w="1004" w:type="pct"/>
            <w:vAlign w:val="center"/>
          </w:tcPr>
          <w:p w14:paraId="2F169B1C" w14:textId="77777777" w:rsidR="001C4FA3" w:rsidRDefault="00000000" w:rsidP="00866848">
            <w:pPr>
              <w:pStyle w:val="ac"/>
              <w:spacing w:line="240" w:lineRule="auto"/>
              <w:rPr>
                <w:rFonts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eastAsia="宋体" w:cs="Times New Roman"/>
                <w:b w:val="0"/>
                <w:bCs/>
                <w:sz w:val="24"/>
                <w:szCs w:val="24"/>
              </w:rPr>
              <w:t>Concentrations (mg/L)</w:t>
            </w:r>
          </w:p>
        </w:tc>
      </w:tr>
      <w:tr w:rsidR="001C4FA3" w14:paraId="3D1C8B7F" w14:textId="77777777" w:rsidTr="001C4FA3">
        <w:trPr>
          <w:trHeight w:val="550"/>
        </w:trPr>
        <w:tc>
          <w:tcPr>
            <w:tcW w:w="664" w:type="pct"/>
            <w:vAlign w:val="center"/>
          </w:tcPr>
          <w:p w14:paraId="447AA7AE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790" w:type="pct"/>
            <w:vAlign w:val="center"/>
          </w:tcPr>
          <w:p w14:paraId="307F8612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pH</w:t>
            </w:r>
          </w:p>
        </w:tc>
        <w:tc>
          <w:tcPr>
            <w:tcW w:w="1004" w:type="pct"/>
            <w:vAlign w:val="center"/>
          </w:tcPr>
          <w:p w14:paraId="27471B6F" w14:textId="26E23106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8.47</w:t>
            </w:r>
          </w:p>
        </w:tc>
        <w:tc>
          <w:tcPr>
            <w:tcW w:w="667" w:type="pct"/>
            <w:vAlign w:val="center"/>
          </w:tcPr>
          <w:p w14:paraId="6DF44252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8</w:t>
            </w:r>
          </w:p>
        </w:tc>
        <w:tc>
          <w:tcPr>
            <w:tcW w:w="868" w:type="pct"/>
            <w:vAlign w:val="center"/>
          </w:tcPr>
          <w:p w14:paraId="4EA12B31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K</w:t>
            </w:r>
            <w:r>
              <w:rPr>
                <w:rFonts w:cs="Times New Roman"/>
                <w:b w:val="0"/>
                <w:bCs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004" w:type="pct"/>
            <w:vAlign w:val="center"/>
          </w:tcPr>
          <w:p w14:paraId="1802C3C1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8.05</w:t>
            </w:r>
          </w:p>
        </w:tc>
      </w:tr>
      <w:tr w:rsidR="001C4FA3" w14:paraId="71C60648" w14:textId="77777777" w:rsidTr="001C4FA3">
        <w:trPr>
          <w:trHeight w:val="550"/>
        </w:trPr>
        <w:tc>
          <w:tcPr>
            <w:tcW w:w="664" w:type="pct"/>
            <w:vAlign w:val="center"/>
          </w:tcPr>
          <w:p w14:paraId="0B204C73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790" w:type="pct"/>
            <w:vAlign w:val="center"/>
          </w:tcPr>
          <w:p w14:paraId="71218BED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COD</w:t>
            </w:r>
          </w:p>
        </w:tc>
        <w:tc>
          <w:tcPr>
            <w:tcW w:w="1004" w:type="pct"/>
            <w:vAlign w:val="center"/>
          </w:tcPr>
          <w:p w14:paraId="2F01ED1F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18</w:t>
            </w:r>
          </w:p>
        </w:tc>
        <w:tc>
          <w:tcPr>
            <w:tcW w:w="667" w:type="pct"/>
            <w:vAlign w:val="center"/>
          </w:tcPr>
          <w:p w14:paraId="77F298FF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9</w:t>
            </w:r>
          </w:p>
        </w:tc>
        <w:tc>
          <w:tcPr>
            <w:tcW w:w="868" w:type="pct"/>
            <w:vAlign w:val="center"/>
          </w:tcPr>
          <w:p w14:paraId="30E46D91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Ca</w:t>
            </w:r>
            <w:r>
              <w:rPr>
                <w:rFonts w:cs="Times New Roman"/>
                <w:b w:val="0"/>
                <w:bCs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004" w:type="pct"/>
            <w:vAlign w:val="center"/>
          </w:tcPr>
          <w:p w14:paraId="464C2220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41.9</w:t>
            </w:r>
          </w:p>
        </w:tc>
      </w:tr>
      <w:tr w:rsidR="001C4FA3" w14:paraId="0A7C9614" w14:textId="77777777" w:rsidTr="001C4FA3">
        <w:trPr>
          <w:trHeight w:val="550"/>
        </w:trPr>
        <w:tc>
          <w:tcPr>
            <w:tcW w:w="664" w:type="pct"/>
            <w:vAlign w:val="center"/>
          </w:tcPr>
          <w:p w14:paraId="54EBDE22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790" w:type="pct"/>
            <w:vAlign w:val="center"/>
          </w:tcPr>
          <w:p w14:paraId="77B5A06E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T</w:t>
            </w:r>
            <w:r>
              <w:rPr>
                <w:b w:val="0"/>
                <w:bCs/>
                <w:sz w:val="24"/>
                <w:szCs w:val="24"/>
              </w:rPr>
              <w:t>P</w:t>
            </w:r>
          </w:p>
        </w:tc>
        <w:tc>
          <w:tcPr>
            <w:tcW w:w="1004" w:type="pct"/>
            <w:vAlign w:val="center"/>
          </w:tcPr>
          <w:p w14:paraId="0DD89340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0.02</w:t>
            </w:r>
          </w:p>
        </w:tc>
        <w:tc>
          <w:tcPr>
            <w:tcW w:w="667" w:type="pct"/>
            <w:vAlign w:val="center"/>
          </w:tcPr>
          <w:p w14:paraId="4895B852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  <w:r>
              <w:rPr>
                <w:b w:val="0"/>
                <w:bCs/>
                <w:sz w:val="24"/>
                <w:szCs w:val="24"/>
              </w:rPr>
              <w:t>0</w:t>
            </w:r>
          </w:p>
        </w:tc>
        <w:tc>
          <w:tcPr>
            <w:tcW w:w="868" w:type="pct"/>
            <w:vAlign w:val="center"/>
          </w:tcPr>
          <w:p w14:paraId="32CCF2DD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Mg</w:t>
            </w:r>
            <w:r>
              <w:rPr>
                <w:rFonts w:cs="Times New Roman"/>
                <w:b w:val="0"/>
                <w:bCs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004" w:type="pct"/>
            <w:vAlign w:val="center"/>
          </w:tcPr>
          <w:p w14:paraId="7B8DD04A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68.1</w:t>
            </w:r>
          </w:p>
        </w:tc>
      </w:tr>
      <w:tr w:rsidR="001C4FA3" w14:paraId="2FD6368A" w14:textId="77777777" w:rsidTr="001C4FA3">
        <w:trPr>
          <w:trHeight w:val="550"/>
        </w:trPr>
        <w:tc>
          <w:tcPr>
            <w:tcW w:w="664" w:type="pct"/>
            <w:vAlign w:val="center"/>
          </w:tcPr>
          <w:p w14:paraId="68964605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790" w:type="pct"/>
            <w:vAlign w:val="center"/>
          </w:tcPr>
          <w:p w14:paraId="680915F7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TN</w:t>
            </w:r>
          </w:p>
        </w:tc>
        <w:tc>
          <w:tcPr>
            <w:tcW w:w="1004" w:type="pct"/>
            <w:vAlign w:val="center"/>
          </w:tcPr>
          <w:p w14:paraId="3F9C9101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0.83</w:t>
            </w:r>
          </w:p>
        </w:tc>
        <w:tc>
          <w:tcPr>
            <w:tcW w:w="667" w:type="pct"/>
            <w:vAlign w:val="center"/>
          </w:tcPr>
          <w:p w14:paraId="747398E5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  <w:r>
              <w:rPr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868" w:type="pct"/>
            <w:vAlign w:val="center"/>
          </w:tcPr>
          <w:p w14:paraId="11BD789D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Cl</w:t>
            </w:r>
            <w:r>
              <w:rPr>
                <w:rFonts w:cs="Times New Roman"/>
                <w:b w:val="0"/>
                <w:bCs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004" w:type="pct"/>
            <w:vAlign w:val="center"/>
          </w:tcPr>
          <w:p w14:paraId="2CC8D669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256.6</w:t>
            </w:r>
          </w:p>
        </w:tc>
      </w:tr>
      <w:tr w:rsidR="001C4FA3" w14:paraId="0CABAE94" w14:textId="77777777" w:rsidTr="001C4FA3">
        <w:trPr>
          <w:trHeight w:val="550"/>
        </w:trPr>
        <w:tc>
          <w:tcPr>
            <w:tcW w:w="664" w:type="pct"/>
            <w:vAlign w:val="center"/>
          </w:tcPr>
          <w:p w14:paraId="47F70F0B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5</w:t>
            </w:r>
          </w:p>
        </w:tc>
        <w:tc>
          <w:tcPr>
            <w:tcW w:w="790" w:type="pct"/>
            <w:vAlign w:val="center"/>
          </w:tcPr>
          <w:p w14:paraId="6C08FAB3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NO</w:t>
            </w:r>
            <w:r>
              <w:rPr>
                <w:b w:val="0"/>
                <w:bCs/>
                <w:sz w:val="24"/>
                <w:szCs w:val="24"/>
                <w:vertAlign w:val="subscript"/>
              </w:rPr>
              <w:t>3</w:t>
            </w:r>
            <w:r>
              <w:rPr>
                <w:b w:val="0"/>
                <w:bCs/>
                <w:sz w:val="24"/>
                <w:szCs w:val="24"/>
              </w:rPr>
              <w:t>-N</w:t>
            </w:r>
          </w:p>
        </w:tc>
        <w:tc>
          <w:tcPr>
            <w:tcW w:w="1004" w:type="pct"/>
            <w:vAlign w:val="center"/>
          </w:tcPr>
          <w:p w14:paraId="2F869FD6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0.225</w:t>
            </w:r>
          </w:p>
        </w:tc>
        <w:tc>
          <w:tcPr>
            <w:tcW w:w="667" w:type="pct"/>
            <w:vAlign w:val="center"/>
          </w:tcPr>
          <w:p w14:paraId="5AAEA37E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  <w:r>
              <w:rPr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868" w:type="pct"/>
            <w:vAlign w:val="center"/>
          </w:tcPr>
          <w:p w14:paraId="78C2EEF0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SO</w:t>
            </w:r>
            <w:r>
              <w:rPr>
                <w:rFonts w:cs="Times New Roman"/>
                <w:b w:val="0"/>
                <w:bCs/>
                <w:sz w:val="24"/>
                <w:szCs w:val="24"/>
                <w:vertAlign w:val="subscript"/>
              </w:rPr>
              <w:t>4</w:t>
            </w:r>
            <w:r>
              <w:rPr>
                <w:rFonts w:cs="Times New Roman"/>
                <w:b w:val="0"/>
                <w:bCs/>
                <w:sz w:val="24"/>
                <w:szCs w:val="24"/>
                <w:vertAlign w:val="superscript"/>
              </w:rPr>
              <w:t>2-</w:t>
            </w:r>
          </w:p>
        </w:tc>
        <w:tc>
          <w:tcPr>
            <w:tcW w:w="1004" w:type="pct"/>
            <w:vAlign w:val="center"/>
          </w:tcPr>
          <w:p w14:paraId="6955690B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272.4</w:t>
            </w:r>
          </w:p>
        </w:tc>
      </w:tr>
      <w:tr w:rsidR="001C4FA3" w14:paraId="2AD88CF7" w14:textId="77777777" w:rsidTr="001C4FA3">
        <w:trPr>
          <w:trHeight w:val="550"/>
        </w:trPr>
        <w:tc>
          <w:tcPr>
            <w:tcW w:w="664" w:type="pct"/>
            <w:vAlign w:val="center"/>
          </w:tcPr>
          <w:p w14:paraId="3155269A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6</w:t>
            </w:r>
          </w:p>
        </w:tc>
        <w:tc>
          <w:tcPr>
            <w:tcW w:w="790" w:type="pct"/>
            <w:vAlign w:val="center"/>
          </w:tcPr>
          <w:p w14:paraId="2AB6BCAF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NH</w:t>
            </w:r>
            <w:r>
              <w:rPr>
                <w:b w:val="0"/>
                <w:bCs/>
                <w:sz w:val="24"/>
                <w:szCs w:val="24"/>
                <w:vertAlign w:val="subscript"/>
              </w:rPr>
              <w:t>4</w:t>
            </w:r>
            <w:r>
              <w:rPr>
                <w:b w:val="0"/>
                <w:bCs/>
                <w:sz w:val="24"/>
                <w:szCs w:val="24"/>
                <w:vertAlign w:val="superscript"/>
              </w:rPr>
              <w:t>+</w:t>
            </w:r>
            <w:r>
              <w:rPr>
                <w:b w:val="0"/>
                <w:bCs/>
                <w:sz w:val="24"/>
                <w:szCs w:val="24"/>
              </w:rPr>
              <w:t>-N</w:t>
            </w:r>
          </w:p>
        </w:tc>
        <w:tc>
          <w:tcPr>
            <w:tcW w:w="1004" w:type="pct"/>
            <w:vAlign w:val="center"/>
          </w:tcPr>
          <w:p w14:paraId="3F715E24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0.166</w:t>
            </w:r>
          </w:p>
        </w:tc>
        <w:tc>
          <w:tcPr>
            <w:tcW w:w="667" w:type="pct"/>
            <w:vAlign w:val="center"/>
          </w:tcPr>
          <w:p w14:paraId="7B355960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  <w:r>
              <w:rPr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868" w:type="pct"/>
            <w:vAlign w:val="center"/>
          </w:tcPr>
          <w:p w14:paraId="48B2B0F5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Salinity</w:t>
            </w:r>
          </w:p>
        </w:tc>
        <w:tc>
          <w:tcPr>
            <w:tcW w:w="1004" w:type="pct"/>
            <w:vAlign w:val="center"/>
          </w:tcPr>
          <w:p w14:paraId="0A3B953A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/>
                <w:sz w:val="24"/>
                <w:szCs w:val="24"/>
              </w:rPr>
              <w:t>1</w:t>
            </w:r>
            <w:r>
              <w:rPr>
                <w:rFonts w:cs="Times New Roman"/>
                <w:b w:val="0"/>
                <w:bCs/>
                <w:sz w:val="24"/>
                <w:szCs w:val="24"/>
              </w:rPr>
              <w:t>200</w:t>
            </w:r>
          </w:p>
        </w:tc>
      </w:tr>
      <w:tr w:rsidR="001C4FA3" w14:paraId="5A96475A" w14:textId="77777777" w:rsidTr="001C4FA3">
        <w:trPr>
          <w:trHeight w:val="550"/>
        </w:trPr>
        <w:tc>
          <w:tcPr>
            <w:tcW w:w="664" w:type="pct"/>
            <w:vAlign w:val="center"/>
          </w:tcPr>
          <w:p w14:paraId="50A4B0BA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7</w:t>
            </w:r>
          </w:p>
        </w:tc>
        <w:tc>
          <w:tcPr>
            <w:tcW w:w="790" w:type="pct"/>
            <w:vAlign w:val="center"/>
          </w:tcPr>
          <w:p w14:paraId="591CB6F8" w14:textId="77777777" w:rsidR="001C4FA3" w:rsidRDefault="00000000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Na</w:t>
            </w:r>
            <w:r>
              <w:rPr>
                <w:rFonts w:cs="Times New Roman"/>
                <w:b w:val="0"/>
                <w:bCs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004" w:type="pct"/>
            <w:vAlign w:val="center"/>
          </w:tcPr>
          <w:p w14:paraId="3DA43B69" w14:textId="77777777" w:rsidR="001C4FA3" w:rsidRDefault="00000000" w:rsidP="00866848">
            <w:pPr>
              <w:pStyle w:val="ac"/>
              <w:spacing w:line="240" w:lineRule="auto"/>
              <w:rPr>
                <w:rFonts w:cs="Times New Roman"/>
                <w:b w:val="0"/>
                <w:bCs/>
                <w:sz w:val="24"/>
                <w:szCs w:val="24"/>
              </w:rPr>
            </w:pPr>
            <w:r>
              <w:rPr>
                <w:rFonts w:cs="Times New Roman"/>
                <w:b w:val="0"/>
                <w:bCs/>
                <w:sz w:val="24"/>
                <w:szCs w:val="24"/>
              </w:rPr>
              <w:t>94.0</w:t>
            </w:r>
          </w:p>
        </w:tc>
        <w:tc>
          <w:tcPr>
            <w:tcW w:w="2540" w:type="pct"/>
            <w:gridSpan w:val="3"/>
            <w:vAlign w:val="center"/>
          </w:tcPr>
          <w:p w14:paraId="6087F386" w14:textId="77777777" w:rsidR="001C4FA3" w:rsidRDefault="001C4FA3" w:rsidP="00866848">
            <w:pPr>
              <w:pStyle w:val="ac"/>
              <w:spacing w:line="240" w:lineRule="auto"/>
              <w:rPr>
                <w:b w:val="0"/>
                <w:bCs/>
                <w:sz w:val="24"/>
                <w:szCs w:val="24"/>
              </w:rPr>
            </w:pPr>
          </w:p>
        </w:tc>
      </w:tr>
    </w:tbl>
    <w:p w14:paraId="523C2235" w14:textId="23A7C0C9" w:rsidR="001C4FA3" w:rsidRDefault="00DE11C2" w:rsidP="0060714B">
      <w:pPr>
        <w:spacing w:line="240" w:lineRule="auto"/>
        <w:ind w:firstLineChars="0" w:firstLine="0"/>
        <w:jc w:val="left"/>
        <w:rPr>
          <w:rFonts w:cs="Times New Roman"/>
        </w:rPr>
        <w:sectPr w:rsidR="001C4FA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1440" w:right="1800" w:bottom="1440" w:left="1800" w:header="851" w:footer="992" w:gutter="0"/>
          <w:cols w:space="425"/>
          <w:docGrid w:type="lines" w:linePitch="326"/>
        </w:sectPr>
      </w:pPr>
      <w:r w:rsidRPr="00DE11C2">
        <w:rPr>
          <w:rFonts w:cs="Times New Roman"/>
          <w:b/>
          <w:bCs/>
        </w:rPr>
        <w:t>Note:</w:t>
      </w:r>
      <w:r>
        <w:rPr>
          <w:rFonts w:cs="Times New Roman"/>
        </w:rPr>
        <w:t xml:space="preserve"> Dimensionless for </w:t>
      </w:r>
      <w:proofErr w:type="spellStart"/>
      <w:r>
        <w:rPr>
          <w:rFonts w:cs="Times New Roman"/>
        </w:rPr>
        <w:t>pH</w:t>
      </w:r>
      <w:r>
        <w:rPr>
          <w:rFonts w:cs="Times New Roman" w:hint="eastAsia"/>
        </w:rPr>
        <w:t>.</w:t>
      </w:r>
      <w:proofErr w:type="spellEnd"/>
    </w:p>
    <w:p w14:paraId="5E7DBF74" w14:textId="605FEA74" w:rsidR="001C4FA3" w:rsidRPr="00866848" w:rsidRDefault="00000000" w:rsidP="005D320D">
      <w:pPr>
        <w:spacing w:line="240" w:lineRule="auto"/>
        <w:ind w:firstLineChars="0" w:firstLine="0"/>
        <w:jc w:val="left"/>
        <w:outlineLvl w:val="1"/>
        <w:rPr>
          <w:b/>
          <w:bCs/>
          <w:szCs w:val="24"/>
        </w:rPr>
      </w:pPr>
      <w:bookmarkStart w:id="0" w:name="_Hlk70454270"/>
      <w:r>
        <w:rPr>
          <w:rFonts w:cs="Times New Roman" w:hint="eastAsia"/>
          <w:b/>
          <w:bCs/>
          <w:szCs w:val="24"/>
        </w:rPr>
        <w:lastRenderedPageBreak/>
        <w:t xml:space="preserve">Table </w:t>
      </w:r>
      <w:r>
        <w:rPr>
          <w:rFonts w:cs="Times New Roman"/>
          <w:b/>
          <w:bCs/>
          <w:szCs w:val="24"/>
        </w:rPr>
        <w:t>A2</w:t>
      </w:r>
      <w:r w:rsidR="00DE11C2">
        <w:rPr>
          <w:rFonts w:cs="Times New Roman"/>
          <w:b/>
          <w:bCs/>
          <w:szCs w:val="24"/>
        </w:rPr>
        <w:t xml:space="preserve"> </w:t>
      </w:r>
      <w:r w:rsidRPr="00866848">
        <w:rPr>
          <w:bCs/>
          <w:szCs w:val="24"/>
        </w:rPr>
        <w:t>Analysis methods and their resources, equipment, and detection limits for water quality parameters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4"/>
        <w:gridCol w:w="2600"/>
        <w:gridCol w:w="3842"/>
        <w:gridCol w:w="3304"/>
        <w:gridCol w:w="1708"/>
      </w:tblGrid>
      <w:tr w:rsidR="001C4FA3" w14:paraId="6B52F1CE" w14:textId="77777777">
        <w:trPr>
          <w:trHeight w:val="450"/>
        </w:trPr>
        <w:tc>
          <w:tcPr>
            <w:tcW w:w="67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bookmarkEnd w:id="0"/>
          <w:p w14:paraId="1926BD1A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Projects</w:t>
            </w:r>
          </w:p>
        </w:tc>
        <w:tc>
          <w:tcPr>
            <w:tcW w:w="98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E3160DD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Methods</w:t>
            </w:r>
          </w:p>
        </w:tc>
        <w:tc>
          <w:tcPr>
            <w:tcW w:w="14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75DF6FF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Resources</w:t>
            </w:r>
          </w:p>
        </w:tc>
        <w:tc>
          <w:tcPr>
            <w:tcW w:w="124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AD96016" w14:textId="6D597C42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Equipment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04828D4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Detection limit</w:t>
            </w:r>
          </w:p>
        </w:tc>
      </w:tr>
      <w:tr w:rsidR="001C4FA3" w14:paraId="7D88DD1F" w14:textId="77777777">
        <w:trPr>
          <w:trHeight w:val="308"/>
        </w:trPr>
        <w:tc>
          <w:tcPr>
            <w:tcW w:w="67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8134CCB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pH</w:t>
            </w:r>
          </w:p>
        </w:tc>
        <w:tc>
          <w:tcPr>
            <w:tcW w:w="98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775F19F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Measured in situ</w:t>
            </w:r>
          </w:p>
        </w:tc>
        <w:tc>
          <w:tcPr>
            <w:tcW w:w="145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2C32D7E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i/>
                <w:iCs/>
                <w:sz w:val="21"/>
                <w:szCs w:val="21"/>
              </w:rPr>
              <w:t>/</w:t>
            </w:r>
          </w:p>
        </w:tc>
        <w:tc>
          <w:tcPr>
            <w:tcW w:w="124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4B4EE3F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pH meter (PHSJ-5, China)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C24DEED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</w:t>
            </w:r>
            <w:r>
              <w:rPr>
                <w:rFonts w:cs="Times New Roman" w:hint="eastAsia"/>
                <w:sz w:val="21"/>
                <w:szCs w:val="21"/>
              </w:rPr>
              <w:t>mg/L</w:t>
            </w:r>
          </w:p>
        </w:tc>
      </w:tr>
      <w:tr w:rsidR="001C4FA3" w14:paraId="011A9AAE" w14:textId="77777777">
        <w:trPr>
          <w:trHeight w:val="315"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7E2DB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  <w:highlight w:val="yellow"/>
              </w:rPr>
            </w:pPr>
            <w:r>
              <w:rPr>
                <w:rFonts w:cs="Times New Roman"/>
                <w:sz w:val="21"/>
                <w:szCs w:val="21"/>
              </w:rPr>
              <w:t>COD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690F4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  <w:highlight w:val="yellow"/>
              </w:rPr>
            </w:pPr>
            <w:r>
              <w:rPr>
                <w:rFonts w:cs="Times New Roman"/>
                <w:sz w:val="21"/>
                <w:szCs w:val="21"/>
              </w:rPr>
              <w:t>Titrimetric method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38642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  <w:highlight w:val="yellow"/>
              </w:rPr>
            </w:pPr>
            <w:r>
              <w:rPr>
                <w:rFonts w:cs="Times New Roman"/>
                <w:sz w:val="21"/>
                <w:szCs w:val="21"/>
              </w:rPr>
              <w:t>HJ 828-2017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24C7F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  <w:highlight w:val="yellow"/>
              </w:rPr>
            </w:pPr>
            <w:r>
              <w:rPr>
                <w:rFonts w:cs="Times New Roman"/>
                <w:sz w:val="21"/>
                <w:szCs w:val="21"/>
              </w:rPr>
              <w:t>COD digestion (HCA-100, China)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D78A8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  <w:highlight w:val="yellow"/>
              </w:rPr>
            </w:pPr>
            <w:r>
              <w:rPr>
                <w:rFonts w:cs="Times New Roman"/>
                <w:sz w:val="21"/>
                <w:szCs w:val="21"/>
              </w:rPr>
              <w:t>4 mg/L</w:t>
            </w:r>
          </w:p>
        </w:tc>
      </w:tr>
      <w:tr w:rsidR="001C4FA3" w14:paraId="390742E1" w14:textId="77777777">
        <w:trPr>
          <w:trHeight w:val="241"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CA9EC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TP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FC317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Spectrophotometry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C0E37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GB 11893-1989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A2B0B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Spectrophotometer (UV-2550, Japan)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247BE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0.01 mg/L</w:t>
            </w:r>
          </w:p>
        </w:tc>
      </w:tr>
      <w:tr w:rsidR="001C4FA3" w14:paraId="700A9209" w14:textId="77777777">
        <w:trPr>
          <w:trHeight w:val="307"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D7925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+</w:t>
            </w:r>
            <w:r>
              <w:rPr>
                <w:rFonts w:cs="Times New Roman"/>
                <w:sz w:val="21"/>
                <w:szCs w:val="21"/>
              </w:rPr>
              <w:t>-N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D5E40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Spectrophotometry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5A6F9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HJ 535-2009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3839C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Spectrophotometer (UV-2550, Japan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CD9C2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0.025 mg/L</w:t>
            </w:r>
          </w:p>
        </w:tc>
      </w:tr>
      <w:tr w:rsidR="001C4FA3" w14:paraId="7B84CF01" w14:textId="77777777">
        <w:trPr>
          <w:trHeight w:val="311"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143B3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TN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F218A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Spectrophotometry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67A1B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GB 11894-1989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748E1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Spectrophotometer (UV-2550, Japan)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3CF50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0.05 mg/L</w:t>
            </w:r>
          </w:p>
        </w:tc>
      </w:tr>
      <w:tr w:rsidR="001C4FA3" w14:paraId="20ACD40E" w14:textId="77777777">
        <w:trPr>
          <w:trHeight w:val="311"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65A3E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–</w:t>
            </w:r>
            <w:r>
              <w:rPr>
                <w:rFonts w:cs="Times New Roman"/>
                <w:sz w:val="21"/>
                <w:szCs w:val="21"/>
              </w:rPr>
              <w:t>-N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0D743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Spectrophotometry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EFDE9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HJ/T 346-2007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F7B95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Spectrophotometer (UV-2550, Japan)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4D5D9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0.08 mg/L</w:t>
            </w:r>
          </w:p>
        </w:tc>
      </w:tr>
      <w:tr w:rsidR="001C4FA3" w14:paraId="6B3BECF5" w14:textId="77777777">
        <w:trPr>
          <w:trHeight w:val="311"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FD80F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K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+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0690E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Ion chromatography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AFB00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American Public Health Association </w:t>
            </w:r>
            <w:r>
              <w:rPr>
                <w:rFonts w:cs="Times New Roman"/>
                <w:sz w:val="21"/>
                <w:szCs w:val="21"/>
              </w:rPr>
              <w:fldChar w:fldCharType="begin"/>
            </w:r>
            <w:r>
              <w:rPr>
                <w:rFonts w:cs="Times New Roman"/>
                <w:sz w:val="21"/>
                <w:szCs w:val="21"/>
              </w:rPr>
              <w:instrText xml:space="preserve"> ADDIN EN.CITE &lt;EndNote&gt;&lt;Cite&gt;&lt;Author&gt;Clescerl&lt;/Author&gt;&lt;Year&gt;2012&lt;/Year&gt;&lt;RecNum&gt;252&lt;/RecNum&gt;&lt;DisplayText&gt;(Clescerl et al., 2012)&lt;/DisplayText&gt;&lt;record&gt;&lt;rec-number&gt;252&lt;/rec-number&gt;&lt;foreign-keys&gt;&lt;key app="EN" db-id="x9est00x09raaeedapy55992ezwrwd0tpz52" timestamp="1661357747" guid="664fcdb2-069e-4c28-99b0-e1846ef64af3"&gt;252&lt;/key&gt;&lt;/foreign-keys&gt;&lt;ref-type name="Book"&gt;6&lt;/ref-type&gt;&lt;contributors&gt;&lt;authors&gt;&lt;author&gt;Clescerl, L. S.&lt;/author&gt;&lt;author&gt;Greenberg, A. E.&lt;/author&gt;&lt;author&gt;Eaton, A. D.&lt;/author&gt;&lt;/authors&gt;&lt;/contributors&gt;&lt;titles&gt;&lt;title&gt;Standard Methods for Examination of Water &amp;amp; Wastewater: Centennial Edition&lt;/title&gt;&lt;/titles&gt;&lt;dates&gt;&lt;year&gt;2012&lt;/year&gt;&lt;/dates&gt;&lt;pub-location&gt;Washington&lt;/pub-location&gt;&lt;publisher&gt;American Public Health Association&lt;/publisher&gt;&lt;urls&gt;&lt;/urls&gt;&lt;/record&gt;&lt;/Cite&gt;&lt;/EndNote&gt;</w:instrText>
            </w:r>
            <w:r>
              <w:rPr>
                <w:rFonts w:cs="Times New Roman"/>
                <w:sz w:val="21"/>
                <w:szCs w:val="21"/>
              </w:rPr>
              <w:fldChar w:fldCharType="separate"/>
            </w:r>
            <w:r>
              <w:rPr>
                <w:rFonts w:cs="Times New Roman"/>
                <w:sz w:val="21"/>
                <w:szCs w:val="21"/>
              </w:rPr>
              <w:t>(Clescerl et al., 2012)</w:t>
            </w:r>
            <w:r>
              <w:rPr>
                <w:rFonts w:cs="Times New Roman"/>
                <w:sz w:val="21"/>
                <w:szCs w:val="21"/>
              </w:rPr>
              <w:fldChar w:fldCharType="end"/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C22B0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Ion chromatograph (CS–2100, USA)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BA529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0.001 mg/L</w:t>
            </w:r>
          </w:p>
        </w:tc>
      </w:tr>
      <w:tr w:rsidR="001C4FA3" w14:paraId="740F9375" w14:textId="77777777">
        <w:trPr>
          <w:trHeight w:val="311"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E75C0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Ca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2+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8459A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Ion chromatography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312B7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American Public Health Association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1D44B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Ion chromatograph (CS–2100, USA)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A049B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0.001 mg/L</w:t>
            </w:r>
          </w:p>
        </w:tc>
      </w:tr>
      <w:tr w:rsidR="001C4FA3" w14:paraId="439262A6" w14:textId="77777777">
        <w:trPr>
          <w:trHeight w:val="311"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8F7F4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Na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+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CF646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Ion chromatography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0C2D5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American Public Health Association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F3255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Ion chromatograph (CS–2100, USA)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AAF43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0.0007 mg/L</w:t>
            </w:r>
          </w:p>
        </w:tc>
      </w:tr>
      <w:tr w:rsidR="001C4FA3" w14:paraId="1CA9415D" w14:textId="77777777">
        <w:trPr>
          <w:trHeight w:val="311"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F54D1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Mg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2+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5BFF3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Ion chromatography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1A7F0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American Public Health Association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49A25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Ion chromatograph (CS–2100, USA)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A764D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0.002 mg/L</w:t>
            </w:r>
          </w:p>
        </w:tc>
      </w:tr>
      <w:tr w:rsidR="001C4FA3" w14:paraId="0C66F4A3" w14:textId="77777777">
        <w:trPr>
          <w:trHeight w:val="311"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D5B03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Cl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–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94DD7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Ion chromatography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C2373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American Public Health Association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8AD4D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Ion chromatograph (Advanced IC, Switzerland)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D1122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0.04 mg/L</w:t>
            </w:r>
          </w:p>
        </w:tc>
      </w:tr>
      <w:tr w:rsidR="001C4FA3" w14:paraId="55A78C4C" w14:textId="77777777">
        <w:trPr>
          <w:trHeight w:val="311"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3B5EE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2–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74573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Ion chromatography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02C63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American Public Health Association</w:t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3A31D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Ion chromatograph (Advanced IC, </w:t>
            </w:r>
            <w:proofErr w:type="spellStart"/>
            <w:r>
              <w:rPr>
                <w:rFonts w:cs="Times New Roman"/>
                <w:sz w:val="21"/>
                <w:szCs w:val="21"/>
              </w:rPr>
              <w:t>Metrohm</w:t>
            </w:r>
            <w:proofErr w:type="spellEnd"/>
            <w:r>
              <w:rPr>
                <w:rFonts w:cs="Times New Roman"/>
                <w:sz w:val="21"/>
                <w:szCs w:val="21"/>
              </w:rPr>
              <w:t>, Switzerland)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55E83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0.1</w:t>
            </w:r>
            <w:r>
              <w:rPr>
                <w:rFonts w:cs="Times New Roman" w:hint="eastAsia"/>
                <w:sz w:val="21"/>
                <w:szCs w:val="21"/>
              </w:rPr>
              <w:t>mg/L</w:t>
            </w:r>
          </w:p>
        </w:tc>
      </w:tr>
      <w:tr w:rsidR="001C4FA3" w14:paraId="0A325437" w14:textId="77777777">
        <w:trPr>
          <w:trHeight w:val="311"/>
        </w:trPr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E2F1B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HCO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–</w:t>
            </w:r>
          </w:p>
        </w:tc>
        <w:tc>
          <w:tcPr>
            <w:tcW w:w="98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1DD12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Titrimetric method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AF992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Water and Wastewater Monitoring and Analysis Methods (4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th</w:t>
            </w:r>
            <w:r>
              <w:rPr>
                <w:rFonts w:cs="Times New Roman"/>
                <w:sz w:val="21"/>
                <w:szCs w:val="21"/>
              </w:rPr>
              <w:t xml:space="preserve"> Edition) </w:t>
            </w:r>
            <w:r>
              <w:rPr>
                <w:rFonts w:cs="Times New Roman"/>
                <w:sz w:val="21"/>
                <w:szCs w:val="21"/>
              </w:rPr>
              <w:fldChar w:fldCharType="begin"/>
            </w:r>
            <w:r>
              <w:rPr>
                <w:rFonts w:cs="Times New Roman"/>
                <w:sz w:val="21"/>
                <w:szCs w:val="21"/>
              </w:rPr>
              <w:instrText xml:space="preserve"> ADDIN EN.CITE &lt;EndNote&gt;&lt;Cite&gt;&lt;Author&gt;Wei&lt;/Author&gt;&lt;Year&gt;2008&lt;/Year&gt;&lt;RecNum&gt;605&lt;/RecNum&gt;&lt;DisplayText&gt;(Wei, 2008)&lt;/DisplayText&gt;&lt;record&gt;&lt;rec-number&gt;605&lt;/rec-number&gt;&lt;foreign-keys&gt;&lt;key app="EN" db-id="x9est00x09raaeedapy55992ezwrwd0tpz52" timestamp="1661358553" guid="1d1e9a06-f02c-4de4-8b42-48088b4d6e71"&gt;605&lt;/key&gt;&lt;/foreign-keys&gt;&lt;ref-type name="Book"&gt;6&lt;/ref-type&gt;&lt;contributors&gt;&lt;authors&gt;&lt;author&gt;Wei, Fu Sheng&lt;/author&gt;&lt;/authors&gt;&lt;/contributors&gt;&lt;titles&gt;&lt;title&gt;Water and Wastewater Monitoring Analysis Method (Fourth Edition)&lt;/title&gt;&lt;/titles&gt;&lt;dates&gt;&lt;year&gt;2008&lt;/year&gt;&lt;/dates&gt;&lt;pub-location&gt;Beijing&lt;/pub-location&gt;&lt;publisher&gt;China Environmental Science Press&lt;/publisher&gt;&lt;urls&gt;&lt;/urls&gt;&lt;/record&gt;&lt;/Cite&gt;&lt;/EndNote&gt;</w:instrText>
            </w:r>
            <w:r>
              <w:rPr>
                <w:rFonts w:cs="Times New Roman"/>
                <w:sz w:val="21"/>
                <w:szCs w:val="21"/>
              </w:rPr>
              <w:fldChar w:fldCharType="separate"/>
            </w:r>
            <w:r>
              <w:rPr>
                <w:rFonts w:cs="Times New Roman"/>
                <w:sz w:val="21"/>
                <w:szCs w:val="21"/>
              </w:rPr>
              <w:t>(Wei, 2008)</w:t>
            </w:r>
            <w:r>
              <w:rPr>
                <w:rFonts w:cs="Times New Roman"/>
                <w:sz w:val="21"/>
                <w:szCs w:val="21"/>
              </w:rPr>
              <w:fldChar w:fldCharType="end"/>
            </w:r>
          </w:p>
        </w:tc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51D98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pH meter (PHSJ-5, China)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D3BF8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/</w:t>
            </w:r>
          </w:p>
        </w:tc>
      </w:tr>
      <w:tr w:rsidR="001C4FA3" w14:paraId="3311B242" w14:textId="77777777">
        <w:trPr>
          <w:trHeight w:val="308"/>
        </w:trPr>
        <w:tc>
          <w:tcPr>
            <w:tcW w:w="67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D58185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  <w:highlight w:val="yellow"/>
              </w:rPr>
            </w:pPr>
            <w:r>
              <w:rPr>
                <w:rFonts w:cs="Times New Roman"/>
                <w:sz w:val="21"/>
                <w:szCs w:val="21"/>
              </w:rPr>
              <w:t>Salinity</w:t>
            </w:r>
          </w:p>
        </w:tc>
        <w:tc>
          <w:tcPr>
            <w:tcW w:w="9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D6A65A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  <w:highlight w:val="yellow"/>
              </w:rPr>
            </w:pPr>
            <w:r>
              <w:rPr>
                <w:rFonts w:cs="Times New Roman"/>
                <w:sz w:val="21"/>
                <w:szCs w:val="21"/>
              </w:rPr>
              <w:t>Gravimetric method</w:t>
            </w:r>
          </w:p>
        </w:tc>
        <w:tc>
          <w:tcPr>
            <w:tcW w:w="145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B8BF23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  <w:highlight w:val="yellow"/>
              </w:rPr>
            </w:pPr>
            <w:r>
              <w:rPr>
                <w:rFonts w:cs="Times New Roman"/>
                <w:sz w:val="21"/>
                <w:szCs w:val="21"/>
              </w:rPr>
              <w:t>Water and Wastewater Monitoring and Analysis Methods (4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th</w:t>
            </w:r>
            <w:r>
              <w:rPr>
                <w:rFonts w:cs="Times New Roman"/>
                <w:sz w:val="21"/>
                <w:szCs w:val="21"/>
              </w:rPr>
              <w:t xml:space="preserve"> Edition)</w:t>
            </w:r>
          </w:p>
        </w:tc>
        <w:tc>
          <w:tcPr>
            <w:tcW w:w="124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895F87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  <w:highlight w:val="yellow"/>
              </w:rPr>
            </w:pPr>
            <w:r>
              <w:rPr>
                <w:rFonts w:cs="Times New Roman"/>
                <w:sz w:val="21"/>
                <w:szCs w:val="21"/>
              </w:rPr>
              <w:t>Electronic balance (BSA-224CW, Germany)</w:t>
            </w:r>
          </w:p>
        </w:tc>
        <w:tc>
          <w:tcPr>
            <w:tcW w:w="6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22B8A0" w14:textId="77777777" w:rsidR="001C4FA3" w:rsidRDefault="00000000">
            <w:pPr>
              <w:spacing w:line="240" w:lineRule="auto"/>
              <w:ind w:firstLine="420"/>
              <w:jc w:val="center"/>
              <w:rPr>
                <w:rFonts w:cs="Times New Roman"/>
                <w:sz w:val="21"/>
                <w:szCs w:val="21"/>
                <w:highlight w:val="yellow"/>
              </w:rPr>
            </w:pPr>
            <w:r>
              <w:rPr>
                <w:rFonts w:cs="Times New Roman"/>
                <w:sz w:val="21"/>
                <w:szCs w:val="21"/>
              </w:rPr>
              <w:t>0</w:t>
            </w:r>
            <w:r>
              <w:rPr>
                <w:rFonts w:cs="Times New Roman" w:hint="eastAsia"/>
                <w:sz w:val="21"/>
                <w:szCs w:val="21"/>
              </w:rPr>
              <w:t>mg/L</w:t>
            </w:r>
          </w:p>
        </w:tc>
      </w:tr>
    </w:tbl>
    <w:p w14:paraId="46299927" w14:textId="77777777" w:rsidR="00331CD1" w:rsidRDefault="00331CD1">
      <w:pPr>
        <w:ind w:firstLineChars="0" w:firstLine="0"/>
        <w:rPr>
          <w:rFonts w:cs="Times New Roman"/>
          <w:b/>
          <w:bCs/>
          <w:szCs w:val="24"/>
        </w:rPr>
        <w:sectPr w:rsidR="00331CD1">
          <w:pgSz w:w="16838" w:h="11906" w:orient="landscape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48F0698A" w14:textId="77777777" w:rsidR="001C4FA3" w:rsidRDefault="00000000" w:rsidP="00112AE3">
      <w:pPr>
        <w:spacing w:line="480" w:lineRule="auto"/>
        <w:ind w:firstLineChars="0" w:firstLine="0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lastRenderedPageBreak/>
        <w:t>Reference</w:t>
      </w:r>
      <w:r>
        <w:rPr>
          <w:rFonts w:cs="Times New Roman" w:hint="eastAsia"/>
          <w:b/>
          <w:bCs/>
          <w:szCs w:val="24"/>
        </w:rPr>
        <w:t>s</w:t>
      </w:r>
      <w:r>
        <w:rPr>
          <w:rFonts w:cs="Times New Roman"/>
          <w:b/>
          <w:bCs/>
          <w:szCs w:val="24"/>
        </w:rPr>
        <w:t>:</w:t>
      </w:r>
    </w:p>
    <w:p w14:paraId="4A0DAB9F" w14:textId="77777777" w:rsidR="001C4FA3" w:rsidRDefault="00000000" w:rsidP="00112AE3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Clescerl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 S, Greenberg A E, Eaton A D (2012). Standard Methods for Examination of Water &amp; Wastewater: Centennial Edition. Washington: American Public Health Association </w:t>
      </w:r>
    </w:p>
    <w:p w14:paraId="2ECDB24F" w14:textId="5A3925B7" w:rsidR="001979C7" w:rsidRDefault="00000000" w:rsidP="00112AE3">
      <w:pPr>
        <w:spacing w:line="480" w:lineRule="auto"/>
        <w:ind w:firstLineChars="0" w:firstLine="0"/>
        <w:rPr>
          <w:rFonts w:cs="Times New Roman"/>
          <w:szCs w:val="24"/>
        </w:rPr>
        <w:sectPr w:rsidR="001979C7">
          <w:pgSz w:w="16838" w:h="11906" w:orient="landscape"/>
          <w:pgMar w:top="1440" w:right="1800" w:bottom="1440" w:left="1800" w:header="851" w:footer="992" w:gutter="0"/>
          <w:cols w:space="425"/>
          <w:docGrid w:type="lines" w:linePitch="326"/>
        </w:sectPr>
      </w:pPr>
      <w:r>
        <w:rPr>
          <w:rFonts w:cs="Times New Roman"/>
          <w:szCs w:val="24"/>
        </w:rPr>
        <w:t>Wei F S (2008). Water and Wastewater Monitoring Analysis Method (Fourth Edition). Beijing: China Environmental Science Pres</w:t>
      </w:r>
    </w:p>
    <w:p w14:paraId="21F109FA" w14:textId="77777777" w:rsidR="00D25C6F" w:rsidRPr="00485A3A" w:rsidRDefault="00D25C6F" w:rsidP="00D25C6F">
      <w:pPr>
        <w:ind w:firstLineChars="0" w:firstLine="0"/>
        <w:jc w:val="center"/>
        <w:rPr>
          <w:rFonts w:ascii="宋体" w:hAnsi="宋体" w:cs="宋体"/>
          <w:sz w:val="20"/>
          <w:szCs w:val="20"/>
        </w:rPr>
      </w:pPr>
      <w:r w:rsidRPr="00485A3A">
        <w:rPr>
          <w:rFonts w:ascii="宋体" w:hAnsi="宋体" w:cs="宋体"/>
          <w:noProof/>
          <w:sz w:val="20"/>
          <w:szCs w:val="20"/>
        </w:rPr>
        <w:lastRenderedPageBreak/>
        <w:drawing>
          <wp:inline distT="0" distB="0" distL="0" distR="0" wp14:anchorId="44355172" wp14:editId="4C826D30">
            <wp:extent cx="5276850" cy="3683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68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88F11" w14:textId="77777777" w:rsidR="00D25C6F" w:rsidRPr="00D25C6F" w:rsidRDefault="00D25C6F" w:rsidP="001B7AF1">
      <w:pPr>
        <w:ind w:firstLineChars="0" w:firstLine="0"/>
        <w:jc w:val="center"/>
        <w:outlineLvl w:val="1"/>
        <w:rPr>
          <w:rFonts w:cs="Times New Roman"/>
          <w:szCs w:val="24"/>
        </w:rPr>
      </w:pPr>
      <w:r w:rsidRPr="00D25C6F">
        <w:rPr>
          <w:rFonts w:cs="Times New Roman"/>
          <w:b/>
          <w:bCs/>
          <w:szCs w:val="24"/>
        </w:rPr>
        <w:t xml:space="preserve">Fig. </w:t>
      </w:r>
      <w:r w:rsidRPr="00D25C6F">
        <w:rPr>
          <w:rFonts w:eastAsiaTheme="minorEastAsia" w:cs="Times New Roman"/>
          <w:b/>
          <w:bCs/>
          <w:szCs w:val="24"/>
        </w:rPr>
        <w:t>A</w:t>
      </w:r>
      <w:r w:rsidRPr="00D25C6F">
        <w:rPr>
          <w:rFonts w:cs="Times New Roman"/>
          <w:b/>
          <w:bCs/>
          <w:szCs w:val="24"/>
        </w:rPr>
        <w:t xml:space="preserve">1 </w:t>
      </w:r>
      <w:r w:rsidRPr="00D25C6F">
        <w:rPr>
          <w:rFonts w:eastAsiaTheme="minorEastAsia" w:cs="Times New Roman"/>
          <w:szCs w:val="24"/>
        </w:rPr>
        <w:t>The sampling</w:t>
      </w:r>
      <w:r w:rsidRPr="00D25C6F">
        <w:rPr>
          <w:rFonts w:cs="Times New Roman"/>
          <w:szCs w:val="24"/>
        </w:rPr>
        <w:t xml:space="preserve"> </w:t>
      </w:r>
      <w:r w:rsidRPr="00D25C6F">
        <w:rPr>
          <w:rFonts w:eastAsiaTheme="minorEastAsia" w:cs="Times New Roman"/>
          <w:szCs w:val="24"/>
        </w:rPr>
        <w:t>site</w:t>
      </w:r>
      <w:r w:rsidRPr="00D25C6F">
        <w:rPr>
          <w:rFonts w:cs="Times New Roman"/>
          <w:szCs w:val="24"/>
        </w:rPr>
        <w:t xml:space="preserve"> </w:t>
      </w:r>
      <w:r w:rsidRPr="00D25C6F">
        <w:rPr>
          <w:rFonts w:eastAsiaTheme="minorEastAsia" w:cs="Times New Roman"/>
          <w:szCs w:val="24"/>
        </w:rPr>
        <w:t>of</w:t>
      </w:r>
      <w:r w:rsidRPr="00D25C6F">
        <w:rPr>
          <w:rFonts w:cs="Times New Roman"/>
          <w:szCs w:val="24"/>
        </w:rPr>
        <w:t xml:space="preserve"> </w:t>
      </w:r>
      <w:proofErr w:type="spellStart"/>
      <w:r w:rsidRPr="00D25C6F">
        <w:rPr>
          <w:rFonts w:eastAsiaTheme="minorEastAsia" w:cs="Times New Roman"/>
          <w:szCs w:val="24"/>
        </w:rPr>
        <w:t>Shahu</w:t>
      </w:r>
      <w:proofErr w:type="spellEnd"/>
      <w:r w:rsidRPr="00D25C6F">
        <w:rPr>
          <w:rFonts w:cs="Times New Roman"/>
          <w:szCs w:val="24"/>
        </w:rPr>
        <w:t xml:space="preserve"> </w:t>
      </w:r>
      <w:r w:rsidRPr="00D25C6F">
        <w:rPr>
          <w:rFonts w:eastAsiaTheme="minorEastAsia" w:cs="Times New Roman"/>
          <w:szCs w:val="24"/>
        </w:rPr>
        <w:t>Lake</w:t>
      </w:r>
    </w:p>
    <w:p w14:paraId="431B47ED" w14:textId="77777777" w:rsidR="000D7CDC" w:rsidRDefault="000D7CDC" w:rsidP="001B7AF1">
      <w:pPr>
        <w:ind w:firstLine="480"/>
        <w:outlineLvl w:val="1"/>
        <w:rPr>
          <w:rFonts w:cs="Times New Roman"/>
          <w:szCs w:val="24"/>
        </w:rPr>
        <w:sectPr w:rsidR="000D7CD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432CEB4" w14:textId="77777777" w:rsidR="007037F1" w:rsidRPr="00485A3A" w:rsidRDefault="007037F1" w:rsidP="007037F1">
      <w:pPr>
        <w:ind w:firstLineChars="0" w:firstLine="0"/>
        <w:jc w:val="center"/>
        <w:rPr>
          <w:rFonts w:cs="Times New Roman"/>
          <w:sz w:val="20"/>
          <w:szCs w:val="20"/>
        </w:rPr>
      </w:pPr>
      <w:r w:rsidRPr="00485A3A">
        <w:rPr>
          <w:rFonts w:cs="Times New Roman"/>
          <w:noProof/>
          <w:sz w:val="20"/>
          <w:szCs w:val="20"/>
        </w:rPr>
        <w:lastRenderedPageBreak/>
        <w:drawing>
          <wp:inline distT="0" distB="0" distL="0" distR="0" wp14:anchorId="57A16BA7" wp14:editId="66ABC0A1">
            <wp:extent cx="5041900" cy="43815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31935" w14:textId="77777777" w:rsidR="000D7CDC" w:rsidRDefault="007037F1" w:rsidP="001B7AF1">
      <w:pPr>
        <w:ind w:firstLineChars="0" w:firstLine="0"/>
        <w:outlineLvl w:val="1"/>
        <w:rPr>
          <w:rFonts w:cs="Times New Roman"/>
          <w:szCs w:val="24"/>
        </w:rPr>
        <w:sectPr w:rsidR="000D7CD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037F1">
        <w:rPr>
          <w:rFonts w:cs="Times New Roman"/>
          <w:b/>
          <w:bCs/>
          <w:szCs w:val="24"/>
        </w:rPr>
        <w:t>Fig</w:t>
      </w:r>
      <w:r w:rsidRPr="00E62CCB">
        <w:rPr>
          <w:rFonts w:cs="Times New Roman" w:hint="eastAsia"/>
          <w:b/>
          <w:bCs/>
          <w:szCs w:val="24"/>
        </w:rPr>
        <w:t>.</w:t>
      </w:r>
      <w:r w:rsidRPr="007037F1">
        <w:rPr>
          <w:rFonts w:cs="Times New Roman" w:hint="eastAsia"/>
          <w:b/>
          <w:bCs/>
          <w:szCs w:val="24"/>
        </w:rPr>
        <w:t xml:space="preserve"> </w:t>
      </w:r>
      <w:r w:rsidRPr="007037F1">
        <w:rPr>
          <w:rFonts w:cs="Times New Roman" w:hint="eastAsia"/>
          <w:b/>
          <w:bCs/>
          <w:szCs w:val="24"/>
        </w:rPr>
        <w:t>A2</w:t>
      </w:r>
      <w:r w:rsidRPr="007037F1">
        <w:rPr>
          <w:rFonts w:cs="Times New Roman"/>
          <w:b/>
          <w:bCs/>
          <w:szCs w:val="24"/>
        </w:rPr>
        <w:t xml:space="preserve"> </w:t>
      </w:r>
      <w:r w:rsidRPr="00E62CCB">
        <w:rPr>
          <w:rFonts w:cs="Times New Roman"/>
          <w:szCs w:val="24"/>
        </w:rPr>
        <w:t>ANOVA of DOM compositions under different salinity</w:t>
      </w:r>
      <w:r w:rsidRPr="00E62CCB">
        <w:rPr>
          <w:rFonts w:cs="Times New Roman" w:hint="eastAsia"/>
          <w:szCs w:val="24"/>
        </w:rPr>
        <w:t>:</w:t>
      </w:r>
      <w:r w:rsidRPr="00E62CCB">
        <w:rPr>
          <w:rFonts w:cs="Times New Roman"/>
          <w:szCs w:val="24"/>
        </w:rPr>
        <w:t xml:space="preserve"> </w:t>
      </w:r>
      <w:r w:rsidRPr="00E62CCB">
        <w:rPr>
          <w:rFonts w:cs="Times New Roman" w:hint="eastAsia"/>
          <w:szCs w:val="24"/>
        </w:rPr>
        <w:t>(a),</w:t>
      </w:r>
      <w:r w:rsidRPr="00E62CCB">
        <w:rPr>
          <w:rFonts w:cs="Times New Roman"/>
          <w:szCs w:val="24"/>
        </w:rPr>
        <w:t xml:space="preserve"> </w:t>
      </w:r>
      <w:r w:rsidRPr="00E62CCB">
        <w:rPr>
          <w:rFonts w:cs="Times New Roman" w:hint="eastAsia"/>
          <w:szCs w:val="24"/>
        </w:rPr>
        <w:t>C1;</w:t>
      </w:r>
      <w:r w:rsidRPr="00E62CCB">
        <w:rPr>
          <w:rFonts w:cs="Times New Roman"/>
          <w:szCs w:val="24"/>
        </w:rPr>
        <w:t xml:space="preserve"> </w:t>
      </w:r>
      <w:r w:rsidRPr="00E62CCB">
        <w:rPr>
          <w:rFonts w:cs="Times New Roman" w:hint="eastAsia"/>
          <w:szCs w:val="24"/>
        </w:rPr>
        <w:t>(b),</w:t>
      </w:r>
      <w:r w:rsidRPr="00E62CCB">
        <w:rPr>
          <w:rFonts w:cs="Times New Roman"/>
          <w:szCs w:val="24"/>
        </w:rPr>
        <w:t xml:space="preserve"> </w:t>
      </w:r>
      <w:r w:rsidRPr="00E62CCB">
        <w:rPr>
          <w:rFonts w:cs="Times New Roman" w:hint="eastAsia"/>
          <w:szCs w:val="24"/>
        </w:rPr>
        <w:t>C2;</w:t>
      </w:r>
      <w:r w:rsidRPr="00E62CCB">
        <w:rPr>
          <w:rFonts w:cs="Times New Roman"/>
          <w:szCs w:val="24"/>
        </w:rPr>
        <w:t xml:space="preserve"> </w:t>
      </w:r>
      <w:r w:rsidRPr="00E62CCB">
        <w:rPr>
          <w:rFonts w:cs="Times New Roman" w:hint="eastAsia"/>
          <w:szCs w:val="24"/>
        </w:rPr>
        <w:t>(c),</w:t>
      </w:r>
      <w:r w:rsidRPr="00E62CCB">
        <w:rPr>
          <w:rFonts w:cs="Times New Roman"/>
          <w:szCs w:val="24"/>
        </w:rPr>
        <w:t xml:space="preserve"> </w:t>
      </w:r>
      <w:r w:rsidRPr="00E62CCB">
        <w:rPr>
          <w:rFonts w:cs="Times New Roman" w:hint="eastAsia"/>
          <w:szCs w:val="24"/>
        </w:rPr>
        <w:t>C3;</w:t>
      </w:r>
      <w:r w:rsidRPr="00E62CCB">
        <w:rPr>
          <w:rFonts w:cs="Times New Roman"/>
          <w:szCs w:val="24"/>
        </w:rPr>
        <w:t xml:space="preserve"> </w:t>
      </w:r>
      <w:r w:rsidRPr="00E62CCB">
        <w:rPr>
          <w:rFonts w:cs="Times New Roman" w:hint="eastAsia"/>
          <w:szCs w:val="24"/>
        </w:rPr>
        <w:t>(d),</w:t>
      </w:r>
      <w:r w:rsidRPr="00E62CCB">
        <w:rPr>
          <w:rFonts w:cs="Times New Roman"/>
          <w:szCs w:val="24"/>
        </w:rPr>
        <w:t xml:space="preserve"> </w:t>
      </w:r>
      <w:r w:rsidRPr="00E62CCB">
        <w:rPr>
          <w:rFonts w:cs="Times New Roman" w:hint="eastAsia"/>
          <w:szCs w:val="24"/>
        </w:rPr>
        <w:t>C4.</w:t>
      </w:r>
      <w:r w:rsidRPr="00E62CCB">
        <w:rPr>
          <w:rFonts w:cs="Times New Roman"/>
          <w:szCs w:val="24"/>
        </w:rPr>
        <w:t xml:space="preserve"> "*" indicates a significant difference of P &lt; 0.05, and "</w:t>
      </w:r>
      <w:r w:rsidRPr="00E62CCB">
        <w:rPr>
          <w:rFonts w:cs="Times New Roman" w:hint="eastAsia"/>
          <w:szCs w:val="24"/>
        </w:rPr>
        <w:t>ns</w:t>
      </w:r>
      <w:r w:rsidRPr="00E62CCB">
        <w:rPr>
          <w:rFonts w:cs="Times New Roman"/>
          <w:szCs w:val="24"/>
        </w:rPr>
        <w:t>" indicates no significant difference</w:t>
      </w:r>
    </w:p>
    <w:p w14:paraId="34B1C834" w14:textId="72713499" w:rsidR="00912A92" w:rsidRDefault="00912A92">
      <w:pPr>
        <w:ind w:firstLine="480"/>
        <w:rPr>
          <w:rFonts w:cs="Times New Roman" w:hint="eastAsia"/>
          <w:szCs w:val="24"/>
        </w:rPr>
      </w:pPr>
      <w:r>
        <w:rPr>
          <w:noProof/>
        </w:rPr>
        <w:lastRenderedPageBreak/>
        <w:drawing>
          <wp:inline distT="0" distB="0" distL="0" distR="0" wp14:anchorId="7BFBD201" wp14:editId="06B47D75">
            <wp:extent cx="4675505" cy="459803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9978" cy="4612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180CF" w14:textId="787C0896" w:rsidR="001C4FA3" w:rsidRDefault="00000000">
      <w:pPr>
        <w:ind w:firstLine="482"/>
        <w:jc w:val="center"/>
        <w:outlineLvl w:val="1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Fig</w:t>
      </w:r>
      <w:r w:rsidR="00AA3463">
        <w:rPr>
          <w:rFonts w:cs="Times New Roman"/>
          <w:b/>
          <w:bCs/>
          <w:szCs w:val="24"/>
        </w:rPr>
        <w:t>.</w:t>
      </w:r>
      <w:r>
        <w:rPr>
          <w:rFonts w:cs="Times New Roman"/>
          <w:b/>
          <w:bCs/>
          <w:szCs w:val="24"/>
        </w:rPr>
        <w:t xml:space="preserve"> A</w:t>
      </w:r>
      <w:r w:rsidR="00E62CCB">
        <w:rPr>
          <w:rFonts w:cs="Times New Roman"/>
          <w:b/>
          <w:bCs/>
          <w:szCs w:val="24"/>
        </w:rPr>
        <w:t>3</w:t>
      </w:r>
      <w:r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szCs w:val="24"/>
        </w:rPr>
        <w:t xml:space="preserve">PARAFAC of DOM in </w:t>
      </w:r>
      <w:r>
        <w:rPr>
          <w:rFonts w:cs="Times New Roman" w:hint="eastAsia"/>
          <w:szCs w:val="24"/>
        </w:rPr>
        <w:t>pore</w:t>
      </w:r>
      <w:r>
        <w:rPr>
          <w:rFonts w:cs="Times New Roman"/>
          <w:szCs w:val="24"/>
        </w:rPr>
        <w:t xml:space="preserve"> wate</w:t>
      </w:r>
      <w:r>
        <w:rPr>
          <w:rFonts w:cs="Times New Roman" w:hint="eastAsia"/>
          <w:szCs w:val="24"/>
        </w:rPr>
        <w:t>r</w:t>
      </w:r>
    </w:p>
    <w:sectPr w:rsidR="001C4F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E93A6" w14:textId="77777777" w:rsidR="002400A3" w:rsidRDefault="002400A3">
      <w:pPr>
        <w:spacing w:line="240" w:lineRule="auto"/>
        <w:ind w:firstLine="480"/>
      </w:pPr>
      <w:r>
        <w:separator/>
      </w:r>
    </w:p>
  </w:endnote>
  <w:endnote w:type="continuationSeparator" w:id="0">
    <w:p w14:paraId="5CC932AF" w14:textId="77777777" w:rsidR="002400A3" w:rsidRDefault="002400A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D9FD5" w14:textId="77777777" w:rsidR="001C4FA3" w:rsidRDefault="001C4FA3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23814659"/>
      <w:docPartObj>
        <w:docPartGallery w:val="Page Numbers (Bottom of Page)"/>
        <w:docPartUnique/>
      </w:docPartObj>
    </w:sdtPr>
    <w:sdtContent>
      <w:p w14:paraId="54E09389" w14:textId="08511CAD" w:rsidR="00817B0B" w:rsidRDefault="00817B0B">
        <w:pPr>
          <w:pStyle w:val="a3"/>
          <w:ind w:firstLine="360"/>
          <w:jc w:val="center"/>
        </w:pPr>
        <w:r w:rsidRPr="00817B0B">
          <w:rPr>
            <w:sz w:val="21"/>
            <w:szCs w:val="21"/>
          </w:rPr>
          <w:fldChar w:fldCharType="begin"/>
        </w:r>
        <w:r w:rsidRPr="00817B0B">
          <w:rPr>
            <w:sz w:val="21"/>
            <w:szCs w:val="21"/>
          </w:rPr>
          <w:instrText>PAGE   \* MERGEFORMAT</w:instrText>
        </w:r>
        <w:r w:rsidRPr="00817B0B">
          <w:rPr>
            <w:sz w:val="21"/>
            <w:szCs w:val="21"/>
          </w:rPr>
          <w:fldChar w:fldCharType="separate"/>
        </w:r>
        <w:r w:rsidRPr="00817B0B">
          <w:rPr>
            <w:sz w:val="21"/>
            <w:szCs w:val="21"/>
            <w:lang w:val="zh-CN"/>
          </w:rPr>
          <w:t>2</w:t>
        </w:r>
        <w:r w:rsidRPr="00817B0B">
          <w:rPr>
            <w:sz w:val="21"/>
            <w:szCs w:val="21"/>
          </w:rPr>
          <w:fldChar w:fldCharType="end"/>
        </w:r>
      </w:p>
    </w:sdtContent>
  </w:sdt>
  <w:p w14:paraId="1DF178B7" w14:textId="77777777" w:rsidR="001C4FA3" w:rsidRDefault="001C4FA3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8E802" w14:textId="77777777" w:rsidR="001C4FA3" w:rsidRDefault="001C4FA3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7A786" w14:textId="77777777" w:rsidR="002400A3" w:rsidRDefault="002400A3">
      <w:pPr>
        <w:ind w:firstLine="480"/>
      </w:pPr>
      <w:r>
        <w:separator/>
      </w:r>
    </w:p>
  </w:footnote>
  <w:footnote w:type="continuationSeparator" w:id="0">
    <w:p w14:paraId="15BB646C" w14:textId="77777777" w:rsidR="002400A3" w:rsidRDefault="002400A3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CC058" w14:textId="77777777" w:rsidR="001C4FA3" w:rsidRDefault="001C4FA3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E2053" w14:textId="13AFF118" w:rsidR="001C4FA3" w:rsidRPr="00817B0B" w:rsidRDefault="001C4FA3" w:rsidP="00817B0B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97D02" w14:textId="77777777" w:rsidR="001C4FA3" w:rsidRDefault="001C4FA3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A0MzE0NzQxtzQyMLZU0lEKTi0uzszPAykwqgUAKcgDGCwAAAA="/>
  </w:docVars>
  <w:rsids>
    <w:rsidRoot w:val="00A70BF5"/>
    <w:rsid w:val="00006E56"/>
    <w:rsid w:val="0002037F"/>
    <w:rsid w:val="00025311"/>
    <w:rsid w:val="000450B7"/>
    <w:rsid w:val="00092C6D"/>
    <w:rsid w:val="000A29B6"/>
    <w:rsid w:val="000C3D57"/>
    <w:rsid w:val="000D7CDC"/>
    <w:rsid w:val="000E0655"/>
    <w:rsid w:val="00112AE3"/>
    <w:rsid w:val="00134432"/>
    <w:rsid w:val="001472B8"/>
    <w:rsid w:val="00187B1E"/>
    <w:rsid w:val="0019304C"/>
    <w:rsid w:val="001979C7"/>
    <w:rsid w:val="001B7AF1"/>
    <w:rsid w:val="001C4FA3"/>
    <w:rsid w:val="001C77AD"/>
    <w:rsid w:val="001D0D5B"/>
    <w:rsid w:val="00206E72"/>
    <w:rsid w:val="0023724B"/>
    <w:rsid w:val="002400A3"/>
    <w:rsid w:val="002477DE"/>
    <w:rsid w:val="00274C70"/>
    <w:rsid w:val="00277328"/>
    <w:rsid w:val="00282624"/>
    <w:rsid w:val="002C0D4B"/>
    <w:rsid w:val="002D7E88"/>
    <w:rsid w:val="00331CD1"/>
    <w:rsid w:val="00351FB1"/>
    <w:rsid w:val="00356365"/>
    <w:rsid w:val="00387F6C"/>
    <w:rsid w:val="003A1A63"/>
    <w:rsid w:val="003E2339"/>
    <w:rsid w:val="00476D29"/>
    <w:rsid w:val="004B5635"/>
    <w:rsid w:val="00503E8E"/>
    <w:rsid w:val="00505087"/>
    <w:rsid w:val="00520A91"/>
    <w:rsid w:val="005518C8"/>
    <w:rsid w:val="00565CE6"/>
    <w:rsid w:val="00570E79"/>
    <w:rsid w:val="005A1983"/>
    <w:rsid w:val="005B44FC"/>
    <w:rsid w:val="005D26E6"/>
    <w:rsid w:val="005D320D"/>
    <w:rsid w:val="005D3944"/>
    <w:rsid w:val="005D5163"/>
    <w:rsid w:val="005E258F"/>
    <w:rsid w:val="0060714B"/>
    <w:rsid w:val="006419E7"/>
    <w:rsid w:val="00643B7A"/>
    <w:rsid w:val="00645CC7"/>
    <w:rsid w:val="00655E7E"/>
    <w:rsid w:val="006662CC"/>
    <w:rsid w:val="0067773E"/>
    <w:rsid w:val="006813AB"/>
    <w:rsid w:val="006C470D"/>
    <w:rsid w:val="006C5303"/>
    <w:rsid w:val="006E1ED7"/>
    <w:rsid w:val="007037F1"/>
    <w:rsid w:val="00771748"/>
    <w:rsid w:val="007D08C7"/>
    <w:rsid w:val="007F380A"/>
    <w:rsid w:val="00806F2E"/>
    <w:rsid w:val="00817B0B"/>
    <w:rsid w:val="00827B08"/>
    <w:rsid w:val="0085036F"/>
    <w:rsid w:val="00866848"/>
    <w:rsid w:val="00867EC6"/>
    <w:rsid w:val="00874AC7"/>
    <w:rsid w:val="008805E8"/>
    <w:rsid w:val="008904D4"/>
    <w:rsid w:val="008F7CA1"/>
    <w:rsid w:val="00912A92"/>
    <w:rsid w:val="009856B9"/>
    <w:rsid w:val="00993EC5"/>
    <w:rsid w:val="009A0813"/>
    <w:rsid w:val="009A558F"/>
    <w:rsid w:val="009B54E3"/>
    <w:rsid w:val="009B5E61"/>
    <w:rsid w:val="009D4112"/>
    <w:rsid w:val="00A70BF5"/>
    <w:rsid w:val="00A73C0E"/>
    <w:rsid w:val="00A74BAD"/>
    <w:rsid w:val="00A75C69"/>
    <w:rsid w:val="00A87C77"/>
    <w:rsid w:val="00A87D3E"/>
    <w:rsid w:val="00A95811"/>
    <w:rsid w:val="00AA0A05"/>
    <w:rsid w:val="00AA3463"/>
    <w:rsid w:val="00AD1ADD"/>
    <w:rsid w:val="00AE1194"/>
    <w:rsid w:val="00B00456"/>
    <w:rsid w:val="00B158DB"/>
    <w:rsid w:val="00B53600"/>
    <w:rsid w:val="00B775E2"/>
    <w:rsid w:val="00B908CF"/>
    <w:rsid w:val="00BA10DB"/>
    <w:rsid w:val="00BB1C41"/>
    <w:rsid w:val="00C05E90"/>
    <w:rsid w:val="00C43EBC"/>
    <w:rsid w:val="00C57E69"/>
    <w:rsid w:val="00C71749"/>
    <w:rsid w:val="00CB517A"/>
    <w:rsid w:val="00CE542C"/>
    <w:rsid w:val="00D10DE1"/>
    <w:rsid w:val="00D25C6F"/>
    <w:rsid w:val="00D511EA"/>
    <w:rsid w:val="00D80389"/>
    <w:rsid w:val="00D80400"/>
    <w:rsid w:val="00D911BF"/>
    <w:rsid w:val="00DC47EA"/>
    <w:rsid w:val="00DE11C2"/>
    <w:rsid w:val="00E10175"/>
    <w:rsid w:val="00E10204"/>
    <w:rsid w:val="00E62CCB"/>
    <w:rsid w:val="00E66EFD"/>
    <w:rsid w:val="00E72820"/>
    <w:rsid w:val="00E72F6C"/>
    <w:rsid w:val="00E807DE"/>
    <w:rsid w:val="00E87683"/>
    <w:rsid w:val="00EA5B97"/>
    <w:rsid w:val="00EC3574"/>
    <w:rsid w:val="00F2331C"/>
    <w:rsid w:val="00F30E53"/>
    <w:rsid w:val="00F47F6C"/>
    <w:rsid w:val="00F65E92"/>
    <w:rsid w:val="00F71218"/>
    <w:rsid w:val="00F77FD3"/>
    <w:rsid w:val="00FD34BA"/>
    <w:rsid w:val="4B27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A8C20"/>
  <w15:docId w15:val="{B7770B0F-E804-4792-A306-8771E8490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qFormat/>
    <w:pPr>
      <w:spacing w:line="480" w:lineRule="auto"/>
      <w:ind w:firstLineChars="0" w:firstLine="0"/>
      <w:jc w:val="left"/>
    </w:pPr>
    <w:rPr>
      <w:rFonts w:eastAsia="Times New Roman"/>
      <w:szCs w:val="18"/>
    </w:rPr>
  </w:style>
  <w:style w:type="table" w:styleId="a9">
    <w:name w:val="Table Grid"/>
    <w:basedOn w:val="a1"/>
    <w:uiPriority w:val="39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</w:style>
  <w:style w:type="character" w:customStyle="1" w:styleId="a8">
    <w:name w:val="脚注文本 字符"/>
    <w:basedOn w:val="a0"/>
    <w:link w:val="a7"/>
    <w:uiPriority w:val="99"/>
    <w:semiHidden/>
    <w:qFormat/>
    <w:rPr>
      <w:rFonts w:ascii="Times New Roman" w:eastAsia="Times New Roman" w:hAnsi="Times New Roman"/>
      <w:sz w:val="24"/>
      <w:szCs w:val="18"/>
    </w:rPr>
  </w:style>
  <w:style w:type="character" w:customStyle="1" w:styleId="10">
    <w:name w:val="标题 1 字符"/>
    <w:basedOn w:val="a0"/>
    <w:link w:val="1"/>
    <w:uiPriority w:val="9"/>
    <w:rPr>
      <w:rFonts w:ascii="Times New Roman" w:eastAsia="宋体" w:hAnsi="Times New Roman"/>
      <w:b/>
      <w:bCs/>
      <w:kern w:val="44"/>
      <w:sz w:val="44"/>
      <w:szCs w:val="44"/>
    </w:rPr>
  </w:style>
  <w:style w:type="table" w:customStyle="1" w:styleId="ab">
    <w:name w:val="三线表"/>
    <w:basedOn w:val="a1"/>
    <w:qFormat/>
    <w:pPr>
      <w:adjustRightInd w:val="0"/>
      <w:snapToGrid w:val="0"/>
      <w:spacing w:line="360" w:lineRule="auto"/>
    </w:pPr>
    <w:rPr>
      <w:rFonts w:ascii="Times New Roman" w:eastAsia="宋体" w:hAnsi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6" w:space="0" w:color="auto"/>
        </w:tcBorders>
      </w:tcPr>
    </w:tblStylePr>
  </w:style>
  <w:style w:type="paragraph" w:customStyle="1" w:styleId="ac">
    <w:name w:val="表英文"/>
    <w:link w:val="Char"/>
    <w:qFormat/>
    <w:pPr>
      <w:jc w:val="center"/>
    </w:pPr>
    <w:rPr>
      <w:rFonts w:ascii="Times New Roman" w:eastAsia="等线" w:hAnsi="Times New Roman"/>
      <w:b/>
      <w:sz w:val="21"/>
    </w:rPr>
  </w:style>
  <w:style w:type="character" w:customStyle="1" w:styleId="Char">
    <w:name w:val="表英文 Char"/>
    <w:link w:val="ac"/>
    <w:qFormat/>
    <w:rPr>
      <w:rFonts w:ascii="Times New Roman" w:eastAsia="等线" w:hAnsi="Times New Roman"/>
      <w:b/>
      <w:kern w:val="0"/>
      <w:szCs w:val="20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/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pPr>
      <w:spacing w:line="240" w:lineRule="auto"/>
      <w:ind w:left="480" w:hangingChars="200" w:hanging="480"/>
    </w:pPr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3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2.tiff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3A8061-BE6F-4062-B0C8-01E8A7082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604</Words>
  <Characters>3447</Characters>
  <Application>Microsoft Office Word</Application>
  <DocSecurity>0</DocSecurity>
  <Lines>28</Lines>
  <Paragraphs>8</Paragraphs>
  <ScaleCrop>false</ScaleCrop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 而逝</dc:creator>
  <cp:lastModifiedBy>z 而逝</cp:lastModifiedBy>
  <cp:revision>2</cp:revision>
  <dcterms:created xsi:type="dcterms:W3CDTF">2022-12-26T09:57:00Z</dcterms:created>
  <dcterms:modified xsi:type="dcterms:W3CDTF">2022-12-26T09:57:00Z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2052-11.1.0.11360</vt:lpwstr>
  </property>
  <property fmtid="{D5CDD505-2E9C-101B-9397-08002B2CF9AE}" pid="3" name="ICV">
    <vt:lpwstr>43CCC7DD5E6E4B6BBB26DFF73DB08D85</vt:lpwstr>
  </property>
</Properties>
</file>