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8667775" w14:textId="77777777" w:rsidR="009E10A5" w:rsidRPr="00E674F7" w:rsidRDefault="009E10A5" w:rsidP="009E10A5">
      <w:pPr>
        <w:spacing w:line="360" w:lineRule="auto"/>
        <w:jc w:val="both"/>
        <w:rPr>
          <w:rFonts w:eastAsia="DengXian"/>
          <w:lang w:bidi="ar"/>
        </w:rPr>
      </w:pPr>
      <w:r w:rsidRPr="00E674F7">
        <w:rPr>
          <w:rFonts w:eastAsia="DengXian"/>
          <w:lang w:bidi="ar"/>
        </w:rPr>
        <w:t xml:space="preserve">The Supplementary </w:t>
      </w:r>
      <w:r>
        <w:rPr>
          <w:rFonts w:eastAsia="DengXian"/>
          <w:lang w:bidi="ar"/>
        </w:rPr>
        <w:t>Information</w:t>
      </w:r>
      <w:r w:rsidRPr="00E674F7">
        <w:rPr>
          <w:rFonts w:eastAsia="DengXian"/>
          <w:lang w:bidi="ar"/>
        </w:rPr>
        <w:t xml:space="preserve"> for: </w:t>
      </w:r>
    </w:p>
    <w:p w14:paraId="6E01BA6A" w14:textId="77777777" w:rsidR="009E10A5" w:rsidRDefault="009E10A5" w:rsidP="009E10A5">
      <w:pPr>
        <w:spacing w:line="360" w:lineRule="auto"/>
        <w:jc w:val="both"/>
        <w:outlineLvl w:val="0"/>
        <w:rPr>
          <w:b/>
          <w:color w:val="000000" w:themeColor="text1"/>
          <w:sz w:val="21"/>
          <w:szCs w:val="21"/>
          <w:lang w:val="fr-FR"/>
        </w:rPr>
      </w:pPr>
      <w:r w:rsidRPr="00F459C9">
        <w:rPr>
          <w:b/>
          <w:color w:val="000000" w:themeColor="text1"/>
          <w:sz w:val="30"/>
          <w:szCs w:val="30"/>
        </w:rPr>
        <w:t>Lampreys underwent radical changes in ecology and morphology during the Jurassic era</w:t>
      </w:r>
      <w:r w:rsidRPr="00E674F7">
        <w:rPr>
          <w:b/>
          <w:color w:val="000000" w:themeColor="text1"/>
          <w:sz w:val="21"/>
          <w:szCs w:val="21"/>
          <w:lang w:val="fr-FR"/>
        </w:rPr>
        <w:t xml:space="preserve"> </w:t>
      </w:r>
    </w:p>
    <w:p w14:paraId="53595876" w14:textId="77777777" w:rsidR="009E10A5" w:rsidRPr="00E674F7" w:rsidRDefault="009E10A5" w:rsidP="009E10A5">
      <w:pPr>
        <w:spacing w:line="360" w:lineRule="auto"/>
        <w:jc w:val="both"/>
      </w:pPr>
      <w:r w:rsidRPr="00E674F7">
        <w:t xml:space="preserve">The supplementary </w:t>
      </w:r>
      <w:r>
        <w:t>information</w:t>
      </w:r>
      <w:r w:rsidRPr="00E674F7">
        <w:t xml:space="preserve"> include:</w:t>
      </w:r>
    </w:p>
    <w:p w14:paraId="25A38CB2" w14:textId="77777777" w:rsidR="009E10A5" w:rsidRPr="00E674F7" w:rsidRDefault="009E10A5" w:rsidP="009E10A5">
      <w:pPr>
        <w:pStyle w:val="p1"/>
        <w:numPr>
          <w:ilvl w:val="0"/>
          <w:numId w:val="1"/>
        </w:numPr>
        <w:spacing w:line="276" w:lineRule="auto"/>
        <w:jc w:val="both"/>
        <w:rPr>
          <w:rFonts w:ascii="Times New Roman" w:hAnsi="Times New Roman"/>
          <w:sz w:val="24"/>
          <w:szCs w:val="24"/>
        </w:rPr>
      </w:pPr>
      <w:r w:rsidRPr="00E674F7">
        <w:rPr>
          <w:rFonts w:ascii="Times New Roman" w:hAnsi="Times New Roman"/>
          <w:sz w:val="24"/>
          <w:szCs w:val="24"/>
        </w:rPr>
        <w:t>Supplementary description and comparison</w:t>
      </w:r>
    </w:p>
    <w:p w14:paraId="0E595CBD" w14:textId="77777777" w:rsidR="009E10A5" w:rsidRPr="00E674F7" w:rsidRDefault="009E10A5" w:rsidP="009E10A5">
      <w:pPr>
        <w:pStyle w:val="p1"/>
        <w:numPr>
          <w:ilvl w:val="0"/>
          <w:numId w:val="1"/>
        </w:numPr>
        <w:spacing w:line="276" w:lineRule="auto"/>
        <w:jc w:val="both"/>
        <w:rPr>
          <w:rFonts w:ascii="Times New Roman" w:hAnsi="Times New Roman"/>
          <w:sz w:val="24"/>
          <w:szCs w:val="24"/>
        </w:rPr>
      </w:pPr>
      <w:r w:rsidRPr="00E674F7">
        <w:rPr>
          <w:rFonts w:ascii="Times New Roman" w:hAnsi="Times New Roman"/>
          <w:sz w:val="24"/>
          <w:szCs w:val="24"/>
        </w:rPr>
        <w:t>Pal</w:t>
      </w:r>
      <w:r>
        <w:rPr>
          <w:rFonts w:ascii="Times New Roman" w:hAnsi="Times New Roman"/>
          <w:sz w:val="24"/>
          <w:szCs w:val="24"/>
        </w:rPr>
        <w:t>a</w:t>
      </w:r>
      <w:r w:rsidRPr="00E674F7">
        <w:rPr>
          <w:rFonts w:ascii="Times New Roman" w:hAnsi="Times New Roman"/>
          <w:sz w:val="24"/>
          <w:szCs w:val="24"/>
        </w:rPr>
        <w:t>eotemperature and fossil occurrences</w:t>
      </w:r>
    </w:p>
    <w:p w14:paraId="15476A7F" w14:textId="77777777" w:rsidR="009E10A5" w:rsidRPr="00E674F7" w:rsidRDefault="009E10A5" w:rsidP="009E10A5">
      <w:pPr>
        <w:pStyle w:val="p1"/>
        <w:numPr>
          <w:ilvl w:val="0"/>
          <w:numId w:val="1"/>
        </w:numPr>
        <w:spacing w:line="276" w:lineRule="auto"/>
        <w:jc w:val="both"/>
        <w:rPr>
          <w:rFonts w:ascii="Times New Roman" w:hAnsi="Times New Roman"/>
          <w:sz w:val="24"/>
          <w:szCs w:val="24"/>
        </w:rPr>
      </w:pPr>
      <w:r w:rsidRPr="00E674F7">
        <w:rPr>
          <w:rFonts w:ascii="Times New Roman" w:hAnsi="Times New Roman"/>
          <w:sz w:val="24"/>
          <w:szCs w:val="24"/>
        </w:rPr>
        <w:t xml:space="preserve">Character list and coding </w:t>
      </w:r>
    </w:p>
    <w:p w14:paraId="6FCD4793" w14:textId="77777777" w:rsidR="009E10A5" w:rsidRPr="00E674F7" w:rsidRDefault="009E10A5" w:rsidP="009E10A5">
      <w:pPr>
        <w:pStyle w:val="p1"/>
        <w:numPr>
          <w:ilvl w:val="0"/>
          <w:numId w:val="1"/>
        </w:numPr>
        <w:spacing w:line="276" w:lineRule="auto"/>
        <w:jc w:val="both"/>
        <w:rPr>
          <w:rFonts w:ascii="Times New Roman" w:hAnsi="Times New Roman"/>
          <w:b/>
          <w:sz w:val="24"/>
          <w:szCs w:val="24"/>
        </w:rPr>
      </w:pPr>
      <w:r w:rsidRPr="00E674F7">
        <w:rPr>
          <w:rFonts w:ascii="Times New Roman" w:hAnsi="Times New Roman"/>
          <w:sz w:val="24"/>
          <w:szCs w:val="24"/>
        </w:rPr>
        <w:t>Methods of phylogenetic analyses</w:t>
      </w:r>
    </w:p>
    <w:p w14:paraId="313FD082" w14:textId="77777777" w:rsidR="009E10A5" w:rsidRPr="00E674F7" w:rsidRDefault="009E10A5" w:rsidP="009E10A5">
      <w:pPr>
        <w:pStyle w:val="p1"/>
        <w:numPr>
          <w:ilvl w:val="0"/>
          <w:numId w:val="1"/>
        </w:numPr>
        <w:spacing w:line="276" w:lineRule="auto"/>
        <w:jc w:val="both"/>
        <w:rPr>
          <w:rFonts w:ascii="Times New Roman" w:hAnsi="Times New Roman"/>
          <w:sz w:val="24"/>
          <w:szCs w:val="24"/>
        </w:rPr>
      </w:pPr>
      <w:r w:rsidRPr="00E674F7">
        <w:rPr>
          <w:rFonts w:ascii="Times New Roman" w:hAnsi="Times New Roman"/>
          <w:sz w:val="24"/>
          <w:szCs w:val="24"/>
        </w:rPr>
        <w:t>Additional results and discussion</w:t>
      </w:r>
    </w:p>
    <w:p w14:paraId="782ED9AC" w14:textId="77777777" w:rsidR="009E10A5" w:rsidRPr="00E674F7" w:rsidRDefault="009E10A5" w:rsidP="009E10A5">
      <w:pPr>
        <w:pStyle w:val="p1"/>
        <w:numPr>
          <w:ilvl w:val="0"/>
          <w:numId w:val="1"/>
        </w:numPr>
        <w:spacing w:line="276" w:lineRule="auto"/>
        <w:jc w:val="both"/>
        <w:rPr>
          <w:rFonts w:ascii="Times New Roman" w:hAnsi="Times New Roman"/>
          <w:sz w:val="24"/>
          <w:szCs w:val="24"/>
        </w:rPr>
      </w:pPr>
      <w:r w:rsidRPr="00E674F7">
        <w:rPr>
          <w:rFonts w:ascii="Times New Roman" w:hAnsi="Times New Roman"/>
          <w:sz w:val="24"/>
          <w:szCs w:val="24"/>
        </w:rPr>
        <w:t>CT scanning and computerized tomography</w:t>
      </w:r>
    </w:p>
    <w:p w14:paraId="3861A282" w14:textId="77777777" w:rsidR="009E10A5" w:rsidRPr="00E674F7" w:rsidRDefault="009E10A5" w:rsidP="009E10A5">
      <w:pPr>
        <w:pStyle w:val="p1"/>
        <w:numPr>
          <w:ilvl w:val="0"/>
          <w:numId w:val="1"/>
        </w:numPr>
        <w:spacing w:line="276" w:lineRule="auto"/>
        <w:ind w:left="0" w:firstLine="0"/>
        <w:jc w:val="both"/>
        <w:rPr>
          <w:rFonts w:ascii="Times New Roman" w:hAnsi="Times New Roman"/>
          <w:sz w:val="24"/>
          <w:szCs w:val="24"/>
        </w:rPr>
      </w:pPr>
      <w:r w:rsidRPr="00E674F7">
        <w:rPr>
          <w:rFonts w:ascii="Times New Roman" w:hAnsi="Times New Roman"/>
          <w:sz w:val="24"/>
          <w:szCs w:val="24"/>
        </w:rPr>
        <w:t>Illustrations</w:t>
      </w:r>
    </w:p>
    <w:p w14:paraId="14A414FE" w14:textId="77777777" w:rsidR="009E10A5" w:rsidRPr="00E674F7" w:rsidRDefault="009E10A5" w:rsidP="009E10A5">
      <w:pPr>
        <w:pStyle w:val="p1"/>
        <w:numPr>
          <w:ilvl w:val="0"/>
          <w:numId w:val="1"/>
        </w:numPr>
        <w:spacing w:line="276" w:lineRule="auto"/>
        <w:ind w:left="0" w:firstLine="0"/>
        <w:jc w:val="both"/>
        <w:rPr>
          <w:rFonts w:ascii="Times New Roman" w:hAnsi="Times New Roman"/>
          <w:sz w:val="24"/>
          <w:szCs w:val="24"/>
        </w:rPr>
      </w:pPr>
      <w:r w:rsidRPr="00E674F7">
        <w:rPr>
          <w:rFonts w:ascii="Times New Roman" w:hAnsi="Times New Roman"/>
          <w:sz w:val="24"/>
          <w:szCs w:val="24"/>
        </w:rPr>
        <w:t>Supplementary references</w:t>
      </w:r>
    </w:p>
    <w:p w14:paraId="75C61DDA" w14:textId="77777777" w:rsidR="009E10A5" w:rsidRPr="00E674F7" w:rsidRDefault="009E10A5" w:rsidP="009E10A5">
      <w:pPr>
        <w:pStyle w:val="1"/>
        <w:spacing w:line="276" w:lineRule="auto"/>
        <w:rPr>
          <w:rFonts w:ascii="Times New Roman" w:hAnsi="Times New Roman" w:cs="Times New Roman"/>
          <w:sz w:val="24"/>
          <w:szCs w:val="24"/>
        </w:rPr>
      </w:pPr>
      <w:r w:rsidRPr="00E674F7">
        <w:rPr>
          <w:rFonts w:ascii="Times New Roman" w:hAnsi="Times New Roman" w:cs="Times New Roman"/>
          <w:sz w:val="24"/>
          <w:szCs w:val="24"/>
        </w:rPr>
        <w:t>Other supplementary materials include:</w:t>
      </w:r>
    </w:p>
    <w:p w14:paraId="4C741C45" w14:textId="77777777" w:rsidR="009E10A5" w:rsidRPr="00E674F7" w:rsidRDefault="009E10A5" w:rsidP="009E10A5">
      <w:pPr>
        <w:pStyle w:val="af5"/>
        <w:numPr>
          <w:ilvl w:val="0"/>
          <w:numId w:val="1"/>
        </w:numPr>
        <w:spacing w:line="276" w:lineRule="auto"/>
        <w:ind w:firstLineChars="0"/>
        <w:rPr>
          <w:rFonts w:ascii="Times New Roman" w:hAnsi="Times New Roman" w:cs="Times New Roman"/>
        </w:rPr>
      </w:pPr>
      <w:r>
        <w:rPr>
          <w:rFonts w:ascii="Times New Roman" w:hAnsi="Times New Roman" w:cs="Times New Roman"/>
        </w:rPr>
        <w:t xml:space="preserve">Supplementary </w:t>
      </w:r>
      <w:r w:rsidRPr="00E674F7">
        <w:rPr>
          <w:rFonts w:ascii="Times New Roman" w:hAnsi="Times New Roman" w:cs="Times New Roman"/>
        </w:rPr>
        <w:t xml:space="preserve">Figures </w:t>
      </w:r>
      <w:r>
        <w:rPr>
          <w:rFonts w:ascii="Times New Roman" w:hAnsi="Times New Roman" w:cs="Times New Roman"/>
        </w:rPr>
        <w:t>1</w:t>
      </w:r>
      <w:r w:rsidRPr="007226A4">
        <w:rPr>
          <w:color w:val="231F20"/>
        </w:rPr>
        <w:t>–</w:t>
      </w:r>
      <w:r w:rsidRPr="00E674F7">
        <w:rPr>
          <w:rFonts w:ascii="Times New Roman" w:hAnsi="Times New Roman" w:cs="Times New Roman"/>
        </w:rPr>
        <w:t>3 and legends</w:t>
      </w:r>
    </w:p>
    <w:p w14:paraId="1D6D6872" w14:textId="77777777" w:rsidR="009E10A5" w:rsidRPr="00E674F7" w:rsidRDefault="009E10A5" w:rsidP="009E10A5">
      <w:pPr>
        <w:pStyle w:val="p1"/>
        <w:numPr>
          <w:ilvl w:val="0"/>
          <w:numId w:val="1"/>
        </w:numPr>
        <w:spacing w:line="276" w:lineRule="auto"/>
        <w:jc w:val="both"/>
        <w:rPr>
          <w:rFonts w:ascii="Times New Roman" w:hAnsi="Times New Roman"/>
          <w:sz w:val="24"/>
          <w:szCs w:val="24"/>
        </w:rPr>
      </w:pPr>
      <w:r w:rsidRPr="002962B8">
        <w:rPr>
          <w:rFonts w:ascii="Times New Roman" w:hAnsi="Times New Roman"/>
          <w:sz w:val="24"/>
          <w:szCs w:val="24"/>
        </w:rPr>
        <w:t xml:space="preserve">Supplementary </w:t>
      </w:r>
      <w:r w:rsidRPr="00E674F7">
        <w:rPr>
          <w:rFonts w:ascii="Times New Roman" w:hAnsi="Times New Roman"/>
          <w:sz w:val="24"/>
          <w:szCs w:val="24"/>
        </w:rPr>
        <w:t xml:space="preserve">Table 1 </w:t>
      </w:r>
    </w:p>
    <w:p w14:paraId="094CAE0A" w14:textId="77777777" w:rsidR="009E10A5" w:rsidRPr="00E674F7" w:rsidRDefault="009E10A5" w:rsidP="009E10A5">
      <w:pPr>
        <w:jc w:val="both"/>
      </w:pPr>
    </w:p>
    <w:p w14:paraId="5DBD7A31" w14:textId="77777777" w:rsidR="009E10A5" w:rsidRPr="00E674F7" w:rsidRDefault="009E10A5" w:rsidP="009E10A5">
      <w:pPr>
        <w:jc w:val="both"/>
        <w:rPr>
          <w:b/>
          <w:bCs/>
        </w:rPr>
      </w:pPr>
      <w:r w:rsidRPr="00E674F7">
        <w:rPr>
          <w:b/>
          <w:bCs/>
        </w:rPr>
        <w:t>1. Supplementary Description and Comparison</w:t>
      </w:r>
    </w:p>
    <w:p w14:paraId="49058B5B" w14:textId="77777777" w:rsidR="009E10A5" w:rsidRPr="00E674F7" w:rsidRDefault="009E10A5" w:rsidP="009E10A5">
      <w:pPr>
        <w:spacing w:line="360" w:lineRule="auto"/>
        <w:ind w:firstLine="480"/>
        <w:jc w:val="both"/>
        <w:rPr>
          <w:color w:val="000000" w:themeColor="text1"/>
        </w:rPr>
      </w:pPr>
      <w:r w:rsidRPr="00E674F7">
        <w:t xml:space="preserve">The feeding structures, including the oral disc, keratinous teeth, laminae surrounding the oral aperture and on the </w:t>
      </w:r>
      <w:proofErr w:type="gramStart"/>
      <w:r w:rsidRPr="00E674F7">
        <w:t>rasping</w:t>
      </w:r>
      <w:proofErr w:type="gramEnd"/>
      <w:r w:rsidRPr="00E674F7">
        <w:t xml:space="preserve"> tongue are superbly preserved current materials (Figs. 1</w:t>
      </w:r>
      <w:r>
        <w:t>,</w:t>
      </w:r>
      <w:r w:rsidRPr="00E674F7">
        <w:t xml:space="preserve"> 2</w:t>
      </w:r>
      <w:r>
        <w:t>a</w:t>
      </w:r>
      <w:r w:rsidRPr="00465DFA">
        <w:rPr>
          <w:color w:val="231F20"/>
        </w:rPr>
        <w:t>–</w:t>
      </w:r>
      <w:r>
        <w:t>f, Extended Data Figs.</w:t>
      </w:r>
      <w:r w:rsidRPr="00E674F7">
        <w:t xml:space="preserve"> 1</w:t>
      </w:r>
      <w:r>
        <w:t>b</w:t>
      </w:r>
      <w:r w:rsidRPr="00465DFA">
        <w:rPr>
          <w:color w:val="231F20"/>
        </w:rPr>
        <w:t>–</w:t>
      </w:r>
      <w:r>
        <w:t>d</w:t>
      </w:r>
      <w:r w:rsidRPr="00E674F7">
        <w:t xml:space="preserve">, </w:t>
      </w:r>
      <w:r>
        <w:t>g</w:t>
      </w:r>
      <w:r w:rsidRPr="00465DFA">
        <w:rPr>
          <w:color w:val="231F20"/>
        </w:rPr>
        <w:t>–</w:t>
      </w:r>
      <w:r>
        <w:t>i</w:t>
      </w:r>
      <w:r w:rsidRPr="00E674F7">
        <w:t>, 2</w:t>
      </w:r>
      <w:r>
        <w:t>h</w:t>
      </w:r>
      <w:r w:rsidRPr="00465DFA">
        <w:rPr>
          <w:color w:val="231F20"/>
        </w:rPr>
        <w:t>–</w:t>
      </w:r>
      <w:r>
        <w:t>l</w:t>
      </w:r>
      <w:r w:rsidRPr="00E674F7">
        <w:t xml:space="preserve">). </w:t>
      </w:r>
      <w:r w:rsidRPr="00E674F7">
        <w:rPr>
          <w:color w:val="000000" w:themeColor="text1"/>
        </w:rPr>
        <w:t xml:space="preserve">The closely arranged disc teeth are much smaller than the circumoral teeth and decrease in size outwards. The morphology and arrangement of the disc teeth are very similar to the situation in </w:t>
      </w:r>
      <w:r w:rsidRPr="00E674F7">
        <w:rPr>
          <w:i/>
          <w:color w:val="000000" w:themeColor="text1"/>
        </w:rPr>
        <w:t>Geotria</w:t>
      </w:r>
      <w:r w:rsidRPr="00E674F7">
        <w:rPr>
          <w:color w:val="000000" w:themeColor="text1"/>
        </w:rPr>
        <w:t xml:space="preserve"> (figs. 2</w:t>
      </w:r>
      <w:r w:rsidRPr="00465DFA">
        <w:rPr>
          <w:color w:val="231F20"/>
        </w:rPr>
        <w:t>–</w:t>
      </w:r>
      <w:r w:rsidRPr="00E674F7">
        <w:rPr>
          <w:color w:val="000000" w:themeColor="text1"/>
        </w:rPr>
        <w:t xml:space="preserve">4, and 8 in ref. </w:t>
      </w:r>
      <w:r w:rsidRPr="00AF1BE3">
        <w:rPr>
          <w:color w:val="000000" w:themeColor="text1"/>
          <w:vertAlign w:val="superscript"/>
        </w:rPr>
        <w:t>9</w:t>
      </w:r>
      <w:r w:rsidRPr="00E674F7">
        <w:rPr>
          <w:color w:val="000000" w:themeColor="text1"/>
        </w:rPr>
        <w:t xml:space="preserve">). Fifteen and thirteen circumoral teeth are counted in </w:t>
      </w:r>
      <w:r w:rsidRPr="00E674F7">
        <w:rPr>
          <w:i/>
          <w:color w:val="000000" w:themeColor="text1"/>
        </w:rPr>
        <w:t xml:space="preserve">Y. occisor </w:t>
      </w:r>
      <w:r w:rsidRPr="00E674F7">
        <w:rPr>
          <w:color w:val="000000" w:themeColor="text1"/>
        </w:rPr>
        <w:t xml:space="preserve">and </w:t>
      </w:r>
      <w:r w:rsidRPr="00E674F7">
        <w:rPr>
          <w:i/>
          <w:color w:val="000000" w:themeColor="text1"/>
        </w:rPr>
        <w:t>Y. ingensdentes</w:t>
      </w:r>
      <w:r w:rsidRPr="00E674F7">
        <w:rPr>
          <w:color w:val="000000" w:themeColor="text1"/>
        </w:rPr>
        <w:t>, respectively, which also lacks the posterior series. They are spatulate in shape and each bear three blades converging into a cusp that points slightly backward and inward. These teeth are therefore stouter and more complicated structured than those analogues in</w:t>
      </w:r>
      <w:r w:rsidRPr="00E674F7">
        <w:rPr>
          <w:i/>
          <w:iCs/>
          <w:color w:val="000000" w:themeColor="text1"/>
        </w:rPr>
        <w:t xml:space="preserve"> Geotria</w:t>
      </w:r>
      <w:r w:rsidRPr="004A59A4">
        <w:rPr>
          <w:color w:val="000000" w:themeColor="text1"/>
          <w:vertAlign w:val="superscript"/>
        </w:rPr>
        <w:t>9,10</w:t>
      </w:r>
      <w:r w:rsidRPr="00E674F7">
        <w:rPr>
          <w:color w:val="000000" w:themeColor="text1"/>
        </w:rPr>
        <w:t xml:space="preserve">. The supraoral lamina is very large and roughly corresponds to 11 circumoral teeth in </w:t>
      </w:r>
      <w:r w:rsidRPr="00E674F7">
        <w:rPr>
          <w:i/>
          <w:color w:val="000000" w:themeColor="text1"/>
        </w:rPr>
        <w:t>Y. ingensdentes</w:t>
      </w:r>
      <w:r w:rsidRPr="00E674F7">
        <w:rPr>
          <w:color w:val="000000" w:themeColor="text1"/>
        </w:rPr>
        <w:t xml:space="preserve"> and even encircles most of the circumference of the oral aperture in</w:t>
      </w:r>
      <w:r w:rsidRPr="00E674F7">
        <w:rPr>
          <w:i/>
          <w:color w:val="000000" w:themeColor="text1"/>
        </w:rPr>
        <w:t xml:space="preserve"> Y. occisor</w:t>
      </w:r>
      <w:r w:rsidRPr="00E674F7">
        <w:rPr>
          <w:color w:val="000000" w:themeColor="text1"/>
        </w:rPr>
        <w:t xml:space="preserve">. Again, it closely resembles that </w:t>
      </w:r>
      <w:r w:rsidRPr="00E674F7">
        <w:rPr>
          <w:color w:val="000000" w:themeColor="text1"/>
        </w:rPr>
        <w:lastRenderedPageBreak/>
        <w:t xml:space="preserve">of </w:t>
      </w:r>
      <w:r w:rsidRPr="00E674F7">
        <w:rPr>
          <w:i/>
          <w:color w:val="000000" w:themeColor="text1"/>
        </w:rPr>
        <w:t>Geotria</w:t>
      </w:r>
      <w:r w:rsidRPr="004A59A4">
        <w:rPr>
          <w:color w:val="000000" w:themeColor="text1"/>
          <w:vertAlign w:val="superscript"/>
        </w:rPr>
        <w:t>9,10</w:t>
      </w:r>
      <w:r>
        <w:rPr>
          <w:color w:val="000000" w:themeColor="text1"/>
          <w:vertAlign w:val="superscript"/>
        </w:rPr>
        <w:t xml:space="preserve"> </w:t>
      </w:r>
      <w:r w:rsidRPr="00E674F7">
        <w:rPr>
          <w:color w:val="000000" w:themeColor="text1"/>
        </w:rPr>
        <w:t xml:space="preserve">in having a pair of central inner cusps flanked by a pair of large and curved wings. The inner bicuspid cusps both bear a posterior blade. The lamina bears an anterior recessed part, analogous to that in </w:t>
      </w:r>
      <w:r w:rsidRPr="00E674F7">
        <w:rPr>
          <w:i/>
          <w:color w:val="000000" w:themeColor="text1"/>
        </w:rPr>
        <w:t>Geotria</w:t>
      </w:r>
      <w:r w:rsidRPr="00E674F7">
        <w:rPr>
          <w:color w:val="000000" w:themeColor="text1"/>
        </w:rPr>
        <w:t xml:space="preserve"> just behind the thick annular muscle (fig. 4e in ref.</w:t>
      </w:r>
      <w:r w:rsidRPr="004A59A4">
        <w:rPr>
          <w:color w:val="000000" w:themeColor="text1"/>
          <w:vertAlign w:val="superscript"/>
        </w:rPr>
        <w:t>10</w:t>
      </w:r>
      <w:r w:rsidRPr="00E674F7">
        <w:rPr>
          <w:color w:val="000000" w:themeColor="text1"/>
        </w:rPr>
        <w:t xml:space="preserve">). The infraoral lamina is wide, convexly curved and bears a straight row of about ten stout cusps, of which the central ones are slightly larger than the lateral ones. The transverse lingual lamina is extraordinarily large. In </w:t>
      </w:r>
      <w:r w:rsidRPr="00E674F7">
        <w:rPr>
          <w:i/>
          <w:color w:val="000000" w:themeColor="text1"/>
        </w:rPr>
        <w:t xml:space="preserve">Y. ingensdentes </w:t>
      </w:r>
      <w:r w:rsidRPr="00E674F7">
        <w:rPr>
          <w:color w:val="000000" w:themeColor="text1"/>
        </w:rPr>
        <w:t>it almost fills up the whole oral aperture. On the anterior semicircle of the periphery of the oral disc, there are some triangular imprints of the oral papillae and ca. 30 comb-like imprints of oral fimbriae and numerous irregular oral papillae preserved in IVPP V16715 (</w:t>
      </w:r>
      <w:r w:rsidRPr="00E674F7">
        <w:rPr>
          <w:i/>
          <w:color w:val="000000" w:themeColor="text1"/>
        </w:rPr>
        <w:t>Y. ingensdentes</w:t>
      </w:r>
      <w:r w:rsidRPr="00E674F7">
        <w:rPr>
          <w:color w:val="000000" w:themeColor="text1"/>
        </w:rPr>
        <w:t>) (Figs. 1</w:t>
      </w:r>
      <w:r>
        <w:rPr>
          <w:color w:val="000000" w:themeColor="text1"/>
        </w:rPr>
        <w:t>g, 2e, Extended Data Fig.</w:t>
      </w:r>
      <w:r w:rsidRPr="00E674F7">
        <w:rPr>
          <w:color w:val="000000" w:themeColor="text1"/>
        </w:rPr>
        <w:t xml:space="preserve"> 1</w:t>
      </w:r>
      <w:r>
        <w:rPr>
          <w:color w:val="000000" w:themeColor="text1"/>
        </w:rPr>
        <w:t>b, c</w:t>
      </w:r>
      <w:r w:rsidRPr="00E674F7">
        <w:rPr>
          <w:color w:val="000000" w:themeColor="text1"/>
        </w:rPr>
        <w:t xml:space="preserve">). In </w:t>
      </w:r>
      <w:r w:rsidRPr="00E674F7">
        <w:rPr>
          <w:i/>
          <w:color w:val="000000" w:themeColor="text1"/>
        </w:rPr>
        <w:t>Y. occisor</w:t>
      </w:r>
      <w:r w:rsidRPr="00E674F7">
        <w:rPr>
          <w:color w:val="000000" w:themeColor="text1"/>
        </w:rPr>
        <w:t>, two anterolateral oral papillae appear to be larger than the others (Figs. 1</w:t>
      </w:r>
      <w:r>
        <w:rPr>
          <w:color w:val="000000" w:themeColor="text1"/>
        </w:rPr>
        <w:t>b, 2f, Extended Data Fig. 2b, k</w:t>
      </w:r>
      <w:r w:rsidRPr="00E674F7">
        <w:rPr>
          <w:color w:val="000000" w:themeColor="text1"/>
        </w:rPr>
        <w:t>).</w:t>
      </w:r>
    </w:p>
    <w:p w14:paraId="74C00EED" w14:textId="77777777" w:rsidR="009E10A5" w:rsidRPr="00E674F7" w:rsidRDefault="009E10A5" w:rsidP="009E10A5">
      <w:pPr>
        <w:spacing w:line="360" w:lineRule="auto"/>
        <w:ind w:firstLine="480"/>
        <w:jc w:val="both"/>
        <w:rPr>
          <w:color w:val="000000" w:themeColor="text1"/>
        </w:rPr>
      </w:pPr>
      <w:r w:rsidRPr="00E674F7">
        <w:rPr>
          <w:color w:val="000000" w:themeColor="text1"/>
        </w:rPr>
        <w:t>The prebranchial region and branchial apparatus left clear imprint on the slabs, with the former is longer than the latter (Fig. 1</w:t>
      </w:r>
      <w:r>
        <w:rPr>
          <w:color w:val="000000" w:themeColor="text1"/>
        </w:rPr>
        <w:t>c</w:t>
      </w:r>
      <w:r w:rsidRPr="00465DFA">
        <w:rPr>
          <w:color w:val="231F20"/>
        </w:rPr>
        <w:t>–</w:t>
      </w:r>
      <w:r>
        <w:rPr>
          <w:color w:val="231F20"/>
        </w:rPr>
        <w:t>e</w:t>
      </w:r>
      <w:r w:rsidRPr="00E674F7">
        <w:rPr>
          <w:color w:val="000000" w:themeColor="text1"/>
        </w:rPr>
        <w:t xml:space="preserve">, </w:t>
      </w:r>
      <w:r>
        <w:rPr>
          <w:color w:val="000000" w:themeColor="text1"/>
        </w:rPr>
        <w:t>f, h</w:t>
      </w:r>
      <w:r w:rsidRPr="00E674F7">
        <w:rPr>
          <w:color w:val="000000" w:themeColor="text1"/>
        </w:rPr>
        <w:t>). Some faint imprints of the piston can be spotted. The eyes are medium-sized, with the otic capsules positioned immediately behind. The anteriormost part of the gill apparatus is located behind the otic capsule (Fig. 1</w:t>
      </w:r>
      <w:r>
        <w:rPr>
          <w:color w:val="000000" w:themeColor="text1"/>
        </w:rPr>
        <w:t>c, d, f</w:t>
      </w:r>
      <w:r w:rsidRPr="00E674F7">
        <w:rPr>
          <w:color w:val="000000" w:themeColor="text1"/>
        </w:rPr>
        <w:t xml:space="preserve">). </w:t>
      </w:r>
    </w:p>
    <w:p w14:paraId="07099762" w14:textId="77777777" w:rsidR="009E10A5" w:rsidRPr="00E674F7" w:rsidRDefault="009E10A5" w:rsidP="009E10A5">
      <w:pPr>
        <w:spacing w:line="360" w:lineRule="auto"/>
        <w:ind w:firstLine="480"/>
        <w:jc w:val="both"/>
        <w:rPr>
          <w:color w:val="000000" w:themeColor="text1"/>
        </w:rPr>
      </w:pPr>
      <w:r w:rsidRPr="00E674F7">
        <w:rPr>
          <w:color w:val="000000" w:themeColor="text1"/>
        </w:rPr>
        <w:t xml:space="preserve">In </w:t>
      </w:r>
      <w:r w:rsidRPr="00E674F7">
        <w:rPr>
          <w:i/>
          <w:color w:val="000000" w:themeColor="text1"/>
        </w:rPr>
        <w:t>Yanliaomyzon ingensdentes</w:t>
      </w:r>
      <w:r w:rsidRPr="00E674F7">
        <w:rPr>
          <w:color w:val="000000" w:themeColor="text1"/>
        </w:rPr>
        <w:t>, the dorsal fin is contiguous with the anterior lobe of the caudal fin, which is triangular and higher than the dorsal fin and continuous with the smaller, posterior part of the caudal fin. The dorsal and ventral lobes of the posterior caudal fin are almost equally developed. The fin radials in dorsal and caudal fins are clearly visible (Fig. 1</w:t>
      </w:r>
      <w:r>
        <w:rPr>
          <w:color w:val="000000" w:themeColor="text1"/>
        </w:rPr>
        <w:t>c</w:t>
      </w:r>
      <w:r w:rsidRPr="00465DFA">
        <w:rPr>
          <w:color w:val="231F20"/>
        </w:rPr>
        <w:t>–</w:t>
      </w:r>
      <w:r>
        <w:rPr>
          <w:color w:val="000000" w:themeColor="text1"/>
        </w:rPr>
        <w:t>f</w:t>
      </w:r>
      <w:r w:rsidRPr="00E674F7">
        <w:rPr>
          <w:color w:val="000000" w:themeColor="text1"/>
        </w:rPr>
        <w:t xml:space="preserve">, </w:t>
      </w:r>
      <w:r>
        <w:rPr>
          <w:color w:val="000000" w:themeColor="text1"/>
        </w:rPr>
        <w:t>h, Extended Data Fig. 2a, g</w:t>
      </w:r>
      <w:r w:rsidRPr="00E674F7">
        <w:rPr>
          <w:color w:val="000000" w:themeColor="text1"/>
        </w:rPr>
        <w:t xml:space="preserve">). The anal fin fold is present in </w:t>
      </w:r>
      <w:r w:rsidRPr="00E674F7">
        <w:rPr>
          <w:i/>
          <w:color w:val="000000" w:themeColor="text1"/>
        </w:rPr>
        <w:t>Y. ingensdentes</w:t>
      </w:r>
      <w:r w:rsidRPr="00E674F7">
        <w:rPr>
          <w:iCs/>
          <w:color w:val="000000" w:themeColor="text1"/>
        </w:rPr>
        <w:t xml:space="preserve"> (Fig. 1</w:t>
      </w:r>
      <w:r>
        <w:rPr>
          <w:iCs/>
          <w:color w:val="000000" w:themeColor="text1"/>
        </w:rPr>
        <w:t>f, h, Extended Data F</w:t>
      </w:r>
      <w:r w:rsidRPr="00E674F7">
        <w:rPr>
          <w:iCs/>
          <w:color w:val="000000" w:themeColor="text1"/>
        </w:rPr>
        <w:t>ig.</w:t>
      </w:r>
      <w:r>
        <w:rPr>
          <w:iCs/>
          <w:color w:val="000000" w:themeColor="text1"/>
        </w:rPr>
        <w:t xml:space="preserve"> </w:t>
      </w:r>
      <w:r w:rsidRPr="00E674F7">
        <w:rPr>
          <w:iCs/>
          <w:color w:val="000000" w:themeColor="text1"/>
        </w:rPr>
        <w:t>1</w:t>
      </w:r>
      <w:r>
        <w:rPr>
          <w:iCs/>
          <w:color w:val="000000" w:themeColor="text1"/>
        </w:rPr>
        <w:t>a</w:t>
      </w:r>
      <w:r w:rsidRPr="00E674F7">
        <w:rPr>
          <w:iCs/>
          <w:color w:val="000000" w:themeColor="text1"/>
        </w:rPr>
        <w:t>)</w:t>
      </w:r>
      <w:r w:rsidRPr="00E674F7">
        <w:rPr>
          <w:color w:val="000000" w:themeColor="text1"/>
        </w:rPr>
        <w:t xml:space="preserve">. </w:t>
      </w:r>
    </w:p>
    <w:p w14:paraId="160132B1" w14:textId="77777777" w:rsidR="009E10A5" w:rsidRPr="00E674F7" w:rsidRDefault="009E10A5" w:rsidP="009E10A5">
      <w:pPr>
        <w:spacing w:line="360" w:lineRule="auto"/>
        <w:jc w:val="both"/>
        <w:rPr>
          <w:color w:val="000000" w:themeColor="text1"/>
        </w:rPr>
      </w:pPr>
    </w:p>
    <w:p w14:paraId="47026A98" w14:textId="77777777" w:rsidR="009E10A5" w:rsidRPr="00E674F7" w:rsidRDefault="009E10A5" w:rsidP="009E10A5">
      <w:pPr>
        <w:spacing w:line="360" w:lineRule="auto"/>
        <w:jc w:val="both"/>
      </w:pPr>
      <w:r w:rsidRPr="00E674F7">
        <w:rPr>
          <w:b/>
          <w:bCs/>
        </w:rPr>
        <w:t>2. Pal</w:t>
      </w:r>
      <w:r>
        <w:rPr>
          <w:b/>
          <w:bCs/>
        </w:rPr>
        <w:t>a</w:t>
      </w:r>
      <w:r w:rsidRPr="00E674F7">
        <w:rPr>
          <w:b/>
          <w:bCs/>
        </w:rPr>
        <w:t>eotemperature and fossil occurrences</w:t>
      </w:r>
    </w:p>
    <w:p w14:paraId="42C02F32" w14:textId="77777777" w:rsidR="009E10A5" w:rsidRPr="00E674F7" w:rsidRDefault="009E10A5" w:rsidP="009E10A5">
      <w:pPr>
        <w:spacing w:line="360" w:lineRule="auto"/>
        <w:ind w:firstLineChars="200" w:firstLine="480"/>
        <w:jc w:val="both"/>
        <w:rPr>
          <w:color w:val="000000" w:themeColor="text1"/>
        </w:rPr>
      </w:pPr>
      <w:r w:rsidRPr="00E674F7">
        <w:rPr>
          <w:color w:val="000000" w:themeColor="text1"/>
        </w:rPr>
        <w:t>The pal</w:t>
      </w:r>
      <w:r>
        <w:rPr>
          <w:color w:val="000000" w:themeColor="text1"/>
        </w:rPr>
        <w:t>a</w:t>
      </w:r>
      <w:r w:rsidRPr="00E674F7">
        <w:rPr>
          <w:color w:val="000000" w:themeColor="text1"/>
        </w:rPr>
        <w:t xml:space="preserve">eotemperature curve was projected to our dated petromyzontiform phylogeny (Fig. 4) to reveal the pattern of the tempospatial distribution of the recorded fossil lampreys. The graph shows that the emergence of the fossil lampreys appears to </w:t>
      </w:r>
      <w:r w:rsidRPr="00E674F7">
        <w:rPr>
          <w:color w:val="000000" w:themeColor="text1"/>
        </w:rPr>
        <w:lastRenderedPageBreak/>
        <w:t xml:space="preserve">match the cool or cold geological intervals or derive from productive areas associated with continental ice sheets, cooling events or the formation of highland topography. </w:t>
      </w:r>
      <w:r w:rsidRPr="00E674F7">
        <w:rPr>
          <w:i/>
          <w:color w:val="000000" w:themeColor="text1"/>
        </w:rPr>
        <w:t>Priscomyzon</w:t>
      </w:r>
      <w:r w:rsidRPr="00E674F7">
        <w:rPr>
          <w:color w:val="000000" w:themeColor="text1"/>
        </w:rPr>
        <w:t xml:space="preserve"> occurred in the high-latitude South Africa of the Famennian-Tournaisian Ice Age, </w:t>
      </w:r>
      <w:r w:rsidRPr="00E674F7">
        <w:rPr>
          <w:i/>
          <w:color w:val="000000" w:themeColor="text1"/>
        </w:rPr>
        <w:t>Hardistiella</w:t>
      </w:r>
      <w:r w:rsidRPr="00E674F7">
        <w:rPr>
          <w:color w:val="000000" w:themeColor="text1"/>
        </w:rPr>
        <w:t xml:space="preserve">, </w:t>
      </w:r>
      <w:r w:rsidRPr="00E674F7">
        <w:rPr>
          <w:i/>
          <w:color w:val="000000" w:themeColor="text1"/>
        </w:rPr>
        <w:t>Pipiscius</w:t>
      </w:r>
      <w:r w:rsidRPr="00E674F7">
        <w:rPr>
          <w:color w:val="000000" w:themeColor="text1"/>
        </w:rPr>
        <w:t xml:space="preserve"> and </w:t>
      </w:r>
      <w:r w:rsidRPr="00E674F7">
        <w:rPr>
          <w:i/>
          <w:color w:val="000000" w:themeColor="text1"/>
        </w:rPr>
        <w:t xml:space="preserve">Mayomyzon </w:t>
      </w:r>
      <w:r w:rsidRPr="00E674F7">
        <w:rPr>
          <w:color w:val="000000" w:themeColor="text1"/>
        </w:rPr>
        <w:t>in the coldest phase of the Permo-Carboniferous Ice Age</w:t>
      </w:r>
      <w:r w:rsidRPr="00644E71">
        <w:rPr>
          <w:color w:val="000000" w:themeColor="text1"/>
          <w:vertAlign w:val="superscript"/>
        </w:rPr>
        <w:t>36,37</w:t>
      </w:r>
      <w:r w:rsidRPr="00E674F7">
        <w:rPr>
          <w:color w:val="000000" w:themeColor="text1"/>
        </w:rPr>
        <w:t xml:space="preserve"> with an estimated mean surface temperature of the tropical seas of ca. 23</w:t>
      </w:r>
      <w:r w:rsidRPr="00E674F7">
        <w:rPr>
          <w:color w:val="000000" w:themeColor="text1"/>
          <w:lang w:eastAsia="ja-JP"/>
        </w:rPr>
        <w:t>℃</w:t>
      </w:r>
      <w:r w:rsidRPr="00644E71">
        <w:rPr>
          <w:color w:val="000000" w:themeColor="text1"/>
          <w:vertAlign w:val="superscript"/>
          <w:lang w:eastAsia="ja-JP"/>
        </w:rPr>
        <w:t>38</w:t>
      </w:r>
      <w:r w:rsidRPr="00E674F7">
        <w:rPr>
          <w:color w:val="000000" w:themeColor="text1"/>
        </w:rPr>
        <w:t xml:space="preserve">, and </w:t>
      </w:r>
      <w:r w:rsidRPr="00E674F7">
        <w:rPr>
          <w:i/>
          <w:color w:val="000000" w:themeColor="text1"/>
        </w:rPr>
        <w:t>Yanliaomyzon</w:t>
      </w:r>
      <w:r w:rsidRPr="00E674F7">
        <w:rPr>
          <w:color w:val="000000" w:themeColor="text1"/>
        </w:rPr>
        <w:t xml:space="preserve"> and </w:t>
      </w:r>
      <w:r w:rsidRPr="00E674F7">
        <w:rPr>
          <w:i/>
          <w:color w:val="000000" w:themeColor="text1"/>
        </w:rPr>
        <w:t>Mesomyzon</w:t>
      </w:r>
      <w:r w:rsidRPr="00E674F7">
        <w:rPr>
          <w:color w:val="000000" w:themeColor="text1"/>
        </w:rPr>
        <w:t xml:space="preserve"> from Yanliao and Jehol basins that were linked to the Yanshanian mountain-building activities in the Mid-Late Jurassic and Early Cretaceous cool intervals</w:t>
      </w:r>
      <w:r w:rsidRPr="00644E71">
        <w:rPr>
          <w:color w:val="000000" w:themeColor="text1"/>
          <w:vertAlign w:val="superscript"/>
        </w:rPr>
        <w:t>38</w:t>
      </w:r>
      <w:r w:rsidRPr="00E674F7">
        <w:rPr>
          <w:color w:val="000000" w:themeColor="text1"/>
        </w:rPr>
        <w:t xml:space="preserve">, with the fossil localities of </w:t>
      </w:r>
      <w:r w:rsidRPr="00E674F7">
        <w:rPr>
          <w:i/>
          <w:iCs/>
          <w:color w:val="000000" w:themeColor="text1"/>
        </w:rPr>
        <w:t xml:space="preserve">Yanliaomyzon </w:t>
      </w:r>
      <w:r>
        <w:rPr>
          <w:color w:val="000000" w:themeColor="text1"/>
        </w:rPr>
        <w:t xml:space="preserve">possibly </w:t>
      </w:r>
      <w:r w:rsidRPr="00E674F7">
        <w:rPr>
          <w:color w:val="000000" w:themeColor="text1"/>
        </w:rPr>
        <w:t>situated on a highland</w:t>
      </w:r>
      <w:r w:rsidRPr="00644E71">
        <w:rPr>
          <w:color w:val="000000" w:themeColor="text1"/>
          <w:vertAlign w:val="superscript"/>
        </w:rPr>
        <w:t>13,39</w:t>
      </w:r>
      <w:r w:rsidRPr="00E674F7">
        <w:rPr>
          <w:color w:val="000000" w:themeColor="text1"/>
        </w:rPr>
        <w:t>, which is reminiscent of the distribution of Mexican lampreys (</w:t>
      </w:r>
      <w:r w:rsidRPr="00E674F7">
        <w:rPr>
          <w:i/>
          <w:iCs/>
          <w:color w:val="000000" w:themeColor="text1"/>
        </w:rPr>
        <w:t>Tetrapleurodon</w:t>
      </w:r>
      <w:r w:rsidRPr="00E674F7">
        <w:rPr>
          <w:color w:val="000000" w:themeColor="text1"/>
        </w:rPr>
        <w:t>) in the tropical zone at 20º N but restricted in high altitude cool watersheds</w:t>
      </w:r>
      <w:r w:rsidRPr="00644E71">
        <w:rPr>
          <w:color w:val="000000" w:themeColor="text1"/>
          <w:vertAlign w:val="superscript"/>
        </w:rPr>
        <w:t>11</w:t>
      </w:r>
      <w:r w:rsidRPr="00E674F7">
        <w:rPr>
          <w:color w:val="000000" w:themeColor="text1"/>
        </w:rPr>
        <w:t>.</w:t>
      </w:r>
      <w:r w:rsidRPr="00E674F7">
        <w:br w:type="page"/>
      </w:r>
    </w:p>
    <w:p w14:paraId="61DF732B" w14:textId="77777777" w:rsidR="009E10A5" w:rsidRPr="00E674F7" w:rsidRDefault="009E10A5" w:rsidP="009E10A5">
      <w:pPr>
        <w:pStyle w:val="p1"/>
        <w:spacing w:line="360" w:lineRule="auto"/>
        <w:jc w:val="both"/>
        <w:rPr>
          <w:rFonts w:ascii="Times New Roman" w:hAnsi="Times New Roman"/>
          <w:b/>
          <w:bCs/>
          <w:kern w:val="44"/>
          <w:sz w:val="44"/>
          <w:szCs w:val="44"/>
        </w:rPr>
      </w:pPr>
      <w:r w:rsidRPr="00E674F7">
        <w:rPr>
          <w:rFonts w:ascii="Times New Roman" w:hAnsi="Times New Roman"/>
          <w:b/>
          <w:sz w:val="24"/>
          <w:szCs w:val="24"/>
        </w:rPr>
        <w:lastRenderedPageBreak/>
        <w:t xml:space="preserve">3. Character list, state coding and revision </w:t>
      </w:r>
    </w:p>
    <w:p w14:paraId="545228F0" w14:textId="77777777" w:rsidR="009E10A5" w:rsidRPr="00E674F7" w:rsidRDefault="009E10A5" w:rsidP="009E10A5">
      <w:pPr>
        <w:pStyle w:val="p1"/>
        <w:spacing w:line="360" w:lineRule="auto"/>
        <w:jc w:val="both"/>
        <w:rPr>
          <w:rFonts w:ascii="Times New Roman" w:hAnsi="Times New Roman"/>
          <w:b/>
          <w:sz w:val="24"/>
          <w:szCs w:val="24"/>
        </w:rPr>
      </w:pPr>
      <w:r w:rsidRPr="00E674F7">
        <w:rPr>
          <w:rFonts w:ascii="Times New Roman" w:hAnsi="Times New Roman"/>
          <w:sz w:val="24"/>
          <w:szCs w:val="24"/>
        </w:rPr>
        <w:t xml:space="preserve">Characters 1-166 adopted from ref. </w:t>
      </w:r>
      <w:r w:rsidRPr="00644E71">
        <w:rPr>
          <w:rFonts w:ascii="Times New Roman" w:hAnsi="Times New Roman"/>
          <w:sz w:val="24"/>
          <w:szCs w:val="24"/>
          <w:vertAlign w:val="superscript"/>
        </w:rPr>
        <w:t xml:space="preserve">23 </w:t>
      </w:r>
      <w:r w:rsidRPr="00E674F7">
        <w:rPr>
          <w:rFonts w:ascii="Times New Roman" w:hAnsi="Times New Roman"/>
          <w:sz w:val="24"/>
          <w:szCs w:val="24"/>
        </w:rPr>
        <w:t>and references there, characters 167-196 adopted from ref.</w:t>
      </w:r>
      <w:r w:rsidRPr="00644E71">
        <w:rPr>
          <w:rFonts w:ascii="Times New Roman" w:hAnsi="Times New Roman"/>
          <w:sz w:val="24"/>
          <w:szCs w:val="24"/>
          <w:vertAlign w:val="superscript"/>
        </w:rPr>
        <w:t xml:space="preserve"> 25</w:t>
      </w:r>
      <w:r w:rsidRPr="00E674F7">
        <w:rPr>
          <w:rFonts w:ascii="Times New Roman" w:hAnsi="Times New Roman"/>
          <w:sz w:val="24"/>
          <w:szCs w:val="24"/>
        </w:rPr>
        <w:t xml:space="preserve">; and characters 197-208 are newly defined characters. These also were included in the data file (export from software as nexus format and put in </w:t>
      </w:r>
      <w:r>
        <w:rPr>
          <w:rFonts w:ascii="Times New Roman" w:hAnsi="Times New Roman"/>
          <w:sz w:val="24"/>
          <w:szCs w:val="24"/>
        </w:rPr>
        <w:t xml:space="preserve">Extended </w:t>
      </w:r>
      <w:r w:rsidRPr="00E674F7">
        <w:rPr>
          <w:rFonts w:ascii="Times New Roman" w:hAnsi="Times New Roman"/>
          <w:sz w:val="24"/>
          <w:szCs w:val="24"/>
        </w:rPr>
        <w:t xml:space="preserve">Data </w:t>
      </w:r>
      <w:r>
        <w:rPr>
          <w:rFonts w:ascii="Times New Roman" w:hAnsi="Times New Roman"/>
          <w:sz w:val="24"/>
          <w:szCs w:val="24"/>
        </w:rPr>
        <w:t xml:space="preserve">File </w:t>
      </w:r>
      <w:r w:rsidRPr="00E674F7">
        <w:rPr>
          <w:rFonts w:ascii="Times New Roman" w:hAnsi="Times New Roman"/>
          <w:sz w:val="24"/>
          <w:szCs w:val="24"/>
        </w:rPr>
        <w:t>1).</w:t>
      </w:r>
    </w:p>
    <w:p w14:paraId="6EF963BD" w14:textId="77777777" w:rsidR="009E10A5" w:rsidRPr="00E674F7" w:rsidRDefault="009E10A5" w:rsidP="009E10A5">
      <w:pPr>
        <w:spacing w:line="360" w:lineRule="auto"/>
        <w:jc w:val="both"/>
        <w:rPr>
          <w:b/>
        </w:rPr>
      </w:pPr>
      <w:r w:rsidRPr="00E674F7">
        <w:t>1. Skeletal derivatives of neural crest: (0) absent; (1) present.</w:t>
      </w:r>
    </w:p>
    <w:p w14:paraId="707440B8" w14:textId="77777777" w:rsidR="009E10A5" w:rsidRPr="00E674F7" w:rsidRDefault="009E10A5" w:rsidP="009E10A5">
      <w:pPr>
        <w:spacing w:line="360" w:lineRule="auto"/>
        <w:jc w:val="both"/>
        <w:rPr>
          <w:bCs/>
        </w:rPr>
      </w:pPr>
      <w:r w:rsidRPr="00E674F7">
        <w:rPr>
          <w:bCs/>
        </w:rPr>
        <w:t>2. Ectodermal placodes: (0) absent; (1) present.</w:t>
      </w:r>
    </w:p>
    <w:p w14:paraId="36E3C4D0" w14:textId="77777777" w:rsidR="009E10A5" w:rsidRPr="00E674F7" w:rsidRDefault="009E10A5" w:rsidP="009E10A5">
      <w:pPr>
        <w:spacing w:line="360" w:lineRule="auto"/>
        <w:jc w:val="both"/>
        <w:rPr>
          <w:bCs/>
        </w:rPr>
      </w:pPr>
      <w:r w:rsidRPr="00E674F7">
        <w:rPr>
          <w:bCs/>
        </w:rPr>
        <w:t>3. Distinct prechordal head: (0) absent or weakly developed; (1) prominent.</w:t>
      </w:r>
    </w:p>
    <w:p w14:paraId="5B021DAD" w14:textId="77777777" w:rsidR="009E10A5" w:rsidRPr="00E674F7" w:rsidRDefault="009E10A5" w:rsidP="009E10A5">
      <w:pPr>
        <w:spacing w:line="360" w:lineRule="auto"/>
        <w:jc w:val="both"/>
        <w:rPr>
          <w:bCs/>
        </w:rPr>
      </w:pPr>
      <w:r w:rsidRPr="00E674F7">
        <w:rPr>
          <w:bCs/>
        </w:rPr>
        <w:t>4. Tripartite vesicles at anterior end of neural tube (prosencephalon, mesencephalon, rhombencephalon): (0) absent; (1) present.</w:t>
      </w:r>
    </w:p>
    <w:p w14:paraId="7B3965F0" w14:textId="77777777" w:rsidR="009E10A5" w:rsidRPr="00E674F7" w:rsidRDefault="009E10A5" w:rsidP="009E10A5">
      <w:pPr>
        <w:spacing w:line="360" w:lineRule="auto"/>
        <w:jc w:val="both"/>
        <w:rPr>
          <w:bCs/>
        </w:rPr>
      </w:pPr>
      <w:r w:rsidRPr="00E674F7">
        <w:rPr>
          <w:bCs/>
        </w:rPr>
        <w:t>5. Morphologically distinct cerebellum with corpus cerebelli: (0) absent; (1) present.</w:t>
      </w:r>
    </w:p>
    <w:p w14:paraId="64089E33" w14:textId="77777777" w:rsidR="009E10A5" w:rsidRPr="00E674F7" w:rsidRDefault="009E10A5" w:rsidP="009E10A5">
      <w:pPr>
        <w:spacing w:line="360" w:lineRule="auto"/>
        <w:jc w:val="both"/>
        <w:rPr>
          <w:bCs/>
        </w:rPr>
      </w:pPr>
      <w:r w:rsidRPr="00E674F7">
        <w:rPr>
          <w:bCs/>
        </w:rPr>
        <w:t>6. Profundal nerve ganglion: (0) separate from trigeminal ganglion; (1) fused with trigeminal ganglion.</w:t>
      </w:r>
    </w:p>
    <w:p w14:paraId="39A9E7AA" w14:textId="77777777" w:rsidR="009E10A5" w:rsidRPr="00E674F7" w:rsidRDefault="009E10A5" w:rsidP="009E10A5">
      <w:pPr>
        <w:spacing w:line="360" w:lineRule="auto"/>
        <w:jc w:val="both"/>
        <w:rPr>
          <w:bCs/>
        </w:rPr>
      </w:pPr>
      <w:r w:rsidRPr="00E674F7">
        <w:rPr>
          <w:bCs/>
        </w:rPr>
        <w:t>7. Tripartite division of facial nerve into pharyngeal, pretrematic, and postrematic branches: (0) absent; (1) present.</w:t>
      </w:r>
    </w:p>
    <w:p w14:paraId="46293621" w14:textId="77777777" w:rsidR="009E10A5" w:rsidRPr="00E674F7" w:rsidRDefault="009E10A5" w:rsidP="009E10A5">
      <w:pPr>
        <w:spacing w:line="360" w:lineRule="auto"/>
        <w:jc w:val="both"/>
        <w:rPr>
          <w:bCs/>
        </w:rPr>
      </w:pPr>
      <w:r w:rsidRPr="00E674F7">
        <w:rPr>
          <w:bCs/>
        </w:rPr>
        <w:t>8. Spinal cord in cross section: (0) round; (1) flattened.</w:t>
      </w:r>
    </w:p>
    <w:p w14:paraId="360E73DE" w14:textId="77777777" w:rsidR="009E10A5" w:rsidRPr="00E674F7" w:rsidRDefault="009E10A5" w:rsidP="009E10A5">
      <w:pPr>
        <w:spacing w:line="360" w:lineRule="auto"/>
        <w:jc w:val="both"/>
        <w:rPr>
          <w:bCs/>
        </w:rPr>
      </w:pPr>
      <w:r w:rsidRPr="00E674F7">
        <w:rPr>
          <w:bCs/>
        </w:rPr>
        <w:t>9. Ventral and dorsal roots of spinal nerve: (0) united; (1) separate.</w:t>
      </w:r>
    </w:p>
    <w:p w14:paraId="637FEA5B" w14:textId="77777777" w:rsidR="009E10A5" w:rsidRPr="00E674F7" w:rsidRDefault="009E10A5" w:rsidP="009E10A5">
      <w:pPr>
        <w:spacing w:line="360" w:lineRule="auto"/>
        <w:jc w:val="both"/>
        <w:rPr>
          <w:bCs/>
        </w:rPr>
      </w:pPr>
      <w:r w:rsidRPr="00E674F7">
        <w:rPr>
          <w:bCs/>
        </w:rPr>
        <w:t>10. Ventral and dorsal roots of spinal nerve originates: (0) intersegmentally; (1) intrasegmentally.</w:t>
      </w:r>
    </w:p>
    <w:p w14:paraId="3D4E95AD" w14:textId="77777777" w:rsidR="009E10A5" w:rsidRPr="00E674F7" w:rsidRDefault="009E10A5" w:rsidP="009E10A5">
      <w:pPr>
        <w:spacing w:line="360" w:lineRule="auto"/>
        <w:jc w:val="both"/>
        <w:rPr>
          <w:bCs/>
        </w:rPr>
      </w:pPr>
      <w:r w:rsidRPr="00E674F7">
        <w:rPr>
          <w:bCs/>
        </w:rPr>
        <w:t>11. Mauthner fibers at rhombomere 4: (0) absent; (1) present.</w:t>
      </w:r>
    </w:p>
    <w:p w14:paraId="0AD0E7EA" w14:textId="77777777" w:rsidR="009E10A5" w:rsidRPr="00E674F7" w:rsidRDefault="009E10A5" w:rsidP="009E10A5">
      <w:pPr>
        <w:spacing w:line="360" w:lineRule="auto"/>
        <w:jc w:val="both"/>
        <w:rPr>
          <w:bCs/>
        </w:rPr>
      </w:pPr>
      <w:r w:rsidRPr="00E674F7">
        <w:rPr>
          <w:bCs/>
        </w:rPr>
        <w:t>12. Pineal organ (extra-ocular photoreceptor region expressing pineal opsins): (0) absent; (1) present.</w:t>
      </w:r>
    </w:p>
    <w:p w14:paraId="0B5DBC3A" w14:textId="77777777" w:rsidR="009E10A5" w:rsidRPr="00E674F7" w:rsidRDefault="009E10A5" w:rsidP="009E10A5">
      <w:pPr>
        <w:spacing w:line="360" w:lineRule="auto"/>
        <w:jc w:val="both"/>
        <w:rPr>
          <w:bCs/>
        </w:rPr>
      </w:pPr>
      <w:r w:rsidRPr="00E674F7">
        <w:rPr>
          <w:bCs/>
        </w:rPr>
        <w:t>13. Pineal opening: (0) covered; (1) uncovered.</w:t>
      </w:r>
    </w:p>
    <w:p w14:paraId="260AA3BC" w14:textId="77777777" w:rsidR="009E10A5" w:rsidRPr="00E674F7" w:rsidRDefault="009E10A5" w:rsidP="009E10A5">
      <w:pPr>
        <w:spacing w:line="360" w:lineRule="auto"/>
        <w:jc w:val="both"/>
      </w:pPr>
      <w:r w:rsidRPr="00E674F7">
        <w:rPr>
          <w:bCs/>
        </w:rPr>
        <w:t>14. Adenohypophysis</w:t>
      </w:r>
      <w:r w:rsidRPr="00E674F7">
        <w:t>: (0) absent; (1) present.</w:t>
      </w:r>
    </w:p>
    <w:p w14:paraId="013832A6" w14:textId="77777777" w:rsidR="009E10A5" w:rsidRPr="00E674F7" w:rsidRDefault="009E10A5" w:rsidP="009E10A5">
      <w:pPr>
        <w:spacing w:line="360" w:lineRule="auto"/>
        <w:jc w:val="both"/>
      </w:pPr>
      <w:r w:rsidRPr="00E674F7">
        <w:t>15. Olfactory peduncles: (0) absent; (1) present.</w:t>
      </w:r>
    </w:p>
    <w:p w14:paraId="63FBCB7E" w14:textId="77777777" w:rsidR="009E10A5" w:rsidRPr="00E674F7" w:rsidRDefault="009E10A5" w:rsidP="009E10A5">
      <w:pPr>
        <w:spacing w:line="360" w:lineRule="auto"/>
        <w:jc w:val="both"/>
      </w:pPr>
      <w:r w:rsidRPr="00E674F7">
        <w:t>16. Encapsulated olfactory epithelium with external opening: (0) absent; (1) present.</w:t>
      </w:r>
    </w:p>
    <w:p w14:paraId="4DBA7BAA" w14:textId="77777777" w:rsidR="009E10A5" w:rsidRPr="00E674F7" w:rsidRDefault="009E10A5" w:rsidP="009E10A5">
      <w:pPr>
        <w:spacing w:line="360" w:lineRule="auto"/>
        <w:jc w:val="both"/>
      </w:pPr>
      <w:r w:rsidRPr="00E674F7">
        <w:t>17. Position of nasohypophyseal opening: (0) terminal; (1) dorsal.</w:t>
      </w:r>
    </w:p>
    <w:p w14:paraId="0626F45D" w14:textId="77777777" w:rsidR="009E10A5" w:rsidRPr="00E674F7" w:rsidRDefault="009E10A5" w:rsidP="009E10A5">
      <w:pPr>
        <w:spacing w:line="360" w:lineRule="auto"/>
        <w:jc w:val="both"/>
      </w:pPr>
      <w:bookmarkStart w:id="0" w:name="OLE_LINK12"/>
      <w:r w:rsidRPr="00E674F7">
        <w:rPr>
          <w:i/>
          <w:iCs/>
        </w:rPr>
        <w:lastRenderedPageBreak/>
        <w:t>Revision</w:t>
      </w:r>
      <w:r w:rsidRPr="00E674F7">
        <w:t xml:space="preserve">: </w:t>
      </w:r>
      <w:bookmarkEnd w:id="0"/>
      <w:r w:rsidRPr="00E674F7">
        <w:t xml:space="preserve">Fossil lampreys have dorsal positioned nasohypophyseal opening, </w:t>
      </w:r>
      <w:r w:rsidRPr="00E674F7">
        <w:rPr>
          <w:i/>
        </w:rPr>
        <w:t xml:space="preserve">Mesomyzon </w:t>
      </w:r>
      <w:r w:rsidRPr="00E674F7">
        <w:t>was</w:t>
      </w:r>
      <w:r w:rsidRPr="00E674F7">
        <w:rPr>
          <w:i/>
        </w:rPr>
        <w:t xml:space="preserve"> </w:t>
      </w:r>
      <w:r w:rsidRPr="00E674F7">
        <w:t xml:space="preserve">coded as (1) as in </w:t>
      </w:r>
      <w:r w:rsidRPr="00E674F7">
        <w:rPr>
          <w:i/>
        </w:rPr>
        <w:t>Mayomyzon</w:t>
      </w:r>
      <w:r w:rsidRPr="00E674F7">
        <w:t xml:space="preserve"> and </w:t>
      </w:r>
      <w:r w:rsidRPr="00E674F7">
        <w:rPr>
          <w:i/>
        </w:rPr>
        <w:t>Priscomyzon</w:t>
      </w:r>
      <w:r w:rsidRPr="00E674F7">
        <w:t xml:space="preserve"> according to ref.</w:t>
      </w:r>
      <w:r w:rsidRPr="00C51F93">
        <w:rPr>
          <w:vertAlign w:val="superscript"/>
        </w:rPr>
        <w:t>8</w:t>
      </w:r>
      <w:r w:rsidRPr="00E674F7">
        <w:t>;</w:t>
      </w:r>
    </w:p>
    <w:p w14:paraId="1F7951D4" w14:textId="77777777" w:rsidR="009E10A5" w:rsidRPr="00E674F7" w:rsidRDefault="009E10A5" w:rsidP="009E10A5">
      <w:pPr>
        <w:spacing w:line="360" w:lineRule="auto"/>
        <w:jc w:val="both"/>
      </w:pPr>
      <w:r w:rsidRPr="00E674F7">
        <w:t>18. Nasohypophyseal canal: (0) nasohypophyseal canal blind; (1) opening into pharynx.</w:t>
      </w:r>
    </w:p>
    <w:p w14:paraId="0C44F4C8" w14:textId="77777777" w:rsidR="009E10A5" w:rsidRPr="00E674F7" w:rsidRDefault="009E10A5" w:rsidP="009E10A5">
      <w:pPr>
        <w:spacing w:line="360" w:lineRule="auto"/>
        <w:jc w:val="both"/>
      </w:pPr>
      <w:r w:rsidRPr="00E674F7">
        <w:rPr>
          <w:i/>
        </w:rPr>
        <w:t>Revision</w:t>
      </w:r>
      <w:r w:rsidRPr="00E674F7">
        <w:t xml:space="preserve">: </w:t>
      </w:r>
      <w:r w:rsidRPr="00E674F7">
        <w:rPr>
          <w:i/>
        </w:rPr>
        <w:t xml:space="preserve">Mesomyzon </w:t>
      </w:r>
      <w:r w:rsidRPr="00E674F7">
        <w:t>was</w:t>
      </w:r>
      <w:r w:rsidRPr="00E674F7">
        <w:rPr>
          <w:i/>
        </w:rPr>
        <w:t xml:space="preserve"> </w:t>
      </w:r>
      <w:r w:rsidRPr="00E674F7">
        <w:t>coded as (0) instead of “?” according to ref.</w:t>
      </w:r>
      <w:r w:rsidRPr="00C51F93">
        <w:rPr>
          <w:vertAlign w:val="superscript"/>
        </w:rPr>
        <w:t xml:space="preserve"> 8</w:t>
      </w:r>
      <w:r w:rsidRPr="00E674F7">
        <w:t>;</w:t>
      </w:r>
    </w:p>
    <w:p w14:paraId="4C6F4A10" w14:textId="77777777" w:rsidR="009E10A5" w:rsidRPr="00E674F7" w:rsidRDefault="009E10A5" w:rsidP="009E10A5">
      <w:pPr>
        <w:spacing w:line="360" w:lineRule="auto"/>
        <w:jc w:val="both"/>
      </w:pPr>
      <w:r w:rsidRPr="00E674F7">
        <w:t xml:space="preserve">19. Nasohypophyseal opening: (0) single; (1) paired. </w:t>
      </w:r>
    </w:p>
    <w:p w14:paraId="6479247F" w14:textId="77777777" w:rsidR="009E10A5" w:rsidRPr="00E674F7" w:rsidRDefault="009E10A5" w:rsidP="009E10A5">
      <w:pPr>
        <w:spacing w:line="360" w:lineRule="auto"/>
        <w:jc w:val="both"/>
      </w:pPr>
      <w:r w:rsidRPr="00E674F7">
        <w:t>20. Olfactory organ: (0) unpaired; (1) paired.</w:t>
      </w:r>
    </w:p>
    <w:p w14:paraId="167A106E" w14:textId="77777777" w:rsidR="009E10A5" w:rsidRPr="00E674F7" w:rsidRDefault="009E10A5" w:rsidP="009E10A5">
      <w:pPr>
        <w:spacing w:line="360" w:lineRule="auto"/>
        <w:jc w:val="both"/>
      </w:pPr>
      <w:r w:rsidRPr="00E674F7">
        <w:t>21. Nasohypophyseal canal: (0) maintains width and height anteriorly; (1) tapers anteriorly.</w:t>
      </w:r>
    </w:p>
    <w:p w14:paraId="63D4FBD7" w14:textId="77777777" w:rsidR="009E10A5" w:rsidRPr="00E674F7" w:rsidRDefault="009E10A5" w:rsidP="009E10A5">
      <w:pPr>
        <w:spacing w:line="360" w:lineRule="auto"/>
        <w:jc w:val="both"/>
      </w:pPr>
      <w:r w:rsidRPr="00E674F7">
        <w:t>22. External opening of nasohypophyseal canal: (0) terminal aperture; (1) tubular extension.</w:t>
      </w:r>
    </w:p>
    <w:p w14:paraId="7CCE4390" w14:textId="77777777" w:rsidR="009E10A5" w:rsidRPr="00E674F7" w:rsidRDefault="009E10A5" w:rsidP="009E10A5">
      <w:pPr>
        <w:spacing w:line="360" w:lineRule="auto"/>
        <w:jc w:val="both"/>
      </w:pPr>
      <w:r w:rsidRPr="00E674F7">
        <w:t>23. Nasohypophyseal barbels extend from: (0) rim of nasohypophyseal aperture; (1) posteriorly to nasohypophyseal aperture.</w:t>
      </w:r>
    </w:p>
    <w:p w14:paraId="1002F110" w14:textId="77777777" w:rsidR="009E10A5" w:rsidRPr="00E674F7" w:rsidRDefault="009E10A5" w:rsidP="009E10A5">
      <w:pPr>
        <w:spacing w:line="360" w:lineRule="auto"/>
        <w:jc w:val="both"/>
      </w:pPr>
      <w:r w:rsidRPr="00E674F7">
        <w:t>24. Nasohypophyseal papillae, ventral element: (0) absent; (1) present.</w:t>
      </w:r>
    </w:p>
    <w:p w14:paraId="5BE6AF21" w14:textId="77777777" w:rsidR="009E10A5" w:rsidRPr="00E674F7" w:rsidRDefault="009E10A5" w:rsidP="009E10A5">
      <w:pPr>
        <w:spacing w:line="360" w:lineRule="auto"/>
        <w:jc w:val="both"/>
      </w:pPr>
      <w:r w:rsidRPr="00E674F7">
        <w:t>25. Nasohypophyseal papillae, dorsal element(s): (0) midline; (1) paired.</w:t>
      </w:r>
    </w:p>
    <w:p w14:paraId="3BD9674B" w14:textId="77777777" w:rsidR="009E10A5" w:rsidRPr="00E674F7" w:rsidRDefault="009E10A5" w:rsidP="009E10A5">
      <w:pPr>
        <w:spacing w:line="360" w:lineRule="auto"/>
        <w:jc w:val="both"/>
      </w:pPr>
      <w:r w:rsidRPr="00E674F7">
        <w:t>26. Eye with retinal pigmented epithelium: (0) absent; (1) present.</w:t>
      </w:r>
    </w:p>
    <w:p w14:paraId="1E5C8E13" w14:textId="77777777" w:rsidR="009E10A5" w:rsidRPr="00E674F7" w:rsidRDefault="009E10A5" w:rsidP="009E10A5">
      <w:pPr>
        <w:spacing w:line="360" w:lineRule="auto"/>
        <w:jc w:val="both"/>
      </w:pPr>
      <w:r w:rsidRPr="00E674F7">
        <w:t>27. Eyes: (0) exposed; (1) covered by dermis; (2) covered by trunk muscles.</w:t>
      </w:r>
    </w:p>
    <w:p w14:paraId="5FC342F8" w14:textId="77777777" w:rsidR="009E10A5" w:rsidRPr="00E674F7" w:rsidRDefault="009E10A5" w:rsidP="009E10A5">
      <w:pPr>
        <w:spacing w:line="360" w:lineRule="auto"/>
        <w:jc w:val="both"/>
      </w:pPr>
      <w:r w:rsidRPr="00E674F7">
        <w:t>28. Extrinsic eye musculature: (0) absent; (1) present.</w:t>
      </w:r>
    </w:p>
    <w:p w14:paraId="60ED1CA7" w14:textId="77777777" w:rsidR="009E10A5" w:rsidRPr="00E674F7" w:rsidRDefault="009E10A5" w:rsidP="009E10A5">
      <w:pPr>
        <w:spacing w:line="360" w:lineRule="auto"/>
        <w:jc w:val="both"/>
      </w:pPr>
      <w:r w:rsidRPr="00E674F7">
        <w:t>29. Muscles innervated by oculomotor nerve: (0) three; (1) four.</w:t>
      </w:r>
    </w:p>
    <w:p w14:paraId="0371167A" w14:textId="77777777" w:rsidR="009E10A5" w:rsidRPr="00E674F7" w:rsidRDefault="009E10A5" w:rsidP="009E10A5">
      <w:pPr>
        <w:spacing w:line="360" w:lineRule="auto"/>
        <w:jc w:val="both"/>
      </w:pPr>
      <w:r w:rsidRPr="00E674F7">
        <w:t>30. Oblique muscle innervated by trochlear nerve: (0) posterior oblique; (1) superior oblique.</w:t>
      </w:r>
    </w:p>
    <w:p w14:paraId="2477F7B3" w14:textId="77777777" w:rsidR="009E10A5" w:rsidRPr="00E674F7" w:rsidRDefault="009E10A5" w:rsidP="009E10A5">
      <w:pPr>
        <w:spacing w:line="360" w:lineRule="auto"/>
        <w:jc w:val="both"/>
      </w:pPr>
      <w:r w:rsidRPr="00E674F7">
        <w:t>31. Rectus muscles innervated by abducens nerve: (0) two; (1) one.</w:t>
      </w:r>
    </w:p>
    <w:p w14:paraId="29665C67" w14:textId="77777777" w:rsidR="009E10A5" w:rsidRPr="00E674F7" w:rsidRDefault="009E10A5" w:rsidP="009E10A5">
      <w:pPr>
        <w:spacing w:line="360" w:lineRule="auto"/>
        <w:jc w:val="both"/>
      </w:pPr>
      <w:r w:rsidRPr="00E674F7">
        <w:t>32. Eyes: (0) laterally placed (interorbital distance equal to width of head at that; (1) close together near midline (interorbital distance substantially less than width of head at that position; (2) on prominent eyestalk.</w:t>
      </w:r>
    </w:p>
    <w:p w14:paraId="56F3B51B" w14:textId="77777777" w:rsidR="009E10A5" w:rsidRPr="00E674F7" w:rsidRDefault="009E10A5" w:rsidP="009E10A5">
      <w:pPr>
        <w:spacing w:line="360" w:lineRule="auto"/>
        <w:jc w:val="both"/>
      </w:pPr>
      <w:r w:rsidRPr="00E674F7">
        <w:t>33. Cartilaginous otic capsules: (0) absent; (1) present.</w:t>
      </w:r>
    </w:p>
    <w:p w14:paraId="5E77B6E8" w14:textId="77777777" w:rsidR="009E10A5" w:rsidRPr="00E674F7" w:rsidRDefault="009E10A5" w:rsidP="009E10A5">
      <w:pPr>
        <w:spacing w:line="360" w:lineRule="auto"/>
        <w:jc w:val="both"/>
      </w:pPr>
      <w:r w:rsidRPr="00E674F7">
        <w:t>34. Vertical semicircular canals forming loops: (0) absent; (1) present.</w:t>
      </w:r>
    </w:p>
    <w:p w14:paraId="31B0C3EA" w14:textId="77777777" w:rsidR="009E10A5" w:rsidRPr="00E674F7" w:rsidRDefault="009E10A5" w:rsidP="009E10A5">
      <w:pPr>
        <w:spacing w:line="360" w:lineRule="auto"/>
        <w:jc w:val="both"/>
      </w:pPr>
      <w:r w:rsidRPr="00E674F7">
        <w:t>35. Anterior and posterior semicircular canals: (0) share a canal toward utriculus after meeting in a confluence; (1) meet each other at half a loop.</w:t>
      </w:r>
    </w:p>
    <w:p w14:paraId="6558B57B" w14:textId="77777777" w:rsidR="009E10A5" w:rsidRPr="00E674F7" w:rsidRDefault="009E10A5" w:rsidP="009E10A5">
      <w:pPr>
        <w:spacing w:line="360" w:lineRule="auto"/>
        <w:jc w:val="both"/>
      </w:pPr>
      <w:r w:rsidRPr="00E674F7">
        <w:lastRenderedPageBreak/>
        <w:t>36. Horizontal semicircular canal: (0) absent; (1) present.</w:t>
      </w:r>
    </w:p>
    <w:p w14:paraId="173728D8" w14:textId="77777777" w:rsidR="009E10A5" w:rsidRPr="00E674F7" w:rsidRDefault="009E10A5" w:rsidP="009E10A5">
      <w:pPr>
        <w:spacing w:line="360" w:lineRule="auto"/>
        <w:jc w:val="both"/>
      </w:pPr>
      <w:r w:rsidRPr="00E674F7">
        <w:t>37. Statoliths composed of calcium phosphate: (0) absent; (1) present.</w:t>
      </w:r>
    </w:p>
    <w:p w14:paraId="3A26B54B" w14:textId="77777777" w:rsidR="009E10A5" w:rsidRPr="00E674F7" w:rsidRDefault="009E10A5" w:rsidP="009E10A5">
      <w:pPr>
        <w:spacing w:line="360" w:lineRule="auto"/>
        <w:jc w:val="both"/>
      </w:pPr>
      <w:r w:rsidRPr="00E674F7">
        <w:t>38. Endolymphatic duct: (0) is blind; (1) opens externally.</w:t>
      </w:r>
    </w:p>
    <w:p w14:paraId="7A05DB61" w14:textId="77777777" w:rsidR="009E10A5" w:rsidRPr="00E674F7" w:rsidRDefault="009E10A5" w:rsidP="009E10A5">
      <w:pPr>
        <w:spacing w:line="360" w:lineRule="auto"/>
        <w:jc w:val="both"/>
      </w:pPr>
      <w:r w:rsidRPr="00E674F7">
        <w:t>39. Electroreceptive cells: (0) absent; (1) present.</w:t>
      </w:r>
    </w:p>
    <w:p w14:paraId="4DBE0FF9" w14:textId="77777777" w:rsidR="009E10A5" w:rsidRPr="00E674F7" w:rsidRDefault="009E10A5" w:rsidP="009E10A5">
      <w:pPr>
        <w:spacing w:line="360" w:lineRule="auto"/>
        <w:jc w:val="both"/>
      </w:pPr>
      <w:r w:rsidRPr="00E674F7">
        <w:t>40. Sensory lines: (0) absent; (1) present.</w:t>
      </w:r>
    </w:p>
    <w:p w14:paraId="0F77A77D" w14:textId="77777777" w:rsidR="009E10A5" w:rsidRPr="00E674F7" w:rsidRDefault="009E10A5" w:rsidP="009E10A5">
      <w:pPr>
        <w:spacing w:line="360" w:lineRule="auto"/>
        <w:jc w:val="both"/>
      </w:pPr>
      <w:r w:rsidRPr="00E674F7">
        <w:t>41. Sensory-lines: (0) on head only; (1) on head plus body.</w:t>
      </w:r>
    </w:p>
    <w:p w14:paraId="7C612CB1" w14:textId="77777777" w:rsidR="009E10A5" w:rsidRPr="00E674F7" w:rsidRDefault="009E10A5" w:rsidP="009E10A5">
      <w:pPr>
        <w:spacing w:line="360" w:lineRule="auto"/>
        <w:jc w:val="both"/>
      </w:pPr>
      <w:r w:rsidRPr="00E674F7">
        <w:t>42. Sensory-line: (0) enclosed in grooves; (1) enclosed in canals.</w:t>
      </w:r>
    </w:p>
    <w:p w14:paraId="36FC6AAD" w14:textId="77777777" w:rsidR="009E10A5" w:rsidRPr="00E674F7" w:rsidRDefault="009E10A5" w:rsidP="009E10A5">
      <w:pPr>
        <w:spacing w:line="360" w:lineRule="auto"/>
        <w:jc w:val="both"/>
      </w:pPr>
      <w:r w:rsidRPr="00E674F7">
        <w:t>43. Internal taste buds, or functionally equivalent end chemosensory organs innervated by cranial nerves in head: (0) absent; (1) present; (2) lacking internal taste buds but function replaced by Schreiner organs.</w:t>
      </w:r>
    </w:p>
    <w:p w14:paraId="0C9549BD" w14:textId="77777777" w:rsidR="009E10A5" w:rsidRPr="00E674F7" w:rsidRDefault="009E10A5" w:rsidP="009E10A5">
      <w:pPr>
        <w:spacing w:line="360" w:lineRule="auto"/>
        <w:jc w:val="both"/>
      </w:pPr>
      <w:r w:rsidRPr="00E674F7">
        <w:t>44. Preoptic head length: (0) shorter than branchial length; (1) approximately equal to branchial length; (2) longer than branchial length.</w:t>
      </w:r>
    </w:p>
    <w:p w14:paraId="563A97CC" w14:textId="77777777" w:rsidR="009E10A5" w:rsidRPr="00E674F7" w:rsidRDefault="009E10A5" w:rsidP="009E10A5">
      <w:pPr>
        <w:spacing w:line="360" w:lineRule="auto"/>
        <w:jc w:val="both"/>
      </w:pPr>
      <w:r w:rsidRPr="00E674F7">
        <w:rPr>
          <w:i/>
        </w:rPr>
        <w:t>Revision</w:t>
      </w:r>
      <w:r w:rsidRPr="00E674F7">
        <w:t>:</w:t>
      </w:r>
      <w:r w:rsidRPr="00E674F7">
        <w:rPr>
          <w:i/>
        </w:rPr>
        <w:t xml:space="preserve"> Mesomyzon</w:t>
      </w:r>
      <w:r w:rsidRPr="00E674F7">
        <w:t xml:space="preserve"> was coded as equally in length </w:t>
      </w:r>
      <w:bookmarkStart w:id="1" w:name="OLE_LINK25"/>
      <w:bookmarkStart w:id="2" w:name="OLE_LINK21"/>
      <w:r w:rsidRPr="00E674F7">
        <w:t>according to ref.</w:t>
      </w:r>
      <w:bookmarkEnd w:id="1"/>
      <w:bookmarkEnd w:id="2"/>
      <w:r w:rsidRPr="00C51F93">
        <w:rPr>
          <w:vertAlign w:val="superscript"/>
        </w:rPr>
        <w:t>8</w:t>
      </w:r>
      <w:r w:rsidRPr="00E674F7">
        <w:t>;</w:t>
      </w:r>
    </w:p>
    <w:p w14:paraId="20DE5988" w14:textId="77777777" w:rsidR="009E10A5" w:rsidRPr="00E674F7" w:rsidRDefault="009E10A5" w:rsidP="009E10A5">
      <w:pPr>
        <w:spacing w:line="360" w:lineRule="auto"/>
        <w:jc w:val="both"/>
      </w:pPr>
      <w:r w:rsidRPr="00E674F7">
        <w:t>45. Branchial apparatus: (0) retains arrangement of pharyngula such that first branchial opening assumes infra- or postotic position; (1) displaced anteriorly; (2) displaced posteriorly.</w:t>
      </w:r>
    </w:p>
    <w:p w14:paraId="0D1D89E1" w14:textId="77777777" w:rsidR="009E10A5" w:rsidRPr="00E674F7" w:rsidRDefault="009E10A5" w:rsidP="009E10A5">
      <w:pPr>
        <w:spacing w:line="360" w:lineRule="auto"/>
        <w:jc w:val="both"/>
      </w:pPr>
      <w:r w:rsidRPr="00E674F7">
        <w:t>46. Branchial apparatus, displaced anteriorly such that: (0) first branchial opening assumes preotic position; (1) multiple branchial arches occupy preotic position.</w:t>
      </w:r>
    </w:p>
    <w:p w14:paraId="413F3D8D" w14:textId="77777777" w:rsidR="009E10A5" w:rsidRPr="00E674F7" w:rsidRDefault="009E10A5" w:rsidP="009E10A5">
      <w:pPr>
        <w:spacing w:line="360" w:lineRule="auto"/>
        <w:jc w:val="both"/>
      </w:pPr>
      <w:r w:rsidRPr="00E674F7">
        <w:t>47. Branchial apparatus, displaced posteriorly such that prebranchial length is: (0) less than a quarter; (1) approximately a quarter; (2) greater than a third of body length.</w:t>
      </w:r>
    </w:p>
    <w:p w14:paraId="322928A2" w14:textId="77777777" w:rsidR="009E10A5" w:rsidRPr="00E674F7" w:rsidRDefault="009E10A5" w:rsidP="009E10A5">
      <w:pPr>
        <w:spacing w:line="360" w:lineRule="auto"/>
        <w:jc w:val="both"/>
      </w:pPr>
      <w:r w:rsidRPr="00E674F7">
        <w:t>48. Pharyngeal skeleton: (0) delineates pharyngeal slits with ciliary band; (1) supports well-developed branchial lamellae.</w:t>
      </w:r>
    </w:p>
    <w:p w14:paraId="7008A398" w14:textId="77777777" w:rsidR="009E10A5" w:rsidRPr="00E674F7" w:rsidRDefault="009E10A5" w:rsidP="009E10A5">
      <w:pPr>
        <w:spacing w:line="360" w:lineRule="auto"/>
        <w:jc w:val="both"/>
      </w:pPr>
      <w:r w:rsidRPr="00E674F7">
        <w:t>49. Main skeletal support for branchial apparatus with respect to lamellae: (0) lateral; (1) medial.</w:t>
      </w:r>
    </w:p>
    <w:p w14:paraId="1678E8C5" w14:textId="77777777" w:rsidR="009E10A5" w:rsidRPr="00E674F7" w:rsidRDefault="009E10A5" w:rsidP="009E10A5">
      <w:pPr>
        <w:spacing w:line="360" w:lineRule="auto"/>
        <w:jc w:val="both"/>
      </w:pPr>
      <w:r w:rsidRPr="00E674F7">
        <w:t>50. Pharyngeal skeleton: (0) skeletal arches fused with each other; (1) arches isolated.</w:t>
      </w:r>
    </w:p>
    <w:p w14:paraId="37868C6F" w14:textId="77777777" w:rsidR="009E10A5" w:rsidRPr="00E674F7" w:rsidRDefault="009E10A5" w:rsidP="009E10A5">
      <w:pPr>
        <w:spacing w:line="360" w:lineRule="auto"/>
        <w:jc w:val="both"/>
      </w:pPr>
      <w:r w:rsidRPr="00E674F7">
        <w:t>51.Hyomandibular pouch: (0) blind; (1) externally open (spiracle).</w:t>
      </w:r>
    </w:p>
    <w:p w14:paraId="3FC64103" w14:textId="77777777" w:rsidR="009E10A5" w:rsidRPr="00E674F7" w:rsidRDefault="009E10A5" w:rsidP="009E10A5">
      <w:pPr>
        <w:spacing w:line="360" w:lineRule="auto"/>
        <w:jc w:val="both"/>
      </w:pPr>
      <w:r w:rsidRPr="00E674F7">
        <w:t>52. Respiratory current exits through: (0) atrial space; (1) through excurrent duct (=branchial pouch); (2) through parabranchial cavity.</w:t>
      </w:r>
    </w:p>
    <w:p w14:paraId="33B8DCE4" w14:textId="77777777" w:rsidR="009E10A5" w:rsidRPr="00E674F7" w:rsidRDefault="009E10A5" w:rsidP="009E10A5">
      <w:pPr>
        <w:spacing w:line="360" w:lineRule="auto"/>
        <w:jc w:val="both"/>
      </w:pPr>
      <w:r w:rsidRPr="00E674F7">
        <w:lastRenderedPageBreak/>
        <w:t>53. Single confluent branchial opening: (0) absent; (1) present.</w:t>
      </w:r>
    </w:p>
    <w:p w14:paraId="55FEF7A2" w14:textId="77777777" w:rsidR="009E10A5" w:rsidRPr="00E674F7" w:rsidRDefault="009E10A5" w:rsidP="009E10A5">
      <w:pPr>
        <w:spacing w:line="360" w:lineRule="auto"/>
        <w:jc w:val="both"/>
      </w:pPr>
      <w:r w:rsidRPr="00E674F7">
        <w:t>54. Branchial excurrent duct: (0) opens roughly at position of branchial pouch; (1) extends posteriorly.</w:t>
      </w:r>
    </w:p>
    <w:p w14:paraId="316EF5C4" w14:textId="77777777" w:rsidR="009E10A5" w:rsidRPr="00E674F7" w:rsidRDefault="009E10A5" w:rsidP="009E10A5">
      <w:pPr>
        <w:spacing w:line="360" w:lineRule="auto"/>
        <w:jc w:val="both"/>
      </w:pPr>
      <w:r w:rsidRPr="00E674F7">
        <w:t>55. Branchial openings: (0) spaced accordingly with dimensions of branchial cavities; (1) packed closely together; (2) organized into multiple parallel rows.</w:t>
      </w:r>
    </w:p>
    <w:p w14:paraId="08D739F9" w14:textId="77777777" w:rsidR="009E10A5" w:rsidRPr="00E674F7" w:rsidRDefault="009E10A5" w:rsidP="009E10A5">
      <w:pPr>
        <w:spacing w:line="360" w:lineRule="auto"/>
        <w:jc w:val="both"/>
      </w:pPr>
      <w:r w:rsidRPr="00E674F7">
        <w:t>56. Number of arches (or pouches) in branchial apparatus: (0) unconstrained to five; (1) held constant at five.</w:t>
      </w:r>
    </w:p>
    <w:p w14:paraId="43D7A9CC" w14:textId="77777777" w:rsidR="009E10A5" w:rsidRPr="00E674F7" w:rsidRDefault="009E10A5" w:rsidP="009E10A5">
      <w:pPr>
        <w:spacing w:line="360" w:lineRule="auto"/>
        <w:jc w:val="both"/>
      </w:pPr>
      <w:r w:rsidRPr="00E674F7">
        <w:t>57. Number of arches (or pouches) in branchial apparatus, maximum number: (0) greater than five and fewer than 20; (1) greater than 20.</w:t>
      </w:r>
    </w:p>
    <w:p w14:paraId="4399D49F" w14:textId="77777777" w:rsidR="009E10A5" w:rsidRPr="00E674F7" w:rsidRDefault="009E10A5" w:rsidP="009E10A5">
      <w:pPr>
        <w:spacing w:line="360" w:lineRule="auto"/>
        <w:jc w:val="both"/>
      </w:pPr>
      <w:r w:rsidRPr="00E674F7">
        <w:t>58. Number of arches (pouches) in branchial apparatus: (0) four or five; (1) six or seven; (2) eight to ten; (3) greater than ten.</w:t>
      </w:r>
    </w:p>
    <w:p w14:paraId="7F7EA59C" w14:textId="77777777" w:rsidR="009E10A5" w:rsidRPr="00E674F7" w:rsidRDefault="009E10A5" w:rsidP="009E10A5">
      <w:pPr>
        <w:spacing w:line="360" w:lineRule="auto"/>
        <w:jc w:val="both"/>
      </w:pPr>
      <w:r w:rsidRPr="00E674F7">
        <w:t>59. Branchial series extends: (0) substantially less than half the body length; (1) semiequal to or greater than half the body length.</w:t>
      </w:r>
    </w:p>
    <w:p w14:paraId="38A4474F" w14:textId="77777777" w:rsidR="009E10A5" w:rsidRPr="00E674F7" w:rsidRDefault="009E10A5" w:rsidP="009E10A5">
      <w:pPr>
        <w:spacing w:line="360" w:lineRule="auto"/>
        <w:jc w:val="both"/>
      </w:pPr>
      <w:r w:rsidRPr="00E674F7">
        <w:t>60. Lateral branchial openings: (0) at similar horizontal level; (1) in a posteroventrally inclined row.</w:t>
      </w:r>
    </w:p>
    <w:p w14:paraId="1150826F" w14:textId="77777777" w:rsidR="009E10A5" w:rsidRPr="00E674F7" w:rsidRDefault="009E10A5" w:rsidP="009E10A5">
      <w:pPr>
        <w:spacing w:line="360" w:lineRule="auto"/>
        <w:jc w:val="both"/>
      </w:pPr>
      <w:r w:rsidRPr="00E674F7">
        <w:t>61. Opercular flaps associated with gill openings: (0) absent; (1) present.</w:t>
      </w:r>
    </w:p>
    <w:p w14:paraId="58A8A2E8" w14:textId="77777777" w:rsidR="009E10A5" w:rsidRPr="00E674F7" w:rsidRDefault="009E10A5" w:rsidP="009E10A5">
      <w:pPr>
        <w:spacing w:line="360" w:lineRule="auto"/>
        <w:jc w:val="both"/>
      </w:pPr>
      <w:r w:rsidRPr="00E674F7">
        <w:t xml:space="preserve">62. Branchial epithelium in relative to the body: (0) internal; (1) external. </w:t>
      </w:r>
    </w:p>
    <w:p w14:paraId="587E7C2A" w14:textId="77777777" w:rsidR="009E10A5" w:rsidRPr="00E674F7" w:rsidRDefault="009E10A5" w:rsidP="009E10A5">
      <w:pPr>
        <w:spacing w:line="360" w:lineRule="auto"/>
        <w:jc w:val="both"/>
      </w:pPr>
      <w:r w:rsidRPr="00E674F7">
        <w:t>63. External branchial openings, demarcated by: (0) single element entirely; (1) single element dorsally; (2) multiple plates; (3) a framework of multiple spines; (4) micromeres; (5) naked (mineralized exoskeleton locally absent around the opening.</w:t>
      </w:r>
    </w:p>
    <w:p w14:paraId="076E47F4" w14:textId="77777777" w:rsidR="009E10A5" w:rsidRPr="00E674F7" w:rsidRDefault="009E10A5" w:rsidP="009E10A5">
      <w:pPr>
        <w:spacing w:line="360" w:lineRule="auto"/>
        <w:jc w:val="both"/>
      </w:pPr>
      <w:r w:rsidRPr="00E674F7">
        <w:t>64. Position of mouth: (0) terminal; (1) subterminal.</w:t>
      </w:r>
    </w:p>
    <w:p w14:paraId="2CCB1650" w14:textId="77777777" w:rsidR="009E10A5" w:rsidRPr="00E674F7" w:rsidRDefault="009E10A5" w:rsidP="009E10A5">
      <w:pPr>
        <w:spacing w:line="360" w:lineRule="auto"/>
        <w:jc w:val="both"/>
      </w:pPr>
      <w:r w:rsidRPr="00E674F7">
        <w:rPr>
          <w:i/>
        </w:rPr>
        <w:t>Revision</w:t>
      </w:r>
      <w:r w:rsidRPr="00E674F7">
        <w:t xml:space="preserve">: </w:t>
      </w:r>
      <w:bookmarkStart w:id="3" w:name="OLE_LINK16"/>
      <w:bookmarkStart w:id="4" w:name="OLE_LINK17"/>
      <w:r w:rsidRPr="00E674F7">
        <w:rPr>
          <w:i/>
        </w:rPr>
        <w:t>Myxineidus</w:t>
      </w:r>
      <w:bookmarkEnd w:id="3"/>
      <w:bookmarkEnd w:id="4"/>
      <w:r w:rsidRPr="00E674F7">
        <w:t xml:space="preserve"> was coded as subterminal (1) according to refs.</w:t>
      </w:r>
      <w:r w:rsidRPr="0003788D">
        <w:rPr>
          <w:vertAlign w:val="superscript"/>
        </w:rPr>
        <w:t>2,51</w:t>
      </w:r>
      <w:r w:rsidRPr="00E674F7">
        <w:t xml:space="preserve">, similar to the hagfishes (e.g., </w:t>
      </w:r>
      <w:r w:rsidRPr="00E674F7">
        <w:rPr>
          <w:i/>
        </w:rPr>
        <w:t>Tethymyxine</w:t>
      </w:r>
      <w:r w:rsidRPr="00E674F7">
        <w:t xml:space="preserve">). </w:t>
      </w:r>
    </w:p>
    <w:p w14:paraId="0623B729" w14:textId="77777777" w:rsidR="009E10A5" w:rsidRPr="00E674F7" w:rsidRDefault="009E10A5" w:rsidP="009E10A5">
      <w:pPr>
        <w:spacing w:line="360" w:lineRule="auto"/>
        <w:jc w:val="both"/>
      </w:pPr>
      <w:r w:rsidRPr="00E674F7">
        <w:t>65. Epidermal oral cirri: (0) absent; (1) present.</w:t>
      </w:r>
    </w:p>
    <w:p w14:paraId="233646EF" w14:textId="77777777" w:rsidR="009E10A5" w:rsidRPr="00E674F7" w:rsidRDefault="009E10A5" w:rsidP="009E10A5">
      <w:pPr>
        <w:spacing w:line="360" w:lineRule="auto"/>
        <w:jc w:val="both"/>
      </w:pPr>
      <w:r w:rsidRPr="00E674F7">
        <w:t>66. Postoptically derived ectomesenchyme anterior to mandibular arch gives rise to palatal structures that: (0) meet at midline under nasal/nasohypophyseal organs; (1) meet at dorsal midline anterior to nasohypophyseal organs and form a prominent oral roof.</w:t>
      </w:r>
    </w:p>
    <w:p w14:paraId="744C0AA6" w14:textId="77777777" w:rsidR="009E10A5" w:rsidRPr="00E674F7" w:rsidRDefault="009E10A5" w:rsidP="009E10A5">
      <w:pPr>
        <w:spacing w:line="360" w:lineRule="auto"/>
        <w:jc w:val="both"/>
      </w:pPr>
      <w:r w:rsidRPr="00E674F7">
        <w:lastRenderedPageBreak/>
        <w:t>67. Velum: (0) absent; (1) present.</w:t>
      </w:r>
    </w:p>
    <w:p w14:paraId="24417B9E" w14:textId="77777777" w:rsidR="009E10A5" w:rsidRPr="00E674F7" w:rsidRDefault="009E10A5" w:rsidP="009E10A5">
      <w:pPr>
        <w:spacing w:line="360" w:lineRule="auto"/>
        <w:jc w:val="both"/>
      </w:pPr>
      <w:r w:rsidRPr="00E674F7">
        <w:rPr>
          <w:i/>
        </w:rPr>
        <w:t>Revision</w:t>
      </w:r>
      <w:r w:rsidRPr="00E674F7">
        <w:t>:</w:t>
      </w:r>
      <w:r w:rsidRPr="00E674F7">
        <w:rPr>
          <w:i/>
        </w:rPr>
        <w:t xml:space="preserve"> Mesomyzon </w:t>
      </w:r>
      <w:r w:rsidRPr="00E674F7">
        <w:t>was</w:t>
      </w:r>
      <w:r w:rsidRPr="00E674F7">
        <w:rPr>
          <w:i/>
        </w:rPr>
        <w:t xml:space="preserve"> </w:t>
      </w:r>
      <w:r w:rsidRPr="00E674F7">
        <w:t>coded as present (1) according to ref.</w:t>
      </w:r>
      <w:r w:rsidRPr="0003788D">
        <w:rPr>
          <w:vertAlign w:val="superscript"/>
        </w:rPr>
        <w:t>8</w:t>
      </w:r>
      <w:r w:rsidRPr="00E674F7">
        <w:t>;</w:t>
      </w:r>
    </w:p>
    <w:p w14:paraId="7F3012DE" w14:textId="77777777" w:rsidR="009E10A5" w:rsidRPr="00E674F7" w:rsidRDefault="009E10A5" w:rsidP="009E10A5">
      <w:pPr>
        <w:spacing w:line="360" w:lineRule="auto"/>
        <w:jc w:val="both"/>
      </w:pPr>
      <w:r w:rsidRPr="00E674F7">
        <w:t>68. Velar cartilages: (0) in hyomandibular position; (1) extend posteriorly.</w:t>
      </w:r>
    </w:p>
    <w:p w14:paraId="7250D0DF" w14:textId="77777777" w:rsidR="009E10A5" w:rsidRPr="00E674F7" w:rsidRDefault="009E10A5" w:rsidP="009E10A5">
      <w:pPr>
        <w:spacing w:line="360" w:lineRule="auto"/>
        <w:jc w:val="both"/>
      </w:pPr>
      <w:r w:rsidRPr="00E674F7">
        <w:t>69. Velar cartilages, functions at terminal ontogenetic stages: (0) pump and valve; (1) valve.</w:t>
      </w:r>
    </w:p>
    <w:p w14:paraId="2169EF87" w14:textId="77777777" w:rsidR="009E10A5" w:rsidRPr="00E674F7" w:rsidRDefault="009E10A5" w:rsidP="009E10A5">
      <w:pPr>
        <w:spacing w:line="360" w:lineRule="auto"/>
        <w:jc w:val="both"/>
      </w:pPr>
      <w:r w:rsidRPr="00E674F7">
        <w:t>70. Velar wings: (0) absent; (1) present.</w:t>
      </w:r>
    </w:p>
    <w:p w14:paraId="7816D2E6" w14:textId="77777777" w:rsidR="009E10A5" w:rsidRPr="00E674F7" w:rsidRDefault="009E10A5" w:rsidP="009E10A5">
      <w:pPr>
        <w:spacing w:line="360" w:lineRule="auto"/>
        <w:jc w:val="both"/>
      </w:pPr>
      <w:r w:rsidRPr="00E674F7">
        <w:t>71. Velar tentacles, papillae or tubercles: (0) absent; (1) present.</w:t>
      </w:r>
    </w:p>
    <w:p w14:paraId="1EA5BEFD" w14:textId="77777777" w:rsidR="009E10A5" w:rsidRPr="00E674F7" w:rsidRDefault="009E10A5" w:rsidP="009E10A5">
      <w:pPr>
        <w:spacing w:line="360" w:lineRule="auto"/>
        <w:jc w:val="both"/>
      </w:pPr>
      <w:r w:rsidRPr="00E674F7">
        <w:t xml:space="preserve">72. </w:t>
      </w:r>
      <w:proofErr w:type="gramStart"/>
      <w:r w:rsidRPr="00E674F7">
        <w:t>Multi-chamber</w:t>
      </w:r>
      <w:proofErr w:type="gramEnd"/>
      <w:r w:rsidRPr="00E674F7">
        <w:t xml:space="preserve"> heart: 0, absent; 1, present.</w:t>
      </w:r>
    </w:p>
    <w:p w14:paraId="579CA615" w14:textId="77777777" w:rsidR="009E10A5" w:rsidRPr="00E674F7" w:rsidRDefault="009E10A5" w:rsidP="009E10A5">
      <w:pPr>
        <w:spacing w:line="360" w:lineRule="auto"/>
        <w:jc w:val="both"/>
      </w:pPr>
      <w:r w:rsidRPr="00E674F7">
        <w:t>73. Closed pericardium: (0) absent; (1) present.</w:t>
      </w:r>
    </w:p>
    <w:p w14:paraId="2F9C59FB" w14:textId="77777777" w:rsidR="009E10A5" w:rsidRPr="00E674F7" w:rsidRDefault="009E10A5" w:rsidP="009E10A5">
      <w:pPr>
        <w:spacing w:line="360" w:lineRule="auto"/>
        <w:jc w:val="both"/>
      </w:pPr>
      <w:r w:rsidRPr="00E674F7">
        <w:t>74. Circulatory system: (0) open; (1) closed.</w:t>
      </w:r>
    </w:p>
    <w:p w14:paraId="1C34D0AC" w14:textId="77777777" w:rsidR="009E10A5" w:rsidRPr="00E674F7" w:rsidRDefault="009E10A5" w:rsidP="009E10A5">
      <w:pPr>
        <w:spacing w:line="360" w:lineRule="auto"/>
        <w:jc w:val="both"/>
      </w:pPr>
      <w:r w:rsidRPr="00E674F7">
        <w:t>75. Massive subcutaneous sinus: (0) absent; (1) present.</w:t>
      </w:r>
    </w:p>
    <w:p w14:paraId="31360BD6" w14:textId="77777777" w:rsidR="009E10A5" w:rsidRPr="00E674F7" w:rsidRDefault="009E10A5" w:rsidP="009E10A5">
      <w:pPr>
        <w:spacing w:line="360" w:lineRule="auto"/>
        <w:jc w:val="both"/>
      </w:pPr>
      <w:r w:rsidRPr="00E674F7">
        <w:t>76. Paired dorsal aortae: (0) absent; (1) present.</w:t>
      </w:r>
    </w:p>
    <w:p w14:paraId="0170D0CF" w14:textId="77777777" w:rsidR="009E10A5" w:rsidRPr="00E674F7" w:rsidRDefault="009E10A5" w:rsidP="009E10A5">
      <w:pPr>
        <w:spacing w:line="360" w:lineRule="auto"/>
        <w:jc w:val="both"/>
      </w:pPr>
      <w:r w:rsidRPr="00E674F7">
        <w:rPr>
          <w:i/>
        </w:rPr>
        <w:t>Revision</w:t>
      </w:r>
      <w:r w:rsidRPr="00E674F7">
        <w:t xml:space="preserve">: </w:t>
      </w:r>
      <w:r w:rsidRPr="00E674F7">
        <w:rPr>
          <w:i/>
        </w:rPr>
        <w:t>Mesomyzon</w:t>
      </w:r>
      <w:r w:rsidRPr="00E674F7">
        <w:t xml:space="preserve"> was coded as absent according to ref.</w:t>
      </w:r>
      <w:r w:rsidRPr="0003788D">
        <w:rPr>
          <w:vertAlign w:val="superscript"/>
        </w:rPr>
        <w:t>8</w:t>
      </w:r>
      <w:r w:rsidRPr="00E674F7">
        <w:t>; hagfishes all have paired dorsal aorta, whereas lampreys not.</w:t>
      </w:r>
    </w:p>
    <w:p w14:paraId="6007544A" w14:textId="77777777" w:rsidR="009E10A5" w:rsidRPr="00E674F7" w:rsidRDefault="009E10A5" w:rsidP="009E10A5">
      <w:pPr>
        <w:spacing w:line="360" w:lineRule="auto"/>
        <w:jc w:val="both"/>
      </w:pPr>
      <w:r w:rsidRPr="00E674F7">
        <w:t>77. Lateral head vein: (0) drains into anterior cardinal vein or its derivative; (1) continues into (or functions as anterior extension of) anterior cardinal vein or its derivative.</w:t>
      </w:r>
    </w:p>
    <w:p w14:paraId="1439727A" w14:textId="77777777" w:rsidR="009E10A5" w:rsidRPr="00E674F7" w:rsidRDefault="009E10A5" w:rsidP="009E10A5">
      <w:pPr>
        <w:spacing w:line="360" w:lineRule="auto"/>
        <w:jc w:val="both"/>
      </w:pPr>
      <w:r w:rsidRPr="00E674F7">
        <w:t>78. Lymphocytes: (0) absent; (1) present.</w:t>
      </w:r>
    </w:p>
    <w:p w14:paraId="7AE97E38" w14:textId="77777777" w:rsidR="009E10A5" w:rsidRPr="00E674F7" w:rsidRDefault="009E10A5" w:rsidP="009E10A5">
      <w:pPr>
        <w:spacing w:line="360" w:lineRule="auto"/>
        <w:jc w:val="both"/>
      </w:pPr>
      <w:r w:rsidRPr="00E674F7">
        <w:t xml:space="preserve">79. </w:t>
      </w:r>
      <w:proofErr w:type="gramStart"/>
      <w:r w:rsidRPr="00E674F7">
        <w:t>Lymphocytes</w:t>
      </w:r>
      <w:proofErr w:type="gramEnd"/>
      <w:r w:rsidRPr="00E674F7">
        <w:t xml:space="preserve"> antigen receptors: (0) VLR; (1) T and B.</w:t>
      </w:r>
    </w:p>
    <w:p w14:paraId="6A9C2A9E" w14:textId="77777777" w:rsidR="009E10A5" w:rsidRPr="00E674F7" w:rsidRDefault="009E10A5" w:rsidP="009E10A5">
      <w:pPr>
        <w:spacing w:line="360" w:lineRule="auto"/>
        <w:jc w:val="both"/>
      </w:pPr>
      <w:r w:rsidRPr="00E674F7">
        <w:t>80. Subaponeurotic vascular plexus: (0) absent; (1) present.</w:t>
      </w:r>
    </w:p>
    <w:p w14:paraId="041BEE68" w14:textId="77777777" w:rsidR="009E10A5" w:rsidRPr="00E674F7" w:rsidRDefault="009E10A5" w:rsidP="009E10A5">
      <w:pPr>
        <w:spacing w:line="360" w:lineRule="auto"/>
        <w:jc w:val="both"/>
      </w:pPr>
      <w:r w:rsidRPr="00E674F7">
        <w:t>81. Body forms, relative length: (0) less than five times the next largest dimension (height or width); (1) greater than five but less than ten times; (2) greater than ten times.</w:t>
      </w:r>
    </w:p>
    <w:p w14:paraId="3E95BAB0" w14:textId="77777777" w:rsidR="009E10A5" w:rsidRPr="00E674F7" w:rsidRDefault="009E10A5" w:rsidP="009E10A5">
      <w:pPr>
        <w:spacing w:line="360" w:lineRule="auto"/>
        <w:jc w:val="both"/>
      </w:pPr>
      <w:r w:rsidRPr="00E674F7">
        <w:t>82. Body forms, width against height: (0) subcircular or compressed so that branchial openings are lateral; (1) depressed so that branchial openings are ventral.</w:t>
      </w:r>
    </w:p>
    <w:p w14:paraId="1127C08A" w14:textId="77777777" w:rsidR="009E10A5" w:rsidRPr="00E674F7" w:rsidRDefault="009E10A5" w:rsidP="009E10A5">
      <w:pPr>
        <w:spacing w:line="360" w:lineRule="auto"/>
        <w:jc w:val="both"/>
        <w:rPr>
          <w:lang w:val="fr-FR"/>
        </w:rPr>
      </w:pPr>
      <w:r w:rsidRPr="00E674F7">
        <w:rPr>
          <w:lang w:val="fr-FR"/>
        </w:rPr>
        <w:t xml:space="preserve">83. Endoskeletal fin </w:t>
      </w:r>
      <w:proofErr w:type="gramStart"/>
      <w:r w:rsidRPr="00E674F7">
        <w:rPr>
          <w:lang w:val="fr-FR"/>
        </w:rPr>
        <w:t>supports:</w:t>
      </w:r>
      <w:proofErr w:type="gramEnd"/>
      <w:r w:rsidRPr="00E674F7">
        <w:rPr>
          <w:lang w:val="fr-FR"/>
        </w:rPr>
        <w:t xml:space="preserve"> (0) absent; (1) present.</w:t>
      </w:r>
    </w:p>
    <w:p w14:paraId="3D12365D" w14:textId="77777777" w:rsidR="009E10A5" w:rsidRPr="00E674F7" w:rsidRDefault="009E10A5" w:rsidP="009E10A5">
      <w:pPr>
        <w:spacing w:line="360" w:lineRule="auto"/>
        <w:jc w:val="both"/>
        <w:rPr>
          <w:lang w:val="fr-FR"/>
        </w:rPr>
      </w:pPr>
      <w:r w:rsidRPr="00E674F7">
        <w:rPr>
          <w:lang w:val="fr-FR"/>
        </w:rPr>
        <w:t xml:space="preserve">84. Distinct dorsal </w:t>
      </w:r>
      <w:proofErr w:type="gramStart"/>
      <w:r w:rsidRPr="00E674F7">
        <w:rPr>
          <w:lang w:val="fr-FR"/>
        </w:rPr>
        <w:t>fin:</w:t>
      </w:r>
      <w:proofErr w:type="gramEnd"/>
      <w:r w:rsidRPr="00E674F7">
        <w:rPr>
          <w:lang w:val="fr-FR"/>
        </w:rPr>
        <w:t xml:space="preserve"> (0) absent; (1) present.</w:t>
      </w:r>
    </w:p>
    <w:p w14:paraId="7EBC6B84" w14:textId="77777777" w:rsidR="009E10A5" w:rsidRPr="00E674F7" w:rsidRDefault="009E10A5" w:rsidP="009E10A5">
      <w:pPr>
        <w:spacing w:line="360" w:lineRule="auto"/>
        <w:jc w:val="both"/>
        <w:rPr>
          <w:b/>
          <w:sz w:val="21"/>
          <w:szCs w:val="21"/>
        </w:rPr>
      </w:pPr>
      <w:r w:rsidRPr="00E674F7">
        <w:rPr>
          <w:b/>
          <w:sz w:val="21"/>
          <w:szCs w:val="21"/>
        </w:rPr>
        <w:t>(Note: Character 85 in ref.</w:t>
      </w:r>
      <w:r w:rsidRPr="0003788D">
        <w:rPr>
          <w:b/>
          <w:sz w:val="21"/>
          <w:szCs w:val="21"/>
          <w:vertAlign w:val="superscript"/>
        </w:rPr>
        <w:t xml:space="preserve">23 </w:t>
      </w:r>
      <w:r w:rsidRPr="00E674F7">
        <w:rPr>
          <w:b/>
          <w:sz w:val="21"/>
          <w:szCs w:val="21"/>
        </w:rPr>
        <w:t>was replaced by character 186 below)</w:t>
      </w:r>
    </w:p>
    <w:p w14:paraId="1D75B013" w14:textId="77777777" w:rsidR="009E10A5" w:rsidRPr="00E674F7" w:rsidRDefault="009E10A5" w:rsidP="009E10A5">
      <w:pPr>
        <w:spacing w:line="360" w:lineRule="auto"/>
        <w:jc w:val="both"/>
      </w:pPr>
      <w:r w:rsidRPr="00E674F7">
        <w:lastRenderedPageBreak/>
        <w:t>85. Fin(s) along dorsal midline originates: (0) above branchial series or anterior to mid-trunk; (1) above anus/anal fin or anterior; (2) posteriorly to anus/anal fin.</w:t>
      </w:r>
    </w:p>
    <w:p w14:paraId="46F08BF7" w14:textId="77777777" w:rsidR="009E10A5" w:rsidRPr="00E674F7" w:rsidRDefault="009E10A5" w:rsidP="009E10A5">
      <w:pPr>
        <w:spacing w:line="360" w:lineRule="auto"/>
        <w:jc w:val="both"/>
      </w:pPr>
      <w:r w:rsidRPr="00E674F7">
        <w:rPr>
          <w:iCs/>
        </w:rPr>
        <w:t xml:space="preserve">Revision: </w:t>
      </w:r>
      <w:r w:rsidRPr="00E674F7">
        <w:rPr>
          <w:i/>
        </w:rPr>
        <w:t>Mesomyzon</w:t>
      </w:r>
      <w:r w:rsidRPr="00E674F7">
        <w:t xml:space="preserve"> coded as (0) according to ref.</w:t>
      </w:r>
      <w:r w:rsidRPr="0003788D">
        <w:rPr>
          <w:vertAlign w:val="superscript"/>
        </w:rPr>
        <w:t>8</w:t>
      </w:r>
      <w:r w:rsidRPr="00E674F7">
        <w:t xml:space="preserve">; </w:t>
      </w:r>
      <w:r w:rsidRPr="00E674F7">
        <w:rPr>
          <w:i/>
        </w:rPr>
        <w:t>Priscomyzon</w:t>
      </w:r>
      <w:r w:rsidRPr="00E674F7">
        <w:t xml:space="preserve"> recoded as uncertain according to ref.</w:t>
      </w:r>
      <w:r w:rsidRPr="0003788D">
        <w:rPr>
          <w:vertAlign w:val="superscript"/>
        </w:rPr>
        <w:t>4</w:t>
      </w:r>
      <w:r w:rsidRPr="00E674F7">
        <w:t xml:space="preserve"> and personal communications to Dr. Miyashita.  </w:t>
      </w:r>
    </w:p>
    <w:p w14:paraId="15364C03" w14:textId="77777777" w:rsidR="009E10A5" w:rsidRPr="00E674F7" w:rsidRDefault="009E10A5" w:rsidP="009E10A5">
      <w:pPr>
        <w:spacing w:line="360" w:lineRule="auto"/>
        <w:jc w:val="both"/>
      </w:pPr>
      <w:r w:rsidRPr="00E674F7">
        <w:t>86. Distinct anal fin: (0) absent; (1) present.</w:t>
      </w:r>
    </w:p>
    <w:p w14:paraId="5F0EDB4A" w14:textId="77777777" w:rsidR="009E10A5" w:rsidRPr="00E674F7" w:rsidRDefault="009E10A5" w:rsidP="009E10A5">
      <w:pPr>
        <w:spacing w:line="360" w:lineRule="auto"/>
        <w:jc w:val="both"/>
      </w:pPr>
      <w:r w:rsidRPr="00E674F7">
        <w:t xml:space="preserve">Notes: </w:t>
      </w:r>
      <w:r w:rsidRPr="00E674F7">
        <w:rPr>
          <w:i/>
        </w:rPr>
        <w:t>Mesomyzon</w:t>
      </w:r>
      <w:r w:rsidRPr="00E674F7">
        <w:t xml:space="preserve"> probably has an anal fin fold according to ref.</w:t>
      </w:r>
      <w:r w:rsidRPr="0003788D">
        <w:rPr>
          <w:vertAlign w:val="superscript"/>
        </w:rPr>
        <w:t>8</w:t>
      </w:r>
      <w:r w:rsidRPr="00E674F7">
        <w:t>; however, it is not determined whether it has radials support or not.</w:t>
      </w:r>
    </w:p>
    <w:p w14:paraId="57FF9BAB" w14:textId="77777777" w:rsidR="009E10A5" w:rsidRPr="00E674F7" w:rsidRDefault="009E10A5" w:rsidP="009E10A5">
      <w:pPr>
        <w:spacing w:line="360" w:lineRule="auto"/>
        <w:jc w:val="both"/>
      </w:pPr>
      <w:r w:rsidRPr="00E674F7">
        <w:t>87. Paired skin folds (epidermal ridges) in suprapharyngeal position: (0) absent; (1) present.</w:t>
      </w:r>
    </w:p>
    <w:p w14:paraId="0403DDA5" w14:textId="77777777" w:rsidR="009E10A5" w:rsidRPr="00E674F7" w:rsidRDefault="009E10A5" w:rsidP="009E10A5">
      <w:pPr>
        <w:spacing w:line="360" w:lineRule="auto"/>
        <w:jc w:val="both"/>
      </w:pPr>
      <w:r w:rsidRPr="00E674F7">
        <w:t>88. Constricted pectoral fins with endoskeletal elements: (0) absent; (1) present.</w:t>
      </w:r>
    </w:p>
    <w:p w14:paraId="235AB359" w14:textId="77777777" w:rsidR="009E10A5" w:rsidRPr="00E674F7" w:rsidRDefault="009E10A5" w:rsidP="009E10A5">
      <w:pPr>
        <w:spacing w:line="360" w:lineRule="auto"/>
        <w:jc w:val="both"/>
      </w:pPr>
      <w:r w:rsidRPr="00E674F7">
        <w:t>89. Long continuous preanal skin fold (epidermal ridge): (0) absent; (1) present.</w:t>
      </w:r>
    </w:p>
    <w:p w14:paraId="699F1DD8" w14:textId="77777777" w:rsidR="009E10A5" w:rsidRPr="00E674F7" w:rsidRDefault="009E10A5" w:rsidP="009E10A5">
      <w:pPr>
        <w:spacing w:line="360" w:lineRule="auto"/>
        <w:jc w:val="both"/>
      </w:pPr>
      <w:r w:rsidRPr="00E674F7">
        <w:t>90. Preanal skin fold (epidermal ridge): (0) midline; (1) paired.</w:t>
      </w:r>
    </w:p>
    <w:p w14:paraId="1848D05F" w14:textId="77777777" w:rsidR="009E10A5" w:rsidRPr="00E674F7" w:rsidRDefault="009E10A5" w:rsidP="009E10A5">
      <w:pPr>
        <w:spacing w:line="360" w:lineRule="auto"/>
        <w:jc w:val="both"/>
      </w:pPr>
      <w:r w:rsidRPr="00E674F7">
        <w:rPr>
          <w:iCs/>
        </w:rPr>
        <w:t xml:space="preserve">Miyashista </w:t>
      </w:r>
      <w:r w:rsidRPr="00E674F7">
        <w:t>et al.</w:t>
      </w:r>
      <w:r w:rsidRPr="00224B14">
        <w:rPr>
          <w:vertAlign w:val="superscript"/>
        </w:rPr>
        <w:t>23</w:t>
      </w:r>
      <w:r w:rsidRPr="00E674F7">
        <w:t xml:space="preserve"> coded cephalochordata, </w:t>
      </w:r>
      <w:r w:rsidRPr="00E674F7">
        <w:rPr>
          <w:i/>
        </w:rPr>
        <w:t>Pikaia</w:t>
      </w:r>
      <w:r w:rsidRPr="00E674F7">
        <w:t xml:space="preserve">, </w:t>
      </w:r>
      <w:r w:rsidRPr="00E674F7">
        <w:rPr>
          <w:i/>
        </w:rPr>
        <w:t>Haikouella</w:t>
      </w:r>
      <w:r w:rsidRPr="00E674F7">
        <w:t xml:space="preserve">, </w:t>
      </w:r>
      <w:r w:rsidRPr="00E674F7">
        <w:rPr>
          <w:i/>
        </w:rPr>
        <w:t>Myllokunmingia</w:t>
      </w:r>
      <w:r w:rsidRPr="00E674F7">
        <w:t xml:space="preserve">, </w:t>
      </w:r>
      <w:r w:rsidRPr="00E674F7">
        <w:rPr>
          <w:i/>
        </w:rPr>
        <w:t>Haikouichthys</w:t>
      </w:r>
      <w:r w:rsidRPr="00E674F7">
        <w:t xml:space="preserve">, all hagfish species, </w:t>
      </w:r>
      <w:r w:rsidRPr="00E674F7">
        <w:rPr>
          <w:i/>
        </w:rPr>
        <w:t>Jamoytius</w:t>
      </w:r>
      <w:r w:rsidRPr="00E674F7">
        <w:t xml:space="preserve">, </w:t>
      </w:r>
      <w:r w:rsidRPr="00E674F7">
        <w:rPr>
          <w:i/>
        </w:rPr>
        <w:t>Euphanerops</w:t>
      </w:r>
      <w:r w:rsidRPr="00E674F7">
        <w:t xml:space="preserve">, </w:t>
      </w:r>
      <w:r w:rsidRPr="00E674F7">
        <w:rPr>
          <w:i/>
        </w:rPr>
        <w:t>Cornovichthys</w:t>
      </w:r>
      <w:r w:rsidRPr="00E674F7">
        <w:t xml:space="preserve">, </w:t>
      </w:r>
      <w:r w:rsidRPr="00E674F7">
        <w:rPr>
          <w:i/>
        </w:rPr>
        <w:t>Jamoytius</w:t>
      </w:r>
      <w:r w:rsidRPr="00E674F7">
        <w:t xml:space="preserve">, </w:t>
      </w:r>
      <w:r w:rsidRPr="00E674F7">
        <w:rPr>
          <w:i/>
        </w:rPr>
        <w:t>Euphanerops</w:t>
      </w:r>
      <w:r w:rsidRPr="00E674F7">
        <w:t xml:space="preserve">, </w:t>
      </w:r>
      <w:r w:rsidRPr="00E674F7">
        <w:rPr>
          <w:i/>
        </w:rPr>
        <w:t>Lasanius</w:t>
      </w:r>
      <w:r w:rsidRPr="00E674F7">
        <w:t xml:space="preserve">, </w:t>
      </w:r>
      <w:r w:rsidRPr="00E674F7">
        <w:rPr>
          <w:i/>
        </w:rPr>
        <w:t>Birkenia</w:t>
      </w:r>
      <w:r w:rsidRPr="00E674F7">
        <w:t xml:space="preserve">, </w:t>
      </w:r>
      <w:r w:rsidRPr="00E674F7">
        <w:rPr>
          <w:i/>
        </w:rPr>
        <w:t xml:space="preserve">Rhyncholepis </w:t>
      </w:r>
      <w:r w:rsidRPr="00E674F7">
        <w:t xml:space="preserve">as having paired preanal skin fold (1); whereas we coded </w:t>
      </w:r>
      <w:bookmarkStart w:id="5" w:name="OLE_LINK63"/>
      <w:bookmarkStart w:id="6" w:name="OLE_LINK64"/>
      <w:bookmarkStart w:id="7" w:name="OLE_LINK58"/>
      <w:bookmarkStart w:id="8" w:name="OLE_LINK59"/>
      <w:r w:rsidRPr="00E674F7">
        <w:rPr>
          <w:i/>
        </w:rPr>
        <w:t>Jamoytius</w:t>
      </w:r>
      <w:r w:rsidRPr="00E674F7">
        <w:t xml:space="preserve">, </w:t>
      </w:r>
      <w:r w:rsidRPr="00E674F7">
        <w:rPr>
          <w:i/>
        </w:rPr>
        <w:t>Euphanerops</w:t>
      </w:r>
      <w:r w:rsidRPr="00E674F7">
        <w:t xml:space="preserve">, </w:t>
      </w:r>
      <w:bookmarkEnd w:id="5"/>
      <w:bookmarkEnd w:id="6"/>
      <w:r w:rsidRPr="00E674F7">
        <w:rPr>
          <w:i/>
        </w:rPr>
        <w:t>Lasanius</w:t>
      </w:r>
      <w:r w:rsidRPr="00E674F7">
        <w:t xml:space="preserve">, </w:t>
      </w:r>
      <w:r w:rsidRPr="00E674F7">
        <w:rPr>
          <w:i/>
        </w:rPr>
        <w:t>Birkenia</w:t>
      </w:r>
      <w:r w:rsidRPr="00E674F7">
        <w:t xml:space="preserve">, </w:t>
      </w:r>
      <w:r w:rsidRPr="00E674F7">
        <w:rPr>
          <w:i/>
        </w:rPr>
        <w:t>Rhyncholepis</w:t>
      </w:r>
      <w:bookmarkEnd w:id="7"/>
      <w:bookmarkEnd w:id="8"/>
      <w:r w:rsidRPr="00E674F7">
        <w:t xml:space="preserve"> as having paired preanal skin fold)</w:t>
      </w:r>
    </w:p>
    <w:p w14:paraId="3C6E8B61" w14:textId="77777777" w:rsidR="009E10A5" w:rsidRPr="00E674F7" w:rsidRDefault="009E10A5" w:rsidP="009E10A5">
      <w:pPr>
        <w:spacing w:line="360" w:lineRule="auto"/>
        <w:jc w:val="both"/>
      </w:pPr>
      <w:r w:rsidRPr="00E674F7">
        <w:rPr>
          <w:i/>
        </w:rPr>
        <w:t>Revision</w:t>
      </w:r>
      <w:r w:rsidRPr="00E674F7">
        <w:t xml:space="preserve">: </w:t>
      </w:r>
      <w:r w:rsidRPr="00E674F7">
        <w:rPr>
          <w:i/>
        </w:rPr>
        <w:t xml:space="preserve">Mesomyzon </w:t>
      </w:r>
      <w:r w:rsidRPr="00E674F7">
        <w:t>has a preanal skin fold according to ref.</w:t>
      </w:r>
      <w:r w:rsidRPr="00224B14">
        <w:rPr>
          <w:vertAlign w:val="superscript"/>
        </w:rPr>
        <w:t>8</w:t>
      </w:r>
      <w:r w:rsidRPr="00E674F7">
        <w:t>, which is continuous and running along the midline.</w:t>
      </w:r>
    </w:p>
    <w:p w14:paraId="77E5CAEC" w14:textId="77777777" w:rsidR="009E10A5" w:rsidRPr="00E674F7" w:rsidRDefault="009E10A5" w:rsidP="009E10A5">
      <w:pPr>
        <w:spacing w:line="360" w:lineRule="auto"/>
        <w:jc w:val="both"/>
      </w:pPr>
      <w:r w:rsidRPr="00E674F7">
        <w:t>91. Preanal skin fold (epidermal ridge): (0) longitudinal; (1) discrete pelvic fins.</w:t>
      </w:r>
    </w:p>
    <w:p w14:paraId="45A6B2E6" w14:textId="77777777" w:rsidR="009E10A5" w:rsidRPr="00E674F7" w:rsidRDefault="009E10A5" w:rsidP="009E10A5">
      <w:pPr>
        <w:spacing w:line="360" w:lineRule="auto"/>
        <w:jc w:val="both"/>
      </w:pPr>
      <w:r w:rsidRPr="00E674F7">
        <w:rPr>
          <w:i/>
        </w:rPr>
        <w:t>Revision</w:t>
      </w:r>
      <w:r w:rsidRPr="00E674F7">
        <w:t xml:space="preserve">: </w:t>
      </w:r>
      <w:r w:rsidRPr="00E674F7">
        <w:rPr>
          <w:i/>
        </w:rPr>
        <w:t xml:space="preserve">Mesomyzon </w:t>
      </w:r>
      <w:r w:rsidRPr="00E674F7">
        <w:t>was coded as (0) according to ref.</w:t>
      </w:r>
      <w:r w:rsidRPr="00224B14">
        <w:rPr>
          <w:vertAlign w:val="superscript"/>
        </w:rPr>
        <w:t xml:space="preserve"> 8</w:t>
      </w:r>
      <w:r w:rsidRPr="00E674F7">
        <w:t xml:space="preserve">. </w:t>
      </w:r>
    </w:p>
    <w:p w14:paraId="272A0270" w14:textId="77777777" w:rsidR="009E10A5" w:rsidRPr="00E674F7" w:rsidRDefault="009E10A5" w:rsidP="009E10A5">
      <w:pPr>
        <w:spacing w:line="360" w:lineRule="auto"/>
        <w:jc w:val="both"/>
      </w:pPr>
      <w:r w:rsidRPr="00E674F7">
        <w:t>92. Tail shape: (0) no distinct lobes developed; (1) dorsal lobe much larger than ventral; (2) ventral lobe much larger than dorsal; (3) dorsal and ventral lobes almost equally developed.</w:t>
      </w:r>
    </w:p>
    <w:p w14:paraId="11AC5736" w14:textId="77777777" w:rsidR="009E10A5" w:rsidRPr="00E674F7" w:rsidRDefault="009E10A5" w:rsidP="009E10A5">
      <w:pPr>
        <w:spacing w:line="360" w:lineRule="auto"/>
        <w:jc w:val="both"/>
      </w:pPr>
      <w:r w:rsidRPr="00E674F7">
        <w:rPr>
          <w:i/>
        </w:rPr>
        <w:t>Revisions</w:t>
      </w:r>
      <w:r w:rsidRPr="00E674F7">
        <w:t>: Miyashita et al.</w:t>
      </w:r>
      <w:r w:rsidRPr="00224B14">
        <w:rPr>
          <w:vertAlign w:val="superscript"/>
        </w:rPr>
        <w:t>23</w:t>
      </w:r>
      <w:r w:rsidRPr="00E674F7">
        <w:t xml:space="preserve"> coded character 93 for </w:t>
      </w:r>
      <w:r w:rsidRPr="00E674F7">
        <w:rPr>
          <w:i/>
        </w:rPr>
        <w:t>Euophanerops</w:t>
      </w:r>
      <w:r w:rsidRPr="00E674F7">
        <w:t xml:space="preserve">, </w:t>
      </w:r>
      <w:r w:rsidRPr="00E674F7">
        <w:rPr>
          <w:i/>
        </w:rPr>
        <w:t>Achanarella</w:t>
      </w:r>
      <w:r w:rsidRPr="00E674F7">
        <w:t xml:space="preserve">, </w:t>
      </w:r>
      <w:r w:rsidRPr="00E674F7">
        <w:rPr>
          <w:i/>
        </w:rPr>
        <w:t>Cornovichthys</w:t>
      </w:r>
      <w:r w:rsidRPr="00E674F7">
        <w:t xml:space="preserve">, </w:t>
      </w:r>
      <w:r w:rsidRPr="00E674F7">
        <w:rPr>
          <w:i/>
        </w:rPr>
        <w:t>Lasanius</w:t>
      </w:r>
      <w:r w:rsidRPr="00E674F7">
        <w:t xml:space="preserve">, </w:t>
      </w:r>
      <w:r w:rsidRPr="00E674F7">
        <w:rPr>
          <w:i/>
        </w:rPr>
        <w:t>Birkenia</w:t>
      </w:r>
      <w:r w:rsidRPr="00E674F7">
        <w:t xml:space="preserve">, </w:t>
      </w:r>
      <w:r w:rsidRPr="00E674F7">
        <w:rPr>
          <w:i/>
        </w:rPr>
        <w:t>Rhyncholepis</w:t>
      </w:r>
      <w:r w:rsidRPr="00E674F7">
        <w:t xml:space="preserve">, </w:t>
      </w:r>
      <w:r w:rsidRPr="00E674F7">
        <w:rPr>
          <w:i/>
        </w:rPr>
        <w:t>Turnia</w:t>
      </w:r>
      <w:r w:rsidRPr="00E674F7">
        <w:t xml:space="preserve">, </w:t>
      </w:r>
      <w:r w:rsidRPr="00E674F7">
        <w:rPr>
          <w:i/>
        </w:rPr>
        <w:t>Loganellia</w:t>
      </w:r>
      <w:r w:rsidRPr="00E674F7">
        <w:t xml:space="preserve"> as “ventral lobe much larger than dorsal” (state 1 in their character descriptions), which might be a typing error. Here we revised state 1 as “dorsal lobe much larger than ventral”, and 2 </w:t>
      </w:r>
      <w:r w:rsidRPr="00E674F7">
        <w:lastRenderedPageBreak/>
        <w:t xml:space="preserve">as “ventral lobe much larger than dorsal”. </w:t>
      </w:r>
      <w:r w:rsidRPr="00E674F7">
        <w:rPr>
          <w:i/>
        </w:rPr>
        <w:t>Myxineidus</w:t>
      </w:r>
      <w:r w:rsidRPr="00E674F7">
        <w:t xml:space="preserve">, </w:t>
      </w:r>
      <w:r w:rsidRPr="00E674F7">
        <w:rPr>
          <w:i/>
        </w:rPr>
        <w:t>Gilpichthys, Tethymyxine</w:t>
      </w:r>
      <w:r w:rsidRPr="00E674F7">
        <w:t xml:space="preserve"> and extant hagfishes coded as (0); </w:t>
      </w:r>
      <w:r w:rsidRPr="00E674F7">
        <w:rPr>
          <w:i/>
        </w:rPr>
        <w:t>Myxinikela</w:t>
      </w:r>
      <w:r w:rsidRPr="00E674F7">
        <w:t xml:space="preserve"> code as (1); fossil (including </w:t>
      </w:r>
      <w:r w:rsidRPr="00E674F7">
        <w:rPr>
          <w:i/>
        </w:rPr>
        <w:t>Pipiscius</w:t>
      </w:r>
      <w:r w:rsidRPr="00E674F7">
        <w:t>) and extant lampreys all coded as (1); Euconodonta coded as (1). As noted by Janvier</w:t>
      </w:r>
      <w:r w:rsidRPr="00224B14">
        <w:rPr>
          <w:vertAlign w:val="superscript"/>
        </w:rPr>
        <w:t>2</w:t>
      </w:r>
      <w:r w:rsidRPr="00E674F7">
        <w:t>, we redefined the caudal fin in lampreys and the traditionally called ‘posterior dorsal fin’ should be the anterior part of the caudal fin, which is usually located behind the level of the opening of the cloaca</w:t>
      </w:r>
      <w:r w:rsidRPr="00224B14">
        <w:rPr>
          <w:vertAlign w:val="superscript"/>
        </w:rPr>
        <w:t>8</w:t>
      </w:r>
      <w:r w:rsidRPr="00E674F7">
        <w:t xml:space="preserve">.  </w:t>
      </w:r>
    </w:p>
    <w:p w14:paraId="1B9A61E6" w14:textId="77777777" w:rsidR="009E10A5" w:rsidRPr="00E674F7" w:rsidRDefault="009E10A5" w:rsidP="009E10A5">
      <w:pPr>
        <w:spacing w:line="360" w:lineRule="auto"/>
        <w:jc w:val="both"/>
      </w:pPr>
      <w:r w:rsidRPr="00E674F7">
        <w:t>93. Chordal disposition relative to tail development: (0) isochordal; (1) hypochordal; (2) hyperchordal.</w:t>
      </w:r>
    </w:p>
    <w:p w14:paraId="0CAA7FA3" w14:textId="77777777" w:rsidR="009E10A5" w:rsidRPr="00E674F7" w:rsidRDefault="009E10A5" w:rsidP="009E10A5">
      <w:pPr>
        <w:spacing w:line="360" w:lineRule="auto"/>
        <w:jc w:val="both"/>
      </w:pPr>
      <w:r w:rsidRPr="00E674F7">
        <w:t>94. Skeletal elements consisting of calcium phosphate: (0) absent; (1) present.</w:t>
      </w:r>
    </w:p>
    <w:p w14:paraId="03EF43D8" w14:textId="77777777" w:rsidR="009E10A5" w:rsidRPr="00E674F7" w:rsidRDefault="009E10A5" w:rsidP="009E10A5">
      <w:pPr>
        <w:spacing w:line="360" w:lineRule="auto"/>
        <w:jc w:val="both"/>
      </w:pPr>
      <w:r w:rsidRPr="00E674F7">
        <w:t>95. Bone: (0) absent; (1) present.</w:t>
      </w:r>
    </w:p>
    <w:p w14:paraId="0D0A6EB8" w14:textId="77777777" w:rsidR="009E10A5" w:rsidRPr="00E674F7" w:rsidRDefault="009E10A5" w:rsidP="009E10A5">
      <w:pPr>
        <w:spacing w:line="360" w:lineRule="auto"/>
        <w:jc w:val="both"/>
      </w:pPr>
      <w:r w:rsidRPr="00E674F7">
        <w:t>96. Cellular bone: (0) absent; (1) present.</w:t>
      </w:r>
    </w:p>
    <w:p w14:paraId="644633A0" w14:textId="77777777" w:rsidR="009E10A5" w:rsidRPr="00E674F7" w:rsidRDefault="009E10A5" w:rsidP="009E10A5">
      <w:pPr>
        <w:spacing w:line="360" w:lineRule="auto"/>
        <w:jc w:val="both"/>
      </w:pPr>
      <w:r w:rsidRPr="00E674F7">
        <w:t>97. Lamellar aspidin: (0) absent; (1) present.</w:t>
      </w:r>
    </w:p>
    <w:p w14:paraId="74377676" w14:textId="77777777" w:rsidR="009E10A5" w:rsidRPr="00E674F7" w:rsidRDefault="009E10A5" w:rsidP="009E10A5">
      <w:pPr>
        <w:spacing w:line="360" w:lineRule="auto"/>
        <w:jc w:val="both"/>
      </w:pPr>
      <w:r w:rsidRPr="00E674F7">
        <w:t>98. Perichondral bone: (0) absent; (1) present.</w:t>
      </w:r>
    </w:p>
    <w:p w14:paraId="0EC877F1" w14:textId="77777777" w:rsidR="009E10A5" w:rsidRPr="00E674F7" w:rsidRDefault="009E10A5" w:rsidP="009E10A5">
      <w:pPr>
        <w:spacing w:line="360" w:lineRule="auto"/>
        <w:jc w:val="both"/>
      </w:pPr>
      <w:r w:rsidRPr="00E674F7">
        <w:t>99. Calcified cartilage: (0) absent; (1) present.</w:t>
      </w:r>
    </w:p>
    <w:p w14:paraId="3BAE21C2" w14:textId="77777777" w:rsidR="009E10A5" w:rsidRPr="00E674F7" w:rsidRDefault="009E10A5" w:rsidP="009E10A5">
      <w:pPr>
        <w:spacing w:line="360" w:lineRule="auto"/>
        <w:jc w:val="both"/>
      </w:pPr>
      <w:r w:rsidRPr="00E674F7">
        <w:t>100. Cellular cartilages with hypertrophied chondrocytes (30-50 µm in diameter): (0) absent; (1) present.</w:t>
      </w:r>
    </w:p>
    <w:p w14:paraId="2251D4B6" w14:textId="77777777" w:rsidR="009E10A5" w:rsidRPr="00E674F7" w:rsidRDefault="009E10A5" w:rsidP="009E10A5">
      <w:pPr>
        <w:spacing w:line="360" w:lineRule="auto"/>
        <w:jc w:val="both"/>
      </w:pPr>
      <w:r w:rsidRPr="00E674F7">
        <w:t>101. Mature chondrocytes: (0) become separated and generally even spaced by extracellular mat; (1) remain nested in a pair.</w:t>
      </w:r>
    </w:p>
    <w:p w14:paraId="385A1DAA" w14:textId="77777777" w:rsidR="009E10A5" w:rsidRPr="00E674F7" w:rsidRDefault="009E10A5" w:rsidP="009E10A5">
      <w:pPr>
        <w:spacing w:line="360" w:lineRule="auto"/>
        <w:jc w:val="both"/>
      </w:pPr>
      <w:r w:rsidRPr="00E674F7">
        <w:t>102. Dentine: (0) absent; (1) present.</w:t>
      </w:r>
    </w:p>
    <w:p w14:paraId="7430CA89" w14:textId="77777777" w:rsidR="009E10A5" w:rsidRPr="00E674F7" w:rsidRDefault="009E10A5" w:rsidP="009E10A5">
      <w:pPr>
        <w:spacing w:line="360" w:lineRule="auto"/>
        <w:jc w:val="both"/>
      </w:pPr>
      <w:r w:rsidRPr="00E674F7">
        <w:t>103. Spherical/globular dentine: (0) absent; (1) present.</w:t>
      </w:r>
    </w:p>
    <w:p w14:paraId="0ED6EA6D" w14:textId="77777777" w:rsidR="009E10A5" w:rsidRPr="00E674F7" w:rsidRDefault="009E10A5" w:rsidP="009E10A5">
      <w:pPr>
        <w:spacing w:line="360" w:lineRule="auto"/>
        <w:jc w:val="both"/>
      </w:pPr>
      <w:r w:rsidRPr="00E674F7">
        <w:t>104. Tubular dentine: (0) absent; (1) present.</w:t>
      </w:r>
    </w:p>
    <w:p w14:paraId="65EC066D" w14:textId="77777777" w:rsidR="009E10A5" w:rsidRPr="00E674F7" w:rsidRDefault="009E10A5" w:rsidP="009E10A5">
      <w:pPr>
        <w:spacing w:line="360" w:lineRule="auto"/>
        <w:jc w:val="both"/>
      </w:pPr>
      <w:r w:rsidRPr="00E674F7">
        <w:t>105. Tubular dentine, odontobalsts tend to: (0) retreat into pulp cavity; (1) remain in dentinous matrix.</w:t>
      </w:r>
    </w:p>
    <w:p w14:paraId="2ABF7198" w14:textId="77777777" w:rsidR="009E10A5" w:rsidRPr="00E674F7" w:rsidRDefault="009E10A5" w:rsidP="009E10A5">
      <w:pPr>
        <w:spacing w:line="360" w:lineRule="auto"/>
        <w:jc w:val="both"/>
      </w:pPr>
      <w:r w:rsidRPr="00E674F7">
        <w:t>106. Tubular dentine, interconnections of tubules/canaliculi for odontoblasts tend to be: (0) polarized; (1) non-polarized.</w:t>
      </w:r>
    </w:p>
    <w:p w14:paraId="0D75A093" w14:textId="77777777" w:rsidR="009E10A5" w:rsidRPr="00E674F7" w:rsidRDefault="009E10A5" w:rsidP="009E10A5">
      <w:pPr>
        <w:spacing w:line="360" w:lineRule="auto"/>
        <w:jc w:val="both"/>
      </w:pPr>
      <w:r w:rsidRPr="00E674F7">
        <w:t>107. Tubular dentine, interconnections of canaliculi and spacing between odontoblasts tend to be: (0) regular; (1) irregular.</w:t>
      </w:r>
    </w:p>
    <w:p w14:paraId="749DDE66" w14:textId="77777777" w:rsidR="009E10A5" w:rsidRPr="00E674F7" w:rsidRDefault="009E10A5" w:rsidP="009E10A5">
      <w:pPr>
        <w:spacing w:line="360" w:lineRule="auto"/>
        <w:jc w:val="both"/>
      </w:pPr>
      <w:r w:rsidRPr="00E674F7">
        <w:t>108. Enamel/oid: (0) absent; (1) present.</w:t>
      </w:r>
    </w:p>
    <w:p w14:paraId="6769D554" w14:textId="77777777" w:rsidR="009E10A5" w:rsidRPr="00E674F7" w:rsidRDefault="009E10A5" w:rsidP="009E10A5">
      <w:pPr>
        <w:spacing w:line="360" w:lineRule="auto"/>
        <w:jc w:val="both"/>
      </w:pPr>
      <w:r w:rsidRPr="00E674F7">
        <w:lastRenderedPageBreak/>
        <w:t>109. Enamel: (0) monotypic; (1) bitypic.</w:t>
      </w:r>
    </w:p>
    <w:p w14:paraId="6229F578" w14:textId="77777777" w:rsidR="009E10A5" w:rsidRPr="00E674F7" w:rsidRDefault="009E10A5" w:rsidP="009E10A5">
      <w:pPr>
        <w:spacing w:line="360" w:lineRule="auto"/>
        <w:jc w:val="both"/>
      </w:pPr>
      <w:r w:rsidRPr="00E674F7">
        <w:t>110. Calcification/ossification occurs in endoskeleton: (0) absent; (1) present.</w:t>
      </w:r>
    </w:p>
    <w:p w14:paraId="7EBAE364" w14:textId="77777777" w:rsidR="009E10A5" w:rsidRPr="00E674F7" w:rsidRDefault="009E10A5" w:rsidP="009E10A5">
      <w:pPr>
        <w:spacing w:line="360" w:lineRule="auto"/>
        <w:jc w:val="both"/>
      </w:pPr>
      <w:r w:rsidRPr="00E674F7">
        <w:t>111. Calcification/ossification occurs in exoskeleton: (0) absent; (1) present.</w:t>
      </w:r>
    </w:p>
    <w:p w14:paraId="62B27B9F" w14:textId="77777777" w:rsidR="009E10A5" w:rsidRPr="00E674F7" w:rsidRDefault="009E10A5" w:rsidP="009E10A5">
      <w:pPr>
        <w:spacing w:line="360" w:lineRule="auto"/>
        <w:jc w:val="both"/>
      </w:pPr>
      <w:r w:rsidRPr="00E674F7">
        <w:t>112. Mineralized integumentary skeleton, surface coverage: (0) extensive; (1) limited (with evidence for variation and potentials for reduction).</w:t>
      </w:r>
    </w:p>
    <w:p w14:paraId="743D6C2F" w14:textId="77777777" w:rsidR="009E10A5" w:rsidRPr="00E674F7" w:rsidRDefault="009E10A5" w:rsidP="009E10A5">
      <w:pPr>
        <w:spacing w:line="360" w:lineRule="auto"/>
        <w:jc w:val="both"/>
      </w:pPr>
      <w:r w:rsidRPr="00E674F7">
        <w:t>113. Odontodes: (0) monodontodes; (1) polyodontodes.</w:t>
      </w:r>
    </w:p>
    <w:p w14:paraId="736C36B7" w14:textId="77777777" w:rsidR="009E10A5" w:rsidRPr="00E674F7" w:rsidRDefault="009E10A5" w:rsidP="009E10A5">
      <w:pPr>
        <w:spacing w:line="360" w:lineRule="auto"/>
        <w:jc w:val="both"/>
      </w:pPr>
      <w:r w:rsidRPr="00E674F7">
        <w:t>114. Exoskeleton, organization of superficial layer: (0) spherical; (1) tubular; (2) lamellar.</w:t>
      </w:r>
    </w:p>
    <w:p w14:paraId="197BFD33" w14:textId="77777777" w:rsidR="009E10A5" w:rsidRPr="00E674F7" w:rsidRDefault="009E10A5" w:rsidP="009E10A5">
      <w:pPr>
        <w:spacing w:line="360" w:lineRule="auto"/>
        <w:jc w:val="both"/>
      </w:pPr>
      <w:r w:rsidRPr="00E674F7">
        <w:t>115. Exoskeleton, vascular/cancellar layer of osteons: (0) absent; (1) present. [an important feature is the three-layered exoskeleton]</w:t>
      </w:r>
    </w:p>
    <w:p w14:paraId="44AD449A" w14:textId="77777777" w:rsidR="009E10A5" w:rsidRPr="00E674F7" w:rsidRDefault="009E10A5" w:rsidP="009E10A5">
      <w:pPr>
        <w:spacing w:line="360" w:lineRule="auto"/>
        <w:jc w:val="both"/>
      </w:pPr>
      <w:r w:rsidRPr="00E674F7">
        <w:t>116. Exoskeleton, basal tissue: (0) basal lamella; (1) basal attachment.</w:t>
      </w:r>
    </w:p>
    <w:p w14:paraId="462D8ED4" w14:textId="77777777" w:rsidR="009E10A5" w:rsidRPr="00E674F7" w:rsidRDefault="009E10A5" w:rsidP="009E10A5">
      <w:pPr>
        <w:spacing w:line="360" w:lineRule="auto"/>
        <w:jc w:val="both"/>
      </w:pPr>
      <w:r w:rsidRPr="00E674F7">
        <w:t>117. Cancellar layer in exoskeleton, with honeycomb-shaped cavities: (0) absent; (1) present.</w:t>
      </w:r>
    </w:p>
    <w:p w14:paraId="5CCD2E69" w14:textId="77777777" w:rsidR="009E10A5" w:rsidRPr="00E674F7" w:rsidRDefault="009E10A5" w:rsidP="009E10A5">
      <w:pPr>
        <w:spacing w:line="360" w:lineRule="auto"/>
        <w:jc w:val="both"/>
      </w:pPr>
      <w:r w:rsidRPr="00E674F7">
        <w:t>118. Scale shape: (0) diamond-shaped; (1) rod-shaped.</w:t>
      </w:r>
    </w:p>
    <w:p w14:paraId="467A525A" w14:textId="77777777" w:rsidR="009E10A5" w:rsidRPr="00E674F7" w:rsidRDefault="009E10A5" w:rsidP="009E10A5">
      <w:pPr>
        <w:spacing w:line="360" w:lineRule="auto"/>
        <w:jc w:val="both"/>
      </w:pPr>
      <w:r w:rsidRPr="00E674F7">
        <w:t>119. Oak-leaf-shaped tubercles: (0) absent; (1) present.</w:t>
      </w:r>
    </w:p>
    <w:p w14:paraId="5DB62939" w14:textId="77777777" w:rsidR="009E10A5" w:rsidRPr="00E674F7" w:rsidRDefault="009E10A5" w:rsidP="009E10A5">
      <w:pPr>
        <w:spacing w:line="360" w:lineRule="auto"/>
        <w:jc w:val="both"/>
      </w:pPr>
      <w:r w:rsidRPr="00E674F7">
        <w:t>120. Triradiate postbranchial spines: (0) absent; (1) present.</w:t>
      </w:r>
    </w:p>
    <w:p w14:paraId="30586A71" w14:textId="77777777" w:rsidR="009E10A5" w:rsidRPr="00E674F7" w:rsidRDefault="009E10A5" w:rsidP="009E10A5">
      <w:pPr>
        <w:spacing w:line="360" w:lineRule="auto"/>
        <w:jc w:val="both"/>
      </w:pPr>
      <w:r w:rsidRPr="00E674F7">
        <w:t>121. Median dorsal ridge scales: (0) absent; (1) present.</w:t>
      </w:r>
    </w:p>
    <w:p w14:paraId="4AF838C2" w14:textId="77777777" w:rsidR="009E10A5" w:rsidRPr="00E674F7" w:rsidRDefault="009E10A5" w:rsidP="009E10A5">
      <w:pPr>
        <w:spacing w:line="360" w:lineRule="auto"/>
        <w:jc w:val="both"/>
      </w:pPr>
      <w:r w:rsidRPr="00E674F7">
        <w:t>122. Median dorsal ridge scales: (0) simple; (1) hooked.</w:t>
      </w:r>
    </w:p>
    <w:p w14:paraId="2FA63DCC" w14:textId="77777777" w:rsidR="009E10A5" w:rsidRPr="00E674F7" w:rsidRDefault="009E10A5" w:rsidP="009E10A5">
      <w:pPr>
        <w:spacing w:line="360" w:lineRule="auto"/>
        <w:jc w:val="both"/>
      </w:pPr>
      <w:r w:rsidRPr="00E674F7">
        <w:t>123. Vascular canal systems in integumentary skeleton: (0) absent; (1) present.</w:t>
      </w:r>
    </w:p>
    <w:p w14:paraId="179D945A" w14:textId="77777777" w:rsidR="009E10A5" w:rsidRPr="00E674F7" w:rsidRDefault="009E10A5" w:rsidP="009E10A5">
      <w:pPr>
        <w:spacing w:line="360" w:lineRule="auto"/>
        <w:jc w:val="both"/>
      </w:pPr>
      <w:r w:rsidRPr="00E674F7">
        <w:t>124. Scales: (0) without visceral ribs; (1) with visceral ribs.</w:t>
      </w:r>
    </w:p>
    <w:p w14:paraId="135100FD" w14:textId="77777777" w:rsidR="009E10A5" w:rsidRPr="00E674F7" w:rsidRDefault="009E10A5" w:rsidP="009E10A5">
      <w:pPr>
        <w:spacing w:line="360" w:lineRule="auto"/>
        <w:jc w:val="both"/>
      </w:pPr>
      <w:r w:rsidRPr="00E674F7">
        <w:t>125. Oral plates: (0) absent; (1) present.</w:t>
      </w:r>
    </w:p>
    <w:p w14:paraId="259F978B" w14:textId="77777777" w:rsidR="009E10A5" w:rsidRPr="00E674F7" w:rsidRDefault="009E10A5" w:rsidP="009E10A5">
      <w:pPr>
        <w:spacing w:line="360" w:lineRule="auto"/>
        <w:jc w:val="both"/>
      </w:pPr>
      <w:r w:rsidRPr="00E674F7">
        <w:t>126. Odontodes: (0) restricted to exoskeleton; (1) in oral cavity; (2) in pharynx.</w:t>
      </w:r>
    </w:p>
    <w:p w14:paraId="76857AB9" w14:textId="77777777" w:rsidR="009E10A5" w:rsidRPr="00E674F7" w:rsidRDefault="009E10A5" w:rsidP="009E10A5">
      <w:pPr>
        <w:spacing w:line="360" w:lineRule="auto"/>
        <w:jc w:val="both"/>
      </w:pPr>
      <w:r w:rsidRPr="00E674F7">
        <w:t>127. Dermal head covering in adult state: (0) absent; (1) present.</w:t>
      </w:r>
    </w:p>
    <w:p w14:paraId="79C1F321" w14:textId="77777777" w:rsidR="009E10A5" w:rsidRPr="00E674F7" w:rsidRDefault="009E10A5" w:rsidP="009E10A5">
      <w:pPr>
        <w:spacing w:line="360" w:lineRule="auto"/>
        <w:jc w:val="both"/>
      </w:pPr>
      <w:r w:rsidRPr="00E674F7">
        <w:t>128. Dermal head covering in adult state: (0) micromeric; (1) large (macromeric) dermal plates or shield.</w:t>
      </w:r>
    </w:p>
    <w:p w14:paraId="209936CC" w14:textId="77777777" w:rsidR="009E10A5" w:rsidRPr="00E674F7" w:rsidRDefault="009E10A5" w:rsidP="009E10A5">
      <w:pPr>
        <w:spacing w:line="360" w:lineRule="auto"/>
        <w:jc w:val="both"/>
      </w:pPr>
      <w:r w:rsidRPr="00E674F7">
        <w:t>129. Dermal head covering, macromeric: (0) large unpaired plates covering dorsal and ventral sides; (1) covered by tesserae; (2) multiple plates.</w:t>
      </w:r>
    </w:p>
    <w:p w14:paraId="30D7E2B0" w14:textId="77777777" w:rsidR="009E10A5" w:rsidRPr="00E674F7" w:rsidRDefault="009E10A5" w:rsidP="009E10A5">
      <w:pPr>
        <w:spacing w:line="360" w:lineRule="auto"/>
        <w:jc w:val="both"/>
      </w:pPr>
      <w:r w:rsidRPr="00E674F7">
        <w:lastRenderedPageBreak/>
        <w:t>130. Dermal head covering, macromeric/shield: (0) head and anterior trunk continuous; (1) head and anterior trunk decoupled.</w:t>
      </w:r>
    </w:p>
    <w:p w14:paraId="652044B7" w14:textId="77777777" w:rsidR="009E10A5" w:rsidRPr="00E674F7" w:rsidRDefault="009E10A5" w:rsidP="009E10A5">
      <w:pPr>
        <w:spacing w:line="360" w:lineRule="auto"/>
        <w:jc w:val="both"/>
      </w:pPr>
      <w:r w:rsidRPr="00E674F7">
        <w:t>131. Endoskeletal contribution to dermal head covering: (0) absent; (1) present.</w:t>
      </w:r>
    </w:p>
    <w:p w14:paraId="21F904F6" w14:textId="77777777" w:rsidR="009E10A5" w:rsidRPr="00E674F7" w:rsidRDefault="009E10A5" w:rsidP="009E10A5">
      <w:pPr>
        <w:spacing w:line="360" w:lineRule="auto"/>
        <w:jc w:val="both"/>
      </w:pPr>
      <w:r w:rsidRPr="00E674F7">
        <w:t>132. Mineralized exoskeletal circumocular elements: (0) absent; (1) present.</w:t>
      </w:r>
    </w:p>
    <w:p w14:paraId="69401B18" w14:textId="77777777" w:rsidR="009E10A5" w:rsidRPr="00E674F7" w:rsidRDefault="009E10A5" w:rsidP="009E10A5">
      <w:pPr>
        <w:spacing w:line="360" w:lineRule="auto"/>
        <w:jc w:val="both"/>
      </w:pPr>
      <w:r w:rsidRPr="00E674F7">
        <w:t>133. Mineralized endoskeletal circumocular elements (sclerotic elements): (0) absent; (1) present.</w:t>
      </w:r>
    </w:p>
    <w:p w14:paraId="5B5C5DBB" w14:textId="77777777" w:rsidR="009E10A5" w:rsidRPr="00E674F7" w:rsidRDefault="009E10A5" w:rsidP="009E10A5">
      <w:pPr>
        <w:spacing w:line="360" w:lineRule="auto"/>
        <w:jc w:val="both"/>
      </w:pPr>
      <w:r w:rsidRPr="00E674F7">
        <w:t>134. Sclerotic endoskeleton: (0) isolated circumocular elements; (1) eye capsule or stalk.</w:t>
      </w:r>
    </w:p>
    <w:p w14:paraId="0184AC00" w14:textId="77777777" w:rsidR="009E10A5" w:rsidRPr="00E674F7" w:rsidRDefault="009E10A5" w:rsidP="009E10A5">
      <w:pPr>
        <w:spacing w:line="360" w:lineRule="auto"/>
        <w:jc w:val="both"/>
      </w:pPr>
      <w:r w:rsidRPr="00E674F7">
        <w:t>135. Fusion of visceral arches to the neurocranium: (0) absent; (1) present.</w:t>
      </w:r>
    </w:p>
    <w:p w14:paraId="59C7200A" w14:textId="77777777" w:rsidR="009E10A5" w:rsidRPr="00E674F7" w:rsidRDefault="009E10A5" w:rsidP="009E10A5">
      <w:pPr>
        <w:spacing w:line="360" w:lineRule="auto"/>
        <w:jc w:val="both"/>
      </w:pPr>
      <w:r w:rsidRPr="00E674F7">
        <w:t>136. Denticulate/cuspidate elements of feeding apparatus, perioral: (0) absent; (1) present.</w:t>
      </w:r>
    </w:p>
    <w:p w14:paraId="472507A2" w14:textId="77777777" w:rsidR="009E10A5" w:rsidRPr="00E674F7" w:rsidRDefault="009E10A5" w:rsidP="009E10A5">
      <w:pPr>
        <w:spacing w:line="360" w:lineRule="auto"/>
        <w:jc w:val="both"/>
      </w:pPr>
      <w:r w:rsidRPr="00E674F7">
        <w:rPr>
          <w:i/>
        </w:rPr>
        <w:t>Revision</w:t>
      </w:r>
      <w:r w:rsidRPr="00E674F7">
        <w:t xml:space="preserve">: </w:t>
      </w:r>
      <w:r w:rsidRPr="00E674F7">
        <w:rPr>
          <w:i/>
        </w:rPr>
        <w:t>Mesomyzon</w:t>
      </w:r>
      <w:r w:rsidRPr="00E674F7">
        <w:t xml:space="preserve"> was code present according to ref.</w:t>
      </w:r>
      <w:r w:rsidRPr="00185137">
        <w:rPr>
          <w:vertAlign w:val="superscript"/>
        </w:rPr>
        <w:t>8</w:t>
      </w:r>
      <w:r w:rsidRPr="00E674F7">
        <w:t>;</w:t>
      </w:r>
    </w:p>
    <w:p w14:paraId="72A2BBA6" w14:textId="77777777" w:rsidR="009E10A5" w:rsidRPr="00E674F7" w:rsidRDefault="009E10A5" w:rsidP="009E10A5">
      <w:pPr>
        <w:spacing w:line="360" w:lineRule="auto"/>
        <w:jc w:val="both"/>
      </w:pPr>
      <w:r w:rsidRPr="00E674F7">
        <w:t xml:space="preserve">137. Perioral feeding elements: (0) continuous epidermal covering; (1) discontinuous arrangement. </w:t>
      </w:r>
    </w:p>
    <w:p w14:paraId="6805BB6D" w14:textId="77777777" w:rsidR="009E10A5" w:rsidRPr="00E674F7" w:rsidRDefault="009E10A5" w:rsidP="009E10A5">
      <w:pPr>
        <w:spacing w:line="360" w:lineRule="auto"/>
        <w:jc w:val="both"/>
      </w:pPr>
      <w:r w:rsidRPr="00E674F7">
        <w:rPr>
          <w:i/>
        </w:rPr>
        <w:t>Revision</w:t>
      </w:r>
      <w:r w:rsidRPr="00E674F7">
        <w:t xml:space="preserve">: </w:t>
      </w:r>
      <w:r w:rsidRPr="00E674F7">
        <w:rPr>
          <w:i/>
        </w:rPr>
        <w:t>Mesomyzon</w:t>
      </w:r>
      <w:r w:rsidRPr="00E674F7">
        <w:t xml:space="preserve"> was coded as having discontinuous arrangement according to ref.</w:t>
      </w:r>
      <w:r w:rsidRPr="0026706F">
        <w:rPr>
          <w:vertAlign w:val="superscript"/>
        </w:rPr>
        <w:t>8</w:t>
      </w:r>
      <w:r w:rsidRPr="00E674F7">
        <w:t>.</w:t>
      </w:r>
    </w:p>
    <w:p w14:paraId="3EF422A2" w14:textId="77777777" w:rsidR="009E10A5" w:rsidRPr="00E674F7" w:rsidRDefault="009E10A5" w:rsidP="009E10A5">
      <w:pPr>
        <w:spacing w:line="360" w:lineRule="auto"/>
        <w:jc w:val="both"/>
      </w:pPr>
      <w:r w:rsidRPr="00E674F7">
        <w:t>138. Denticulate/cuspidate elements of feeding apparatus, housed within or around buccal cavity: (0) absent; (1) present.</w:t>
      </w:r>
    </w:p>
    <w:p w14:paraId="36E1791E" w14:textId="77777777" w:rsidR="009E10A5" w:rsidRPr="00E674F7" w:rsidRDefault="009E10A5" w:rsidP="009E10A5">
      <w:pPr>
        <w:spacing w:line="360" w:lineRule="auto"/>
        <w:jc w:val="both"/>
      </w:pPr>
      <w:r w:rsidRPr="00E674F7">
        <w:t>139. Longitudinally aligned tooth rows providing transverse bite: (0) absent; (1) present.</w:t>
      </w:r>
    </w:p>
    <w:p w14:paraId="02F04CB1" w14:textId="77777777" w:rsidR="009E10A5" w:rsidRPr="00E674F7" w:rsidRDefault="009E10A5" w:rsidP="009E10A5">
      <w:pPr>
        <w:spacing w:line="360" w:lineRule="auto"/>
        <w:jc w:val="both"/>
      </w:pPr>
      <w:r w:rsidRPr="00E674F7">
        <w:rPr>
          <w:i/>
        </w:rPr>
        <w:t>Revision</w:t>
      </w:r>
      <w:r w:rsidRPr="00E674F7">
        <w:t>: We herein coded lampreys, both fossil and living, as absent (0).</w:t>
      </w:r>
    </w:p>
    <w:p w14:paraId="57BADF24" w14:textId="77777777" w:rsidR="009E10A5" w:rsidRPr="00E674F7" w:rsidRDefault="009E10A5" w:rsidP="009E10A5">
      <w:pPr>
        <w:spacing w:line="360" w:lineRule="auto"/>
        <w:jc w:val="both"/>
      </w:pPr>
      <w:r w:rsidRPr="00E674F7">
        <w:t xml:space="preserve">140. Perioral/buccal feeding structure consisting of keratin: (0) absent; (1) present </w:t>
      </w:r>
    </w:p>
    <w:p w14:paraId="370F54CD" w14:textId="77777777" w:rsidR="009E10A5" w:rsidRPr="00E674F7" w:rsidRDefault="009E10A5" w:rsidP="009E10A5">
      <w:pPr>
        <w:spacing w:line="360" w:lineRule="auto"/>
        <w:jc w:val="both"/>
      </w:pPr>
      <w:r w:rsidRPr="00E674F7">
        <w:t>141. Feeding apparatus forming a pulley-like system of cartilages and protractor-retractor complex in mandibular arch: (0) absent; (1) present.</w:t>
      </w:r>
    </w:p>
    <w:p w14:paraId="62351C74" w14:textId="77777777" w:rsidR="009E10A5" w:rsidRPr="00E674F7" w:rsidRDefault="009E10A5" w:rsidP="009E10A5">
      <w:pPr>
        <w:spacing w:line="360" w:lineRule="auto"/>
        <w:jc w:val="both"/>
      </w:pPr>
      <w:r w:rsidRPr="00E674F7">
        <w:rPr>
          <w:i/>
        </w:rPr>
        <w:t>Revision</w:t>
      </w:r>
      <w:r w:rsidRPr="00E674F7">
        <w:t xml:space="preserve">: </w:t>
      </w:r>
      <w:r w:rsidRPr="00E674F7">
        <w:rPr>
          <w:i/>
        </w:rPr>
        <w:t>Mesomyzon</w:t>
      </w:r>
      <w:r w:rsidRPr="00E674F7">
        <w:t xml:space="preserve"> was coded present as </w:t>
      </w:r>
      <w:r w:rsidRPr="00E674F7">
        <w:rPr>
          <w:i/>
        </w:rPr>
        <w:t>Priscomyzon</w:t>
      </w:r>
      <w:r w:rsidRPr="00E674F7">
        <w:t xml:space="preserve"> and </w:t>
      </w:r>
      <w:r w:rsidRPr="00E674F7">
        <w:rPr>
          <w:i/>
        </w:rPr>
        <w:t>Mayomyzon</w:t>
      </w:r>
      <w:r w:rsidRPr="00E674F7">
        <w:t>;</w:t>
      </w:r>
    </w:p>
    <w:p w14:paraId="2A918222" w14:textId="77777777" w:rsidR="009E10A5" w:rsidRPr="00E674F7" w:rsidRDefault="009E10A5" w:rsidP="009E10A5">
      <w:pPr>
        <w:spacing w:line="360" w:lineRule="auto"/>
        <w:jc w:val="both"/>
      </w:pPr>
      <w:r w:rsidRPr="00E674F7">
        <w:t>142. Jaws (dorsoventral bite): (0) absent; (1) present.</w:t>
      </w:r>
    </w:p>
    <w:p w14:paraId="2B3A0CB9" w14:textId="77777777" w:rsidR="009E10A5" w:rsidRPr="00E674F7" w:rsidRDefault="009E10A5" w:rsidP="009E10A5">
      <w:pPr>
        <w:spacing w:line="360" w:lineRule="auto"/>
        <w:jc w:val="both"/>
      </w:pPr>
      <w:r w:rsidRPr="00E674F7">
        <w:t>143. Keratinous tooth plate, anterior element, number of fused cusps: (0) two; (1) three.</w:t>
      </w:r>
    </w:p>
    <w:p w14:paraId="6D06DBC9" w14:textId="77777777" w:rsidR="009E10A5" w:rsidRPr="00E674F7" w:rsidRDefault="009E10A5" w:rsidP="009E10A5">
      <w:pPr>
        <w:spacing w:line="360" w:lineRule="auto"/>
        <w:jc w:val="both"/>
      </w:pPr>
      <w:r w:rsidRPr="00E674F7">
        <w:t>144. Radial organization of circumoral structures: (0) absent; (1) present.</w:t>
      </w:r>
    </w:p>
    <w:p w14:paraId="3B2AB245" w14:textId="77777777" w:rsidR="009E10A5" w:rsidRPr="00E674F7" w:rsidRDefault="009E10A5" w:rsidP="009E10A5">
      <w:pPr>
        <w:spacing w:line="360" w:lineRule="auto"/>
        <w:jc w:val="both"/>
      </w:pPr>
      <w:r w:rsidRPr="00E674F7">
        <w:rPr>
          <w:i/>
        </w:rPr>
        <w:t>Revision</w:t>
      </w:r>
      <w:r w:rsidRPr="00E674F7">
        <w:t>:</w:t>
      </w:r>
      <w:r w:rsidRPr="00E674F7">
        <w:rPr>
          <w:i/>
        </w:rPr>
        <w:t xml:space="preserve"> Mesomyzon</w:t>
      </w:r>
      <w:r w:rsidRPr="00E674F7">
        <w:t xml:space="preserve">, </w:t>
      </w:r>
      <w:r w:rsidRPr="00E674F7">
        <w:rPr>
          <w:i/>
        </w:rPr>
        <w:t>Mayomyzon</w:t>
      </w:r>
      <w:r w:rsidRPr="00E674F7">
        <w:t xml:space="preserve"> were coded as present as in </w:t>
      </w:r>
      <w:r w:rsidRPr="00E674F7">
        <w:rPr>
          <w:i/>
        </w:rPr>
        <w:t>Priscomyzon</w:t>
      </w:r>
      <w:r w:rsidRPr="00E674F7">
        <w:t xml:space="preserve">; </w:t>
      </w:r>
      <w:r w:rsidRPr="00E674F7">
        <w:rPr>
          <w:i/>
        </w:rPr>
        <w:t>Myxineidus</w:t>
      </w:r>
      <w:r w:rsidRPr="00E674F7">
        <w:t xml:space="preserve"> was coded as absent according to refs.</w:t>
      </w:r>
      <w:r w:rsidRPr="0026706F">
        <w:rPr>
          <w:vertAlign w:val="superscript"/>
        </w:rPr>
        <w:t>2,51</w:t>
      </w:r>
      <w:r w:rsidRPr="00E674F7">
        <w:t>.</w:t>
      </w:r>
    </w:p>
    <w:p w14:paraId="7005CB78" w14:textId="77777777" w:rsidR="009E10A5" w:rsidRPr="00E674F7" w:rsidRDefault="009E10A5" w:rsidP="009E10A5">
      <w:pPr>
        <w:spacing w:line="360" w:lineRule="auto"/>
        <w:jc w:val="both"/>
      </w:pPr>
      <w:r w:rsidRPr="00E674F7">
        <w:lastRenderedPageBreak/>
        <w:t>145. Circumoral keratinous teeth, number of tooth rows in lateral field: (0) two to four; (1) five or greater (new character); (2) one row lateral row; (3) plate linking lateral teeth.</w:t>
      </w:r>
    </w:p>
    <w:p w14:paraId="295BA299" w14:textId="77777777" w:rsidR="009E10A5" w:rsidRPr="00E674F7" w:rsidRDefault="009E10A5" w:rsidP="009E10A5">
      <w:pPr>
        <w:spacing w:line="360" w:lineRule="auto"/>
        <w:jc w:val="both"/>
      </w:pPr>
      <w:r w:rsidRPr="00E674F7">
        <w:t>146. Cartilaginous trematic rings: (0) absent; (1) present.</w:t>
      </w:r>
    </w:p>
    <w:p w14:paraId="3B797F8E" w14:textId="77777777" w:rsidR="009E10A5" w:rsidRPr="00E674F7" w:rsidRDefault="009E10A5" w:rsidP="009E10A5">
      <w:pPr>
        <w:spacing w:line="360" w:lineRule="auto"/>
        <w:jc w:val="both"/>
      </w:pPr>
      <w:r w:rsidRPr="00E674F7">
        <w:rPr>
          <w:i/>
        </w:rPr>
        <w:t>Revision</w:t>
      </w:r>
      <w:r w:rsidRPr="00E674F7">
        <w:t xml:space="preserve">: </w:t>
      </w:r>
      <w:r w:rsidRPr="00E674F7">
        <w:rPr>
          <w:i/>
        </w:rPr>
        <w:t>Priscomyzon</w:t>
      </w:r>
      <w:r w:rsidRPr="00E674F7">
        <w:t xml:space="preserve"> and </w:t>
      </w:r>
      <w:r w:rsidRPr="00E674F7">
        <w:rPr>
          <w:i/>
        </w:rPr>
        <w:t>Mesomyzon</w:t>
      </w:r>
      <w:r w:rsidRPr="00E674F7">
        <w:t xml:space="preserve"> were coded present.</w:t>
      </w:r>
    </w:p>
    <w:p w14:paraId="3F1F385D" w14:textId="77777777" w:rsidR="009E10A5" w:rsidRPr="00E674F7" w:rsidRDefault="009E10A5" w:rsidP="009E10A5">
      <w:pPr>
        <w:spacing w:line="360" w:lineRule="auto"/>
        <w:jc w:val="both"/>
      </w:pPr>
      <w:r w:rsidRPr="00E674F7">
        <w:t>147. Axial skeletal condensations derived from sclerotomes: (0) absent; (1) present.</w:t>
      </w:r>
    </w:p>
    <w:p w14:paraId="2BC21018" w14:textId="77777777" w:rsidR="009E10A5" w:rsidRPr="00E674F7" w:rsidRDefault="009E10A5" w:rsidP="009E10A5">
      <w:pPr>
        <w:spacing w:line="360" w:lineRule="auto"/>
        <w:jc w:val="both"/>
      </w:pPr>
      <w:r w:rsidRPr="00E674F7">
        <w:t>148. Axial skeletons around dorsal nerve cord (=neural arches): (0) absent; (1) present.</w:t>
      </w:r>
    </w:p>
    <w:p w14:paraId="4EF0270F" w14:textId="77777777" w:rsidR="009E10A5" w:rsidRPr="00E674F7" w:rsidRDefault="009E10A5" w:rsidP="009E10A5">
      <w:pPr>
        <w:spacing w:line="360" w:lineRule="auto"/>
        <w:jc w:val="both"/>
      </w:pPr>
      <w:r w:rsidRPr="00E674F7">
        <w:t>149. Axial skeletons around notochord (=centra): (0) absent; (1) present.</w:t>
      </w:r>
    </w:p>
    <w:p w14:paraId="6E174915" w14:textId="77777777" w:rsidR="009E10A5" w:rsidRPr="00E674F7" w:rsidRDefault="009E10A5" w:rsidP="009E10A5">
      <w:pPr>
        <w:spacing w:line="360" w:lineRule="auto"/>
        <w:jc w:val="both"/>
      </w:pPr>
      <w:r w:rsidRPr="00E674F7">
        <w:t>150. Axial skeletons around dorsal aorta (=haemal arches): (0) absent; (1) present.</w:t>
      </w:r>
    </w:p>
    <w:p w14:paraId="0E5B9448" w14:textId="77777777" w:rsidR="009E10A5" w:rsidRPr="00E674F7" w:rsidRDefault="009E10A5" w:rsidP="009E10A5">
      <w:pPr>
        <w:spacing w:line="360" w:lineRule="auto"/>
        <w:jc w:val="both"/>
      </w:pPr>
      <w:r w:rsidRPr="00E674F7">
        <w:t>151. Parachordal cartilages: (0) absent; (1) present.</w:t>
      </w:r>
    </w:p>
    <w:p w14:paraId="6A544620" w14:textId="77777777" w:rsidR="009E10A5" w:rsidRPr="00E674F7" w:rsidRDefault="009E10A5" w:rsidP="009E10A5">
      <w:pPr>
        <w:spacing w:line="360" w:lineRule="auto"/>
        <w:jc w:val="both"/>
      </w:pPr>
      <w:r w:rsidRPr="00E674F7">
        <w:rPr>
          <w:i/>
        </w:rPr>
        <w:t>Revision</w:t>
      </w:r>
      <w:r w:rsidRPr="00E674F7">
        <w:t xml:space="preserve">: </w:t>
      </w:r>
      <w:r w:rsidRPr="00E674F7">
        <w:rPr>
          <w:i/>
        </w:rPr>
        <w:t>Mesomyzon</w:t>
      </w:r>
      <w:r w:rsidRPr="00E674F7">
        <w:t xml:space="preserve"> herein was coded as present</w:t>
      </w:r>
      <w:r w:rsidRPr="000D3350">
        <w:rPr>
          <w:vertAlign w:val="superscript"/>
        </w:rPr>
        <w:t>8</w:t>
      </w:r>
      <w:r w:rsidRPr="00E674F7">
        <w:t xml:space="preserve">, sharing the state of </w:t>
      </w:r>
      <w:r w:rsidRPr="00E674F7">
        <w:rPr>
          <w:i/>
        </w:rPr>
        <w:t>Priscomyzon</w:t>
      </w:r>
      <w:r w:rsidRPr="00E674F7">
        <w:t xml:space="preserve">, </w:t>
      </w:r>
      <w:r w:rsidRPr="00E674F7">
        <w:rPr>
          <w:i/>
        </w:rPr>
        <w:t>Mayomyzon</w:t>
      </w:r>
      <w:r w:rsidRPr="000D3350">
        <w:rPr>
          <w:iCs/>
          <w:vertAlign w:val="superscript"/>
        </w:rPr>
        <w:t>2,15,23</w:t>
      </w:r>
      <w:r w:rsidRPr="00E674F7">
        <w:t>.</w:t>
      </w:r>
    </w:p>
    <w:p w14:paraId="3E132DC4" w14:textId="77777777" w:rsidR="009E10A5" w:rsidRPr="00E674F7" w:rsidRDefault="009E10A5" w:rsidP="009E10A5">
      <w:pPr>
        <w:spacing w:line="360" w:lineRule="auto"/>
        <w:jc w:val="both"/>
      </w:pPr>
      <w:r w:rsidRPr="00E674F7">
        <w:t>152. Braincase with lateral walls: (0) absent; (1) present.</w:t>
      </w:r>
    </w:p>
    <w:p w14:paraId="00CF8083" w14:textId="77777777" w:rsidR="009E10A5" w:rsidRPr="00E674F7" w:rsidRDefault="009E10A5" w:rsidP="009E10A5">
      <w:pPr>
        <w:spacing w:line="360" w:lineRule="auto"/>
        <w:jc w:val="both"/>
      </w:pPr>
      <w:r w:rsidRPr="00E674F7">
        <w:t>153. Occiput enclosing vagus and glossopharyngeal nerves: (0) absent; (1) present.</w:t>
      </w:r>
    </w:p>
    <w:p w14:paraId="3381DFEE" w14:textId="77777777" w:rsidR="009E10A5" w:rsidRPr="00E674F7" w:rsidRDefault="009E10A5" w:rsidP="009E10A5">
      <w:pPr>
        <w:spacing w:line="360" w:lineRule="auto"/>
        <w:jc w:val="both"/>
      </w:pPr>
      <w:r w:rsidRPr="00E674F7">
        <w:t>154. Annular cartilage: (0) absent; (1) present.</w:t>
      </w:r>
    </w:p>
    <w:p w14:paraId="18788C19" w14:textId="77777777" w:rsidR="009E10A5" w:rsidRPr="00E674F7" w:rsidRDefault="009E10A5" w:rsidP="009E10A5">
      <w:pPr>
        <w:spacing w:line="360" w:lineRule="auto"/>
        <w:jc w:val="both"/>
      </w:pPr>
      <w:r w:rsidRPr="00E674F7">
        <w:rPr>
          <w:i/>
        </w:rPr>
        <w:t>Revision</w:t>
      </w:r>
      <w:r w:rsidRPr="00E674F7">
        <w:t>:</w:t>
      </w:r>
      <w:r w:rsidRPr="00E674F7">
        <w:rPr>
          <w:i/>
        </w:rPr>
        <w:t xml:space="preserve"> Mesomyzon</w:t>
      </w:r>
      <w:r w:rsidRPr="00E674F7">
        <w:t xml:space="preserve"> was coded present according to ref.</w:t>
      </w:r>
      <w:r w:rsidRPr="00714F94">
        <w:rPr>
          <w:vertAlign w:val="superscript"/>
        </w:rPr>
        <w:t>8</w:t>
      </w:r>
      <w:r w:rsidRPr="00E674F7">
        <w:t xml:space="preserve">; </w:t>
      </w:r>
      <w:r w:rsidRPr="00E674F7">
        <w:rPr>
          <w:i/>
        </w:rPr>
        <w:t>Myxineidus</w:t>
      </w:r>
      <w:r w:rsidRPr="00E674F7">
        <w:t xml:space="preserve"> was coded absent according to the teeth arrangement referred in refs.</w:t>
      </w:r>
      <w:r w:rsidRPr="00714F94">
        <w:rPr>
          <w:vertAlign w:val="superscript"/>
        </w:rPr>
        <w:t>2,51</w:t>
      </w:r>
      <w:r w:rsidRPr="00E674F7">
        <w:t>.</w:t>
      </w:r>
    </w:p>
    <w:p w14:paraId="63A369DE" w14:textId="77777777" w:rsidR="009E10A5" w:rsidRPr="00E674F7" w:rsidRDefault="009E10A5" w:rsidP="009E10A5">
      <w:pPr>
        <w:spacing w:line="360" w:lineRule="auto"/>
        <w:jc w:val="both"/>
      </w:pPr>
      <w:r w:rsidRPr="00E674F7">
        <w:t>155. Large oral disc: (0) absent; (1) present.</w:t>
      </w:r>
    </w:p>
    <w:p w14:paraId="0F21567C" w14:textId="77777777" w:rsidR="009E10A5" w:rsidRPr="00E674F7" w:rsidRDefault="009E10A5" w:rsidP="009E10A5">
      <w:pPr>
        <w:spacing w:line="360" w:lineRule="auto"/>
        <w:jc w:val="both"/>
      </w:pPr>
      <w:r w:rsidRPr="00E674F7">
        <w:rPr>
          <w:i/>
        </w:rPr>
        <w:t>Revision</w:t>
      </w:r>
      <w:r w:rsidRPr="00E674F7">
        <w:t xml:space="preserve">: </w:t>
      </w:r>
      <w:r w:rsidRPr="00E674F7">
        <w:rPr>
          <w:i/>
        </w:rPr>
        <w:t>Myxineidus</w:t>
      </w:r>
      <w:r w:rsidRPr="00E674F7">
        <w:t xml:space="preserve"> was coded as absent, whereas it was coded as present in ref.</w:t>
      </w:r>
      <w:r w:rsidRPr="00714F94">
        <w:rPr>
          <w:vertAlign w:val="superscript"/>
        </w:rPr>
        <w:t>51</w:t>
      </w:r>
      <w:r w:rsidRPr="00E674F7">
        <w:t xml:space="preserve">. </w:t>
      </w:r>
    </w:p>
    <w:p w14:paraId="0CFF9357" w14:textId="77777777" w:rsidR="009E10A5" w:rsidRPr="00E674F7" w:rsidRDefault="009E10A5" w:rsidP="009E10A5">
      <w:pPr>
        <w:spacing w:line="360" w:lineRule="auto"/>
        <w:jc w:val="both"/>
      </w:pPr>
      <w:r w:rsidRPr="00E674F7">
        <w:t>156. Barbels supported by cartilages: (0) absent; (1) present.</w:t>
      </w:r>
    </w:p>
    <w:p w14:paraId="43C41E3D" w14:textId="77777777" w:rsidR="009E10A5" w:rsidRPr="00E674F7" w:rsidRDefault="009E10A5" w:rsidP="009E10A5">
      <w:pPr>
        <w:spacing w:line="360" w:lineRule="auto"/>
        <w:jc w:val="both"/>
      </w:pPr>
      <w:r w:rsidRPr="00E674F7">
        <w:rPr>
          <w:i/>
        </w:rPr>
        <w:t>Revision</w:t>
      </w:r>
      <w:r w:rsidRPr="00E674F7">
        <w:t xml:space="preserve">: </w:t>
      </w:r>
      <w:r w:rsidRPr="00E674F7">
        <w:rPr>
          <w:i/>
        </w:rPr>
        <w:t>Myxineidus</w:t>
      </w:r>
      <w:r w:rsidRPr="00E674F7">
        <w:t xml:space="preserve"> was coded as absent. </w:t>
      </w:r>
    </w:p>
    <w:p w14:paraId="55C8D563" w14:textId="77777777" w:rsidR="009E10A5" w:rsidRPr="00E674F7" w:rsidRDefault="009E10A5" w:rsidP="009E10A5">
      <w:pPr>
        <w:spacing w:line="360" w:lineRule="auto"/>
        <w:jc w:val="both"/>
      </w:pPr>
      <w:r w:rsidRPr="00E674F7">
        <w:t>157. Forked subnasal cartilage: (0) absent; (1) present.</w:t>
      </w:r>
    </w:p>
    <w:p w14:paraId="14AF1EE5" w14:textId="77777777" w:rsidR="009E10A5" w:rsidRPr="00E674F7" w:rsidRDefault="009E10A5" w:rsidP="009E10A5">
      <w:pPr>
        <w:spacing w:line="360" w:lineRule="auto"/>
        <w:jc w:val="both"/>
      </w:pPr>
      <w:r w:rsidRPr="00E674F7">
        <w:t>158. Tectal cartilages: (0) absent; (1) present.</w:t>
      </w:r>
    </w:p>
    <w:p w14:paraId="1D40E832" w14:textId="77777777" w:rsidR="009E10A5" w:rsidRPr="00E674F7" w:rsidRDefault="009E10A5" w:rsidP="009E10A5">
      <w:pPr>
        <w:spacing w:line="360" w:lineRule="auto"/>
        <w:jc w:val="both"/>
      </w:pPr>
      <w:r w:rsidRPr="00E674F7">
        <w:t>159. Male gametes shed directly through the coelom: (0) absent; (1) present.</w:t>
      </w:r>
    </w:p>
    <w:p w14:paraId="5E18980F" w14:textId="77777777" w:rsidR="009E10A5" w:rsidRPr="00E674F7" w:rsidRDefault="009E10A5" w:rsidP="009E10A5">
      <w:pPr>
        <w:spacing w:line="360" w:lineRule="auto"/>
        <w:jc w:val="both"/>
      </w:pPr>
      <w:r w:rsidRPr="00E674F7">
        <w:t>160. Postotic myomeres migrate anteriorly to the position of eye: (0) absent; (1) present absent.</w:t>
      </w:r>
    </w:p>
    <w:p w14:paraId="708E65BE" w14:textId="77777777" w:rsidR="009E10A5" w:rsidRPr="00E674F7" w:rsidRDefault="009E10A5" w:rsidP="009E10A5">
      <w:pPr>
        <w:spacing w:line="360" w:lineRule="auto"/>
        <w:jc w:val="both"/>
      </w:pPr>
      <w:r w:rsidRPr="00E674F7">
        <w:t>161. Inflected myomeres: (0) Z-shaped; (1) W-shaped.</w:t>
      </w:r>
    </w:p>
    <w:p w14:paraId="21E21240" w14:textId="77777777" w:rsidR="009E10A5" w:rsidRPr="00E674F7" w:rsidRDefault="009E10A5" w:rsidP="009E10A5">
      <w:pPr>
        <w:spacing w:line="360" w:lineRule="auto"/>
        <w:jc w:val="both"/>
      </w:pPr>
      <w:r w:rsidRPr="00E674F7">
        <w:rPr>
          <w:i/>
        </w:rPr>
        <w:t>Revision</w:t>
      </w:r>
      <w:r w:rsidRPr="00E674F7">
        <w:t xml:space="preserve">: </w:t>
      </w:r>
      <w:r w:rsidRPr="00E674F7">
        <w:rPr>
          <w:i/>
        </w:rPr>
        <w:t>Mesomyzon</w:t>
      </w:r>
      <w:r w:rsidRPr="00E674F7">
        <w:t xml:space="preserve"> was coded as Z-shaped rather than W-shaped according to ref.</w:t>
      </w:r>
      <w:r w:rsidRPr="008F5504">
        <w:rPr>
          <w:vertAlign w:val="superscript"/>
        </w:rPr>
        <w:t>8</w:t>
      </w:r>
      <w:r w:rsidRPr="00E674F7">
        <w:t>; the</w:t>
      </w:r>
      <w:r w:rsidRPr="00E674F7">
        <w:rPr>
          <w:i/>
        </w:rPr>
        <w:t xml:space="preserve"> </w:t>
      </w:r>
      <w:r w:rsidRPr="00E674F7">
        <w:t xml:space="preserve">myomere condition in </w:t>
      </w:r>
      <w:r w:rsidRPr="00E674F7">
        <w:rPr>
          <w:i/>
        </w:rPr>
        <w:t>Mayomyzon</w:t>
      </w:r>
      <w:r w:rsidRPr="00E674F7">
        <w:t xml:space="preserve"> is uncertain.</w:t>
      </w:r>
    </w:p>
    <w:p w14:paraId="78E2EE33" w14:textId="77777777" w:rsidR="009E10A5" w:rsidRPr="00E674F7" w:rsidRDefault="009E10A5" w:rsidP="009E10A5">
      <w:pPr>
        <w:spacing w:line="360" w:lineRule="auto"/>
        <w:jc w:val="both"/>
      </w:pPr>
      <w:r w:rsidRPr="00E674F7">
        <w:lastRenderedPageBreak/>
        <w:t>162. Digestive tract in relation to branchial region: (0) follows pharynx; (1) passes (or loops) over branchial apparatus.</w:t>
      </w:r>
    </w:p>
    <w:p w14:paraId="34D90946" w14:textId="77777777" w:rsidR="009E10A5" w:rsidRPr="00E674F7" w:rsidRDefault="009E10A5" w:rsidP="009E10A5">
      <w:pPr>
        <w:spacing w:line="360" w:lineRule="auto"/>
        <w:jc w:val="both"/>
      </w:pPr>
      <w:r w:rsidRPr="00E674F7">
        <w:rPr>
          <w:i/>
        </w:rPr>
        <w:t>Revisions</w:t>
      </w:r>
      <w:r w:rsidRPr="00E674F7">
        <w:t xml:space="preserve">: </w:t>
      </w:r>
      <w:r w:rsidRPr="00E674F7">
        <w:rPr>
          <w:i/>
        </w:rPr>
        <w:t>Mesomyzon</w:t>
      </w:r>
      <w:r w:rsidRPr="00E674F7">
        <w:t xml:space="preserve"> was coded passing over the branchial region according to ref.</w:t>
      </w:r>
      <w:r w:rsidRPr="0057682B">
        <w:rPr>
          <w:vertAlign w:val="superscript"/>
        </w:rPr>
        <w:t>8</w:t>
      </w:r>
      <w:r w:rsidRPr="00E674F7">
        <w:t xml:space="preserve">; </w:t>
      </w:r>
      <w:r w:rsidRPr="00E674F7">
        <w:rPr>
          <w:i/>
        </w:rPr>
        <w:t>Mayomyzon</w:t>
      </w:r>
      <w:r w:rsidRPr="00E674F7">
        <w:t xml:space="preserve"> was coded passing over branchial region according to refs.</w:t>
      </w:r>
      <w:r w:rsidRPr="0057682B">
        <w:rPr>
          <w:vertAlign w:val="superscript"/>
        </w:rPr>
        <w:t>15,23</w:t>
      </w:r>
      <w:r w:rsidRPr="00E674F7">
        <w:t xml:space="preserve">; </w:t>
      </w:r>
      <w:r w:rsidRPr="00E674F7">
        <w:rPr>
          <w:i/>
        </w:rPr>
        <w:t>Hardistiella</w:t>
      </w:r>
      <w:r w:rsidRPr="00E674F7">
        <w:t xml:space="preserve"> was coded so according to ref.</w:t>
      </w:r>
      <w:r w:rsidRPr="0057682B">
        <w:rPr>
          <w:vertAlign w:val="superscript"/>
        </w:rPr>
        <w:t>17</w:t>
      </w:r>
      <w:r w:rsidRPr="00E674F7">
        <w:t xml:space="preserve">; </w:t>
      </w:r>
      <w:r w:rsidRPr="00E674F7">
        <w:rPr>
          <w:i/>
        </w:rPr>
        <w:t>Priscomyzon</w:t>
      </w:r>
      <w:r w:rsidRPr="00E674F7">
        <w:t xml:space="preserve"> was coded so according to the degree of the development of its branchial apparatus, suggesting the possible divergence of branchial tube and the esophagus as in living lampreys</w:t>
      </w:r>
      <w:r w:rsidRPr="007677B6">
        <w:rPr>
          <w:vertAlign w:val="superscript"/>
        </w:rPr>
        <w:t>4</w:t>
      </w:r>
      <w:r w:rsidRPr="00E674F7">
        <w:t xml:space="preserve">; </w:t>
      </w:r>
      <w:r w:rsidRPr="00E674F7">
        <w:rPr>
          <w:i/>
        </w:rPr>
        <w:t>Pipiscius</w:t>
      </w:r>
      <w:r w:rsidRPr="00E674F7">
        <w:t xml:space="preserve"> coded as in </w:t>
      </w:r>
      <w:r w:rsidRPr="00E674F7">
        <w:rPr>
          <w:i/>
        </w:rPr>
        <w:t xml:space="preserve">Mayomyzon </w:t>
      </w:r>
      <w:r w:rsidRPr="00E674F7">
        <w:t>according to refs.</w:t>
      </w:r>
      <w:r w:rsidRPr="007677B6">
        <w:rPr>
          <w:vertAlign w:val="superscript"/>
        </w:rPr>
        <w:t>4,16</w:t>
      </w:r>
      <w:r w:rsidRPr="00E674F7">
        <w:t xml:space="preserve">. The digestive tube is arranged in a different pattern in relation to the branchial apparatus and follows the pharynx in hagfishes. </w:t>
      </w:r>
    </w:p>
    <w:p w14:paraId="054587E4" w14:textId="77777777" w:rsidR="009E10A5" w:rsidRPr="00E674F7" w:rsidRDefault="009E10A5" w:rsidP="009E10A5">
      <w:pPr>
        <w:spacing w:line="360" w:lineRule="auto"/>
        <w:jc w:val="both"/>
      </w:pPr>
      <w:r w:rsidRPr="00E674F7">
        <w:t xml:space="preserve">163. Anus, with respect to distribution of mesoderm: (0) terminal or subterminal; (1) non-terminal. </w:t>
      </w:r>
    </w:p>
    <w:p w14:paraId="577AF7EA" w14:textId="77777777" w:rsidR="009E10A5" w:rsidRPr="00E674F7" w:rsidRDefault="009E10A5" w:rsidP="009E10A5">
      <w:pPr>
        <w:spacing w:line="360" w:lineRule="auto"/>
        <w:jc w:val="both"/>
      </w:pPr>
      <w:r w:rsidRPr="00E674F7">
        <w:t xml:space="preserve">164. Globular slime glands: (0) absent; (1) present. </w:t>
      </w:r>
    </w:p>
    <w:p w14:paraId="2385ADCB" w14:textId="77777777" w:rsidR="009E10A5" w:rsidRPr="00E674F7" w:rsidRDefault="009E10A5" w:rsidP="009E10A5">
      <w:pPr>
        <w:spacing w:line="360" w:lineRule="auto"/>
        <w:jc w:val="both"/>
      </w:pPr>
      <w:r w:rsidRPr="00E674F7">
        <w:t xml:space="preserve">165. Number of slime glands: (0) approximately 100 or fewer; (1) substantially greater than 100. </w:t>
      </w:r>
    </w:p>
    <w:p w14:paraId="5A68F9CB" w14:textId="77777777" w:rsidR="009E10A5" w:rsidRPr="00E674F7" w:rsidRDefault="009E10A5" w:rsidP="009E10A5">
      <w:pPr>
        <w:spacing w:line="360" w:lineRule="auto"/>
        <w:jc w:val="both"/>
      </w:pPr>
      <w:r w:rsidRPr="00E674F7">
        <w:t>166. Slime pores: (0) overlap region of external branchial openings; (1) do not overlap region of external branchial openings.</w:t>
      </w:r>
    </w:p>
    <w:p w14:paraId="0843D1AB" w14:textId="77777777" w:rsidR="009E10A5" w:rsidRPr="00E674F7" w:rsidRDefault="009E10A5" w:rsidP="009E10A5">
      <w:pPr>
        <w:spacing w:line="360" w:lineRule="auto"/>
        <w:jc w:val="both"/>
        <w:rPr>
          <w:b/>
          <w:sz w:val="21"/>
          <w:szCs w:val="21"/>
        </w:rPr>
      </w:pPr>
      <w:r w:rsidRPr="00E674F7">
        <w:rPr>
          <w:b/>
          <w:sz w:val="21"/>
          <w:szCs w:val="21"/>
        </w:rPr>
        <w:t xml:space="preserve">Character 168 in ref. </w:t>
      </w:r>
      <w:r w:rsidRPr="005E0758">
        <w:rPr>
          <w:b/>
          <w:sz w:val="21"/>
          <w:szCs w:val="21"/>
          <w:vertAlign w:val="superscript"/>
        </w:rPr>
        <w:t xml:space="preserve">23 </w:t>
      </w:r>
      <w:r w:rsidRPr="00E674F7">
        <w:rPr>
          <w:b/>
          <w:sz w:val="21"/>
          <w:szCs w:val="21"/>
        </w:rPr>
        <w:t>(gular pouch in adult male) was represented by character 189 below.</w:t>
      </w:r>
    </w:p>
    <w:p w14:paraId="2CCF3655" w14:textId="77777777" w:rsidR="009E10A5" w:rsidRPr="00E674F7" w:rsidRDefault="009E10A5" w:rsidP="009E10A5">
      <w:pPr>
        <w:spacing w:line="360" w:lineRule="auto"/>
        <w:jc w:val="both"/>
      </w:pPr>
      <w:r w:rsidRPr="00E674F7">
        <w:t>167. Shape of labial teeth: (0) pointed; (1) rounded; (2) spatulate.</w:t>
      </w:r>
    </w:p>
    <w:p w14:paraId="246430F9" w14:textId="77777777" w:rsidR="009E10A5" w:rsidRPr="00E674F7" w:rsidRDefault="009E10A5" w:rsidP="009E10A5">
      <w:pPr>
        <w:spacing w:line="360" w:lineRule="auto"/>
        <w:jc w:val="both"/>
      </w:pPr>
      <w:r w:rsidRPr="00E674F7">
        <w:t>168. Alate tooth rows: (0) absent; (1) present.</w:t>
      </w:r>
    </w:p>
    <w:p w14:paraId="32B78EFC" w14:textId="77777777" w:rsidR="009E10A5" w:rsidRPr="00E674F7" w:rsidRDefault="009E10A5" w:rsidP="009E10A5">
      <w:pPr>
        <w:spacing w:line="360" w:lineRule="auto"/>
        <w:jc w:val="both"/>
      </w:pPr>
      <w:r w:rsidRPr="00E674F7">
        <w:t>169. Number of lateral circumoral teeth per side: (0) 3; (1) 4; (2) ≥5.</w:t>
      </w:r>
    </w:p>
    <w:p w14:paraId="46F51ACF" w14:textId="77777777" w:rsidR="009E10A5" w:rsidRPr="00E674F7" w:rsidRDefault="009E10A5" w:rsidP="009E10A5">
      <w:pPr>
        <w:spacing w:line="360" w:lineRule="auto"/>
        <w:jc w:val="both"/>
      </w:pPr>
      <w:r w:rsidRPr="00E674F7">
        <w:t>Notes:</w:t>
      </w:r>
      <w:r w:rsidRPr="00E674F7">
        <w:rPr>
          <w:i/>
        </w:rPr>
        <w:t xml:space="preserve"> Mesomyzon</w:t>
      </w:r>
      <w:r w:rsidRPr="00E674F7">
        <w:t xml:space="preserve"> coded as larger than 5 according to ref. </w:t>
      </w:r>
      <w:r w:rsidRPr="00E674F7">
        <w:rPr>
          <w:i/>
          <w:iCs/>
        </w:rPr>
        <w:t>8</w:t>
      </w:r>
      <w:r w:rsidRPr="00E674F7">
        <w:t xml:space="preserve">; </w:t>
      </w:r>
      <w:r w:rsidRPr="00E674F7">
        <w:rPr>
          <w:i/>
        </w:rPr>
        <w:t>Priscomyzon</w:t>
      </w:r>
      <w:r w:rsidRPr="00E674F7">
        <w:t xml:space="preserve"> coded as 4 (state 1) according to ref.</w:t>
      </w:r>
      <w:r w:rsidRPr="0023576D">
        <w:rPr>
          <w:vertAlign w:val="superscript"/>
        </w:rPr>
        <w:t xml:space="preserve">4 </w:t>
      </w:r>
      <w:r w:rsidRPr="00E674F7">
        <w:t>and comparison to living lampreys with this number of lateral circumoral teeth.</w:t>
      </w:r>
    </w:p>
    <w:p w14:paraId="4412590E" w14:textId="77777777" w:rsidR="009E10A5" w:rsidRPr="00E674F7" w:rsidRDefault="009E10A5" w:rsidP="009E10A5">
      <w:pPr>
        <w:spacing w:line="360" w:lineRule="auto"/>
        <w:jc w:val="both"/>
      </w:pPr>
      <w:r w:rsidRPr="00E674F7">
        <w:t>170. Structure of second lateral circumoral tooth: (0) unicuspid; (1) bicuspid; (2) tricuspid; (3) expanded plates bearing 3-5 cusps; (4) absent.</w:t>
      </w:r>
    </w:p>
    <w:p w14:paraId="0EEF5078" w14:textId="77777777" w:rsidR="009E10A5" w:rsidRPr="00E674F7" w:rsidRDefault="009E10A5" w:rsidP="009E10A5">
      <w:pPr>
        <w:spacing w:line="360" w:lineRule="auto"/>
        <w:jc w:val="both"/>
      </w:pPr>
      <w:r w:rsidRPr="00E674F7">
        <w:t xml:space="preserve">171. Structure of supraoral laminale: (0) single bridgeless lamina bearing one or more teeth; (1) Two teeth linked by a bridge; (2) two triangular laminae bearing a tooth at </w:t>
      </w:r>
      <w:r w:rsidRPr="00E674F7">
        <w:lastRenderedPageBreak/>
        <w:t>each apex; (3) two central teeth flanked by lateral flanges; (4) supraoral lamina not developed.</w:t>
      </w:r>
    </w:p>
    <w:p w14:paraId="0DEED208" w14:textId="77777777" w:rsidR="009E10A5" w:rsidRPr="00E674F7" w:rsidRDefault="009E10A5" w:rsidP="009E10A5">
      <w:pPr>
        <w:spacing w:line="360" w:lineRule="auto"/>
        <w:jc w:val="both"/>
      </w:pPr>
      <w:r w:rsidRPr="00E674F7">
        <w:t>172. Structure of infraoral lamina: (0) absent; (1) present and bearing 5 teeth; (2) present and bearing &gt; 5 teeth.</w:t>
      </w:r>
    </w:p>
    <w:p w14:paraId="1DFC267E" w14:textId="77777777" w:rsidR="009E10A5" w:rsidRPr="00E674F7" w:rsidRDefault="009E10A5" w:rsidP="009E10A5">
      <w:pPr>
        <w:spacing w:line="360" w:lineRule="auto"/>
        <w:jc w:val="both"/>
      </w:pPr>
      <w:r w:rsidRPr="00E674F7">
        <w:t>173. Shape of transverse lingual lamina: (0) W-shaped; (1) Straight/almost straight; (2) U-shaped.</w:t>
      </w:r>
    </w:p>
    <w:p w14:paraId="6D5D8258" w14:textId="77777777" w:rsidR="009E10A5" w:rsidRPr="00E674F7" w:rsidRDefault="009E10A5" w:rsidP="009E10A5">
      <w:pPr>
        <w:spacing w:line="360" w:lineRule="auto"/>
        <w:jc w:val="both"/>
      </w:pPr>
      <w:r w:rsidRPr="00E674F7">
        <w:t>174. Arrangement of cusps on transverse lingual lamina: (0) uniform in size; (1) median cusp slightly enlarged; (2) median cusp greatly enlarged; (3) three large cusps only, one median and two lateral ones; (4) median and subterminal cusps slightly enlarge.</w:t>
      </w:r>
    </w:p>
    <w:p w14:paraId="375E4A41" w14:textId="77777777" w:rsidR="009E10A5" w:rsidRPr="00E674F7" w:rsidRDefault="009E10A5" w:rsidP="009E10A5">
      <w:pPr>
        <w:spacing w:line="360" w:lineRule="auto"/>
        <w:jc w:val="both"/>
      </w:pPr>
      <w:r w:rsidRPr="00E674F7">
        <w:t>175. Shape of longitudinal lingual lamina: (0) parenthesis-shaped; (1) hook-shaped; (2) straight.</w:t>
      </w:r>
    </w:p>
    <w:p w14:paraId="375362D3" w14:textId="77777777" w:rsidR="009E10A5" w:rsidRPr="00E674F7" w:rsidRDefault="009E10A5" w:rsidP="009E10A5">
      <w:pPr>
        <w:spacing w:line="360" w:lineRule="auto"/>
        <w:jc w:val="both"/>
      </w:pPr>
      <w:r w:rsidRPr="00E674F7">
        <w:t>176. Length of velar tentacles: (0) short; (1) long.</w:t>
      </w:r>
    </w:p>
    <w:p w14:paraId="15030FDF" w14:textId="77777777" w:rsidR="009E10A5" w:rsidRPr="00E674F7" w:rsidRDefault="009E10A5" w:rsidP="009E10A5">
      <w:pPr>
        <w:spacing w:line="360" w:lineRule="auto"/>
        <w:jc w:val="both"/>
      </w:pPr>
      <w:r w:rsidRPr="00E674F7">
        <w:t>177. Lateralmost velar tentacles folded over onto the dorsal surface of the velar apparatus to form "wings": (0) absent; (1) present.</w:t>
      </w:r>
    </w:p>
    <w:p w14:paraId="3184A1F9" w14:textId="77777777" w:rsidR="009E10A5" w:rsidRPr="00E674F7" w:rsidRDefault="009E10A5" w:rsidP="009E10A5">
      <w:pPr>
        <w:spacing w:line="360" w:lineRule="auto"/>
        <w:jc w:val="both"/>
      </w:pPr>
      <w:r w:rsidRPr="00E674F7">
        <w:t>178. Surface of velar tentacles: (0) smooth;(1) tuberculated or papillose.</w:t>
      </w:r>
    </w:p>
    <w:p w14:paraId="48469DA1" w14:textId="77777777" w:rsidR="009E10A5" w:rsidRPr="00E674F7" w:rsidRDefault="009E10A5" w:rsidP="009E10A5">
      <w:pPr>
        <w:spacing w:line="360" w:lineRule="auto"/>
        <w:jc w:val="both"/>
      </w:pPr>
      <w:r w:rsidRPr="00E674F7">
        <w:t>179. Number of velar tentacles: (0)</w:t>
      </w:r>
      <w:r w:rsidRPr="00E674F7">
        <w:t>＜</w:t>
      </w:r>
      <w:r w:rsidRPr="00E674F7">
        <w:t>5; (1)5-9; (2)10-21; (3)23-32.</w:t>
      </w:r>
    </w:p>
    <w:p w14:paraId="581A10F7" w14:textId="77777777" w:rsidR="009E10A5" w:rsidRPr="00E674F7" w:rsidRDefault="009E10A5" w:rsidP="009E10A5">
      <w:pPr>
        <w:spacing w:line="360" w:lineRule="auto"/>
        <w:jc w:val="both"/>
      </w:pPr>
      <w:r w:rsidRPr="00E674F7">
        <w:t>180. Median velar tentacle(s): (0) absent; (1) one or two free tentacle(s); (2) two tentacles fused at base along part of their lengths.</w:t>
      </w:r>
    </w:p>
    <w:p w14:paraId="7B09A7A6" w14:textId="77777777" w:rsidR="009E10A5" w:rsidRPr="00E674F7" w:rsidRDefault="009E10A5" w:rsidP="009E10A5">
      <w:pPr>
        <w:spacing w:line="360" w:lineRule="auto"/>
        <w:jc w:val="both"/>
      </w:pPr>
      <w:r w:rsidRPr="00E674F7">
        <w:t>181. Development of oral fimbriae: (0) present and distributed over the full perimeter of the oral disc; (1) absent.</w:t>
      </w:r>
    </w:p>
    <w:p w14:paraId="3C7175EE" w14:textId="77777777" w:rsidR="009E10A5" w:rsidRPr="00E674F7" w:rsidRDefault="009E10A5" w:rsidP="009E10A5">
      <w:pPr>
        <w:spacing w:line="360" w:lineRule="auto"/>
        <w:jc w:val="both"/>
      </w:pPr>
      <w:r w:rsidRPr="00E674F7">
        <w:t>182. Structure of oral papillae (anterior and lateral section): (0) uniform size; (1) two of the lateral papillae enlarged.</w:t>
      </w:r>
    </w:p>
    <w:p w14:paraId="67C5F138" w14:textId="77777777" w:rsidR="009E10A5" w:rsidRPr="00E674F7" w:rsidRDefault="009E10A5" w:rsidP="009E10A5">
      <w:pPr>
        <w:spacing w:line="360" w:lineRule="auto"/>
        <w:jc w:val="both"/>
      </w:pPr>
      <w:r w:rsidRPr="00E674F7">
        <w:t>183. Arrangement of oral papillae: (0) absent posteriorly; (1) absent both anteriorly and posteriorly; (2) absent anteriorly.</w:t>
      </w:r>
    </w:p>
    <w:p w14:paraId="2FC3CF4E" w14:textId="77777777" w:rsidR="009E10A5" w:rsidRPr="00E674F7" w:rsidRDefault="009E10A5" w:rsidP="009E10A5">
      <w:pPr>
        <w:spacing w:line="360" w:lineRule="auto"/>
        <w:jc w:val="both"/>
      </w:pPr>
      <w:r w:rsidRPr="00E674F7">
        <w:t>184. Position of eyes in mature adults: (0) dorsolateral; (1) dorsal.</w:t>
      </w:r>
    </w:p>
    <w:p w14:paraId="05F4B4A3" w14:textId="77777777" w:rsidR="009E10A5" w:rsidRPr="00E674F7" w:rsidRDefault="009E10A5" w:rsidP="009E10A5">
      <w:pPr>
        <w:spacing w:line="360" w:lineRule="auto"/>
        <w:jc w:val="both"/>
      </w:pPr>
      <w:r w:rsidRPr="00E674F7">
        <w:t>185. Types of retinal photoreceptor cell: (0) one cone and one rod; (1) two cones and one rod; (2) one rod.</w:t>
      </w:r>
    </w:p>
    <w:p w14:paraId="17C287C4" w14:textId="77777777" w:rsidR="009E10A5" w:rsidRPr="00E674F7" w:rsidRDefault="009E10A5" w:rsidP="009E10A5">
      <w:pPr>
        <w:spacing w:line="360" w:lineRule="auto"/>
        <w:jc w:val="both"/>
      </w:pPr>
      <w:r w:rsidRPr="00E674F7">
        <w:lastRenderedPageBreak/>
        <w:t>186. Position of dorsal fins relative to each other in mature adults: (0) continuous; (1) contiguous; (2) separate.</w:t>
      </w:r>
    </w:p>
    <w:p w14:paraId="1CDF26AC" w14:textId="77777777" w:rsidR="009E10A5" w:rsidRPr="00E674F7" w:rsidRDefault="009E10A5" w:rsidP="009E10A5">
      <w:pPr>
        <w:spacing w:line="360" w:lineRule="auto"/>
        <w:jc w:val="both"/>
      </w:pPr>
      <w:r w:rsidRPr="00E674F7">
        <w:t>187. Connection of second dorsal fin/posterior lobe and caudal fin in immature adults: (0) connected; (1) separate.</w:t>
      </w:r>
    </w:p>
    <w:p w14:paraId="37DB5E5D" w14:textId="77777777" w:rsidR="009E10A5" w:rsidRPr="00E674F7" w:rsidRDefault="009E10A5" w:rsidP="009E10A5">
      <w:pPr>
        <w:spacing w:line="360" w:lineRule="auto"/>
        <w:jc w:val="both"/>
      </w:pPr>
      <w:r w:rsidRPr="00E674F7">
        <w:t xml:space="preserve">188. Number of </w:t>
      </w:r>
      <w:proofErr w:type="gramStart"/>
      <w:r w:rsidRPr="00E674F7">
        <w:t>trunk</w:t>
      </w:r>
      <w:proofErr w:type="gramEnd"/>
      <w:r w:rsidRPr="00E674F7">
        <w:t xml:space="preserve"> myomeres in adults: (0) &lt;60; (1) ≥60≤70; (2) &gt;70.</w:t>
      </w:r>
    </w:p>
    <w:p w14:paraId="75BFF35E" w14:textId="77777777" w:rsidR="009E10A5" w:rsidRPr="00E674F7" w:rsidRDefault="009E10A5" w:rsidP="009E10A5">
      <w:pPr>
        <w:spacing w:line="360" w:lineRule="auto"/>
        <w:jc w:val="both"/>
      </w:pPr>
      <w:r w:rsidRPr="00E674F7">
        <w:t>189. Gular pouch in adult males: (0) absent; (1) small; (2) large.</w:t>
      </w:r>
    </w:p>
    <w:p w14:paraId="5FE85854" w14:textId="77777777" w:rsidR="009E10A5" w:rsidRPr="00E674F7" w:rsidRDefault="009E10A5" w:rsidP="009E10A5">
      <w:pPr>
        <w:spacing w:line="360" w:lineRule="auto"/>
        <w:jc w:val="both"/>
      </w:pPr>
      <w:r w:rsidRPr="00E674F7">
        <w:t>190. Position of cloaca in adults: (0) anterior to or under the origin of the second dorsal fin; (1) under the anterior half of the second dorsal fin or anterior half of the posterior lobe of the single dorsal fin; (2) under the middle or posterior half of the second dorsal fin.</w:t>
      </w:r>
    </w:p>
    <w:p w14:paraId="6F918008" w14:textId="77777777" w:rsidR="009E10A5" w:rsidRPr="00E674F7" w:rsidRDefault="009E10A5" w:rsidP="009E10A5">
      <w:pPr>
        <w:spacing w:line="360" w:lineRule="auto"/>
        <w:jc w:val="both"/>
      </w:pPr>
      <w:r w:rsidRPr="00E674F7">
        <w:t>191. Pigmentation of dorsal and upper lateral surfaces of body in adults: (0) uniform; (1) mottled (</w:t>
      </w:r>
      <w:r w:rsidRPr="00E674F7">
        <w:rPr>
          <w:i/>
        </w:rPr>
        <w:t>Petromyzon</w:t>
      </w:r>
      <w:r w:rsidRPr="00E674F7">
        <w:t>); (2) pair of blue-green dorsolateral stripes.</w:t>
      </w:r>
    </w:p>
    <w:p w14:paraId="3BE993DD" w14:textId="77777777" w:rsidR="009E10A5" w:rsidRPr="00E674F7" w:rsidRDefault="009E10A5" w:rsidP="009E10A5">
      <w:pPr>
        <w:spacing w:line="360" w:lineRule="auto"/>
        <w:jc w:val="both"/>
      </w:pPr>
      <w:r w:rsidRPr="00E674F7">
        <w:t>192. Pigmentation of neuromasts (lateral line organs) in adults: (0) unpigmented; (1) darkly pigmented.</w:t>
      </w:r>
    </w:p>
    <w:p w14:paraId="0ADA60ED" w14:textId="77777777" w:rsidR="009E10A5" w:rsidRPr="00E674F7" w:rsidRDefault="009E10A5" w:rsidP="009E10A5">
      <w:pPr>
        <w:spacing w:line="360" w:lineRule="auto"/>
        <w:jc w:val="both"/>
      </w:pPr>
      <w:r w:rsidRPr="00E674F7">
        <w:t>193. Position of otic capsule relative to first branchial opening in adults: (0) posterior to first branchial opening; (1) anterior to or directly over first branchial opening.</w:t>
      </w:r>
    </w:p>
    <w:p w14:paraId="76C51D31" w14:textId="77777777" w:rsidR="009E10A5" w:rsidRPr="00E674F7" w:rsidRDefault="009E10A5" w:rsidP="009E10A5">
      <w:pPr>
        <w:spacing w:line="360" w:lineRule="auto"/>
        <w:jc w:val="both"/>
      </w:pPr>
      <w:r w:rsidRPr="00E674F7">
        <w:t>194. Predominant type and diploid number of chromosomes: (0) acrocentric and 164-168; (1) metacentric and submetacentric 76; (2) acrocentric and 180.</w:t>
      </w:r>
    </w:p>
    <w:p w14:paraId="02FDCA61" w14:textId="77777777" w:rsidR="009E10A5" w:rsidRPr="00E674F7" w:rsidRDefault="009E10A5" w:rsidP="009E10A5">
      <w:pPr>
        <w:spacing w:line="360" w:lineRule="auto"/>
        <w:jc w:val="both"/>
      </w:pPr>
      <w:r w:rsidRPr="00E674F7">
        <w:t>195. Number of intestinal diverticula in ammocoetes: (0) no intestinal diverticula; (1) 2; (2) 1.</w:t>
      </w:r>
    </w:p>
    <w:p w14:paraId="5D499C2A" w14:textId="77777777" w:rsidR="009E10A5" w:rsidRPr="00E674F7" w:rsidRDefault="009E10A5" w:rsidP="009E10A5">
      <w:pPr>
        <w:spacing w:line="360" w:lineRule="auto"/>
        <w:jc w:val="both"/>
      </w:pPr>
      <w:r w:rsidRPr="00E674F7">
        <w:t>196. Piston cartilage: (0) absent: (1) present.</w:t>
      </w:r>
    </w:p>
    <w:p w14:paraId="6BF8E88D" w14:textId="77777777" w:rsidR="009E10A5" w:rsidRPr="00E674F7" w:rsidRDefault="009E10A5" w:rsidP="009E10A5">
      <w:pPr>
        <w:spacing w:line="360" w:lineRule="auto"/>
        <w:jc w:val="both"/>
        <w:rPr>
          <w:b/>
        </w:rPr>
      </w:pPr>
      <w:r w:rsidRPr="00E674F7">
        <w:t>197. Posterior circumoral teeth: (0) present; (1) absent.</w:t>
      </w:r>
    </w:p>
    <w:p w14:paraId="46FE4C47" w14:textId="77777777" w:rsidR="009E10A5" w:rsidRPr="00E674F7" w:rsidRDefault="009E10A5" w:rsidP="009E10A5">
      <w:pPr>
        <w:spacing w:line="360" w:lineRule="auto"/>
        <w:jc w:val="both"/>
      </w:pPr>
      <w:r w:rsidRPr="00E674F7">
        <w:t>198. Posterior blade on circumorals and disc teeth: (0) absent; (1) present.</w:t>
      </w:r>
    </w:p>
    <w:p w14:paraId="24C11EBB" w14:textId="77777777" w:rsidR="009E10A5" w:rsidRPr="00E674F7" w:rsidRDefault="009E10A5" w:rsidP="009E10A5">
      <w:pPr>
        <w:spacing w:line="360" w:lineRule="auto"/>
        <w:jc w:val="both"/>
      </w:pPr>
      <w:r w:rsidRPr="00E674F7">
        <w:t>199. Posterior exolateral teeth: (0) present and complete; (1) posterior intermediate absent, marginal present; (2) posterior intermediate and marginal absent.</w:t>
      </w:r>
    </w:p>
    <w:p w14:paraId="1FC4A4BB" w14:textId="77777777" w:rsidR="009E10A5" w:rsidRPr="00E674F7" w:rsidRDefault="009E10A5" w:rsidP="009E10A5">
      <w:pPr>
        <w:spacing w:line="360" w:lineRule="auto"/>
        <w:jc w:val="both"/>
      </w:pPr>
      <w:r w:rsidRPr="00E674F7">
        <w:t>200. Arrangement of circumoral teeth: (0) sparsely arranged; (1) closely apposed</w:t>
      </w:r>
    </w:p>
    <w:p w14:paraId="55F067A2" w14:textId="77777777" w:rsidR="009E10A5" w:rsidRPr="00E674F7" w:rsidRDefault="009E10A5" w:rsidP="009E10A5">
      <w:pPr>
        <w:spacing w:line="360" w:lineRule="auto"/>
        <w:jc w:val="both"/>
      </w:pPr>
      <w:r w:rsidRPr="00E674F7">
        <w:t>201. Anterior circumoral size relative to lateral circumorals: (0) nearly equally sized; (1) anterior smaller than lateral.</w:t>
      </w:r>
    </w:p>
    <w:p w14:paraId="02C4998E" w14:textId="77777777" w:rsidR="009E10A5" w:rsidRPr="00E674F7" w:rsidRDefault="009E10A5" w:rsidP="009E10A5">
      <w:pPr>
        <w:spacing w:line="360" w:lineRule="auto"/>
        <w:jc w:val="both"/>
      </w:pPr>
      <w:r w:rsidRPr="00E674F7">
        <w:lastRenderedPageBreak/>
        <w:t>202. Anterior circumoral size in relative to inner most anterior sic teeth: (0) nearly equally in size or even circumoral smaller; (1) anterior circumorals larger than first anterior row teeth; (2) anterior circumoral lacking or far away from oral aperture; (3) anterior disc teeth lacking.</w:t>
      </w:r>
    </w:p>
    <w:p w14:paraId="4B439F0C" w14:textId="77777777" w:rsidR="009E10A5" w:rsidRPr="00E674F7" w:rsidRDefault="009E10A5" w:rsidP="009E10A5">
      <w:pPr>
        <w:spacing w:line="360" w:lineRule="auto"/>
        <w:jc w:val="both"/>
      </w:pPr>
      <w:r w:rsidRPr="00E674F7">
        <w:t>203. Supraoral in relative to lateral circumorals: (0) nearly equally in size; (1) supraoral much larger.</w:t>
      </w:r>
    </w:p>
    <w:p w14:paraId="7C396D9E" w14:textId="77777777" w:rsidR="009E10A5" w:rsidRPr="00E674F7" w:rsidRDefault="009E10A5" w:rsidP="009E10A5">
      <w:pPr>
        <w:spacing w:line="360" w:lineRule="auto"/>
        <w:jc w:val="both"/>
      </w:pPr>
      <w:r w:rsidRPr="00E674F7">
        <w:t>204. Grooves in rear side of supraoral lamina: (0) absent; (1) present.</w:t>
      </w:r>
    </w:p>
    <w:p w14:paraId="422F4A92" w14:textId="77777777" w:rsidR="009E10A5" w:rsidRPr="00E674F7" w:rsidRDefault="009E10A5" w:rsidP="009E10A5">
      <w:pPr>
        <w:spacing w:line="360" w:lineRule="auto"/>
        <w:jc w:val="both"/>
      </w:pPr>
      <w:r w:rsidRPr="00E674F7">
        <w:t>205. Cusps on infraoral lamina: (0) uniform; (1) differentiated in size.</w:t>
      </w:r>
    </w:p>
    <w:p w14:paraId="2B4CACC4" w14:textId="77777777" w:rsidR="009E10A5" w:rsidRPr="00E674F7" w:rsidRDefault="009E10A5" w:rsidP="009E10A5">
      <w:pPr>
        <w:spacing w:line="360" w:lineRule="auto"/>
        <w:jc w:val="both"/>
      </w:pPr>
      <w:r w:rsidRPr="00E674F7">
        <w:t>206. Cusps on lingual longitudinal lamina: (0) small and straight linearly aligned; (1) large and straight linearly aligned; (2) large and gently curving, comb-like; (3) large and V-shaped; (4) two lines of cusps.</w:t>
      </w:r>
    </w:p>
    <w:p w14:paraId="378C99FE" w14:textId="77777777" w:rsidR="009E10A5" w:rsidRPr="00E674F7" w:rsidRDefault="009E10A5" w:rsidP="009E10A5">
      <w:pPr>
        <w:spacing w:line="360" w:lineRule="auto"/>
        <w:jc w:val="both"/>
      </w:pPr>
      <w:r w:rsidRPr="00E674F7">
        <w:t>207. Circumoral teeth and oral disc teeth or anterior field teeth including anterior circumorals: (0) of similar shape; (1) distinct in shape.</w:t>
      </w:r>
    </w:p>
    <w:p w14:paraId="27FC875B" w14:textId="77777777" w:rsidR="009E10A5" w:rsidRPr="00E674F7" w:rsidRDefault="009E10A5" w:rsidP="009E10A5">
      <w:pPr>
        <w:spacing w:line="360" w:lineRule="auto"/>
        <w:jc w:val="both"/>
      </w:pPr>
      <w:r w:rsidRPr="00E674F7">
        <w:t>208. Circumoral teeth and oral disc teeth or anterior field teeth including anterior circumoral: (0) of similar size; (1) circumorals larger than anterior disc teeth.</w:t>
      </w:r>
    </w:p>
    <w:p w14:paraId="1DE17EFC" w14:textId="77777777" w:rsidR="009E10A5" w:rsidRPr="00E674F7" w:rsidRDefault="009E10A5" w:rsidP="009E10A5">
      <w:pPr>
        <w:pStyle w:val="1"/>
        <w:spacing w:line="360" w:lineRule="auto"/>
        <w:rPr>
          <w:rFonts w:ascii="Times New Roman" w:hAnsi="Times New Roman" w:cs="Times New Roman"/>
          <w:sz w:val="24"/>
          <w:szCs w:val="24"/>
        </w:rPr>
      </w:pPr>
      <w:r w:rsidRPr="00E674F7">
        <w:rPr>
          <w:rFonts w:ascii="Times New Roman" w:hAnsi="Times New Roman" w:cs="Times New Roman"/>
          <w:sz w:val="24"/>
          <w:szCs w:val="24"/>
        </w:rPr>
        <w:t xml:space="preserve">4. Methods of phylogenetic analyses </w:t>
      </w:r>
    </w:p>
    <w:p w14:paraId="6ED1439D" w14:textId="77777777" w:rsidR="009E10A5" w:rsidRPr="00E674F7" w:rsidRDefault="009E10A5" w:rsidP="009E10A5">
      <w:pPr>
        <w:pStyle w:val="2"/>
        <w:spacing w:line="360" w:lineRule="auto"/>
        <w:rPr>
          <w:rFonts w:ascii="Times New Roman" w:hAnsi="Times New Roman" w:cs="Times New Roman"/>
          <w:sz w:val="24"/>
          <w:szCs w:val="24"/>
        </w:rPr>
      </w:pPr>
      <w:r w:rsidRPr="00E674F7">
        <w:rPr>
          <w:rFonts w:ascii="Times New Roman" w:hAnsi="Times New Roman" w:cs="Times New Roman"/>
          <w:sz w:val="24"/>
          <w:szCs w:val="24"/>
        </w:rPr>
        <w:t>4.1 Data</w:t>
      </w:r>
    </w:p>
    <w:p w14:paraId="6D1BD578" w14:textId="77777777" w:rsidR="009E10A5" w:rsidRPr="00E674F7" w:rsidRDefault="009E10A5" w:rsidP="009E10A5">
      <w:pPr>
        <w:spacing w:line="360" w:lineRule="auto"/>
        <w:jc w:val="both"/>
      </w:pPr>
      <w:r w:rsidRPr="00E674F7">
        <w:t>Different from the recent comprehensive vertebrate and cyclostome phylogeny</w:t>
      </w:r>
      <w:r w:rsidRPr="0023576D">
        <w:rPr>
          <w:vertAlign w:val="superscript"/>
        </w:rPr>
        <w:t>23</w:t>
      </w:r>
      <w:r w:rsidRPr="00E674F7">
        <w:t>, this study focuses on resolving the systematic positions of the Jurassic fossil lampreys within the petromyzontiform as well as their closely related taxa, thus the remote taxa were not included, e.g., the hemichordate (</w:t>
      </w:r>
      <w:bookmarkStart w:id="9" w:name="OLE_LINK69"/>
      <w:bookmarkStart w:id="10" w:name="OLE_LINK72"/>
      <w:r w:rsidRPr="00E674F7">
        <w:rPr>
          <w:i/>
        </w:rPr>
        <w:t>Saccoglossus kowalevskii</w:t>
      </w:r>
      <w:bookmarkEnd w:id="9"/>
      <w:bookmarkEnd w:id="10"/>
      <w:r w:rsidRPr="00E674F7">
        <w:t>), tunicate (</w:t>
      </w:r>
      <w:r w:rsidRPr="00E674F7">
        <w:rPr>
          <w:i/>
        </w:rPr>
        <w:t>Ciona intestinalis</w:t>
      </w:r>
      <w:r w:rsidRPr="00E674F7">
        <w:t>), cephalochordate (</w:t>
      </w:r>
      <w:r w:rsidRPr="00E674F7">
        <w:rPr>
          <w:i/>
        </w:rPr>
        <w:t>Branchiostoma floridae</w:t>
      </w:r>
      <w:r w:rsidRPr="00E674F7">
        <w:t xml:space="preserve">), </w:t>
      </w:r>
      <w:r w:rsidRPr="00E674F7">
        <w:rPr>
          <w:i/>
        </w:rPr>
        <w:t>Pikaia</w:t>
      </w:r>
      <w:r w:rsidRPr="00E674F7">
        <w:t>, controversial Cambrian vertebrates (</w:t>
      </w:r>
      <w:r w:rsidRPr="00E674F7">
        <w:rPr>
          <w:i/>
        </w:rPr>
        <w:t>Haikouella</w:t>
      </w:r>
      <w:r w:rsidRPr="00E674F7">
        <w:t xml:space="preserve">, </w:t>
      </w:r>
      <w:r w:rsidRPr="00E674F7">
        <w:rPr>
          <w:i/>
        </w:rPr>
        <w:t>Haikouichthys</w:t>
      </w:r>
      <w:r w:rsidRPr="00E674F7">
        <w:t xml:space="preserve">, </w:t>
      </w:r>
      <w:r w:rsidRPr="00E674F7">
        <w:rPr>
          <w:i/>
        </w:rPr>
        <w:t>Metaspriggina</w:t>
      </w:r>
      <w:r w:rsidRPr="00E674F7">
        <w:t xml:space="preserve">, and </w:t>
      </w:r>
      <w:r w:rsidRPr="00E674F7">
        <w:rPr>
          <w:i/>
        </w:rPr>
        <w:t>Myllokunmingia</w:t>
      </w:r>
      <w:r w:rsidRPr="00E674F7">
        <w:t xml:space="preserve">), and the lineage leading to the gnathostomes (jawed vertebrates). In this </w:t>
      </w:r>
      <w:bookmarkStart w:id="11" w:name="OLE_LINK74"/>
      <w:bookmarkStart w:id="12" w:name="OLE_LINK75"/>
      <w:r w:rsidRPr="00E674F7">
        <w:t>context</w:t>
      </w:r>
      <w:bookmarkEnd w:id="11"/>
      <w:bookmarkEnd w:id="12"/>
      <w:r w:rsidRPr="00E674F7">
        <w:t xml:space="preserve">, the dataset includes 25 extant taxa and 20 fossils from Cyclostomi (total group), and combines both morphological characters and molecular sequences, with </w:t>
      </w:r>
      <w:r w:rsidRPr="00E674F7">
        <w:lastRenderedPageBreak/>
        <w:t>morphological characters for all taxa (208 characters), 16S gene for 10 extant species (772 sites) and CO1 gene for 11 extant species (721 sites). The character description and revision are listed above.</w:t>
      </w:r>
    </w:p>
    <w:p w14:paraId="5FD94B1D" w14:textId="77777777" w:rsidR="009E10A5" w:rsidRPr="00E674F7" w:rsidRDefault="009E10A5" w:rsidP="009E10A5">
      <w:pPr>
        <w:spacing w:line="360" w:lineRule="auto"/>
        <w:ind w:firstLineChars="150" w:firstLine="360"/>
        <w:jc w:val="both"/>
      </w:pPr>
      <w:r w:rsidRPr="00E674F7">
        <w:t>The Bayesian total-evidence dating analysis was performed using software MrBayes 3.2.8</w:t>
      </w:r>
      <w:r w:rsidRPr="0023576D">
        <w:rPr>
          <w:vertAlign w:val="superscript"/>
        </w:rPr>
        <w:t>52</w:t>
      </w:r>
      <w:r w:rsidRPr="00E674F7">
        <w:t xml:space="preserve">. This version was not formally released when performing this study and the executable was compiled from the latest source code (https://github.com/NBISweden/MrBayes). We describe the models, priors and Markov chain Monte Carlo (MCMC) settings for the analysis. The data matrix and MrBayes commands are given in </w:t>
      </w:r>
      <w:r>
        <w:t>Extended D</w:t>
      </w:r>
      <w:r w:rsidRPr="00E674F7">
        <w:t xml:space="preserve">ata </w:t>
      </w:r>
      <w:r>
        <w:t xml:space="preserve">Files </w:t>
      </w:r>
      <w:r w:rsidRPr="00E674F7">
        <w:t>1 and 2.</w:t>
      </w:r>
    </w:p>
    <w:p w14:paraId="2E236E61" w14:textId="77777777" w:rsidR="009E10A5" w:rsidRPr="00E674F7" w:rsidRDefault="009E10A5" w:rsidP="009E10A5">
      <w:pPr>
        <w:pStyle w:val="2"/>
        <w:spacing w:line="360" w:lineRule="auto"/>
        <w:rPr>
          <w:rFonts w:ascii="Times New Roman" w:hAnsi="Times New Roman" w:cs="Times New Roman"/>
          <w:sz w:val="24"/>
          <w:szCs w:val="24"/>
        </w:rPr>
      </w:pPr>
      <w:r w:rsidRPr="00E674F7">
        <w:rPr>
          <w:rFonts w:ascii="Times New Roman" w:hAnsi="Times New Roman" w:cs="Times New Roman"/>
          <w:sz w:val="24"/>
          <w:szCs w:val="24"/>
        </w:rPr>
        <w:t>4.2 Substitution models</w:t>
      </w:r>
    </w:p>
    <w:p w14:paraId="204E46B9" w14:textId="77777777" w:rsidR="009E10A5" w:rsidRPr="00E674F7" w:rsidRDefault="009E10A5" w:rsidP="009E10A5">
      <w:pPr>
        <w:spacing w:line="360" w:lineRule="auto"/>
        <w:jc w:val="both"/>
      </w:pPr>
      <w:r w:rsidRPr="00E674F7">
        <w:t>The Mkv model</w:t>
      </w:r>
      <w:r w:rsidRPr="00F614CA">
        <w:rPr>
          <w:vertAlign w:val="superscript"/>
        </w:rPr>
        <w:t>53</w:t>
      </w:r>
      <w:r w:rsidRPr="00E674F7">
        <w:t xml:space="preserve"> was used for the morphological data correcting for the variable coding bias (only variable characters are coded in the matrix). For each gene, the HKY model</w:t>
      </w:r>
      <w:r w:rsidRPr="00F614CA">
        <w:rPr>
          <w:rFonts w:eastAsia="Times New Roman"/>
          <w:vertAlign w:val="superscript"/>
        </w:rPr>
        <w:t>54</w:t>
      </w:r>
      <w:r>
        <w:t xml:space="preserve"> </w:t>
      </w:r>
      <w:r w:rsidRPr="00E674F7">
        <w:t>was used with independent transition-transversion rate ratio (</w:t>
      </w:r>
      <w:r w:rsidRPr="00E674F7">
        <w:rPr>
          <w:i/>
          <w:iCs/>
        </w:rPr>
        <w:t>κ</w:t>
      </w:r>
      <w:r w:rsidRPr="00E674F7">
        <w:t>) and exchangeability rates. Rate variation across characters (sites) was modelled using the discrete gamma model</w:t>
      </w:r>
      <w:r w:rsidRPr="00F614CA">
        <w:rPr>
          <w:rFonts w:eastAsia="Times New Roman"/>
          <w:vertAlign w:val="superscript"/>
        </w:rPr>
        <w:t>55</w:t>
      </w:r>
      <w:r w:rsidRPr="00E674F7">
        <w:t>, while rate variation across data partitions was drawn from a uniform Dirichlet distribution</w:t>
      </w:r>
      <w:r w:rsidRPr="00F614CA">
        <w:rPr>
          <w:rFonts w:eastAsia="Times New Roman"/>
          <w:vertAlign w:val="superscript"/>
        </w:rPr>
        <w:t>56</w:t>
      </w:r>
      <w:r w:rsidRPr="00E674F7">
        <w:t xml:space="preserve"> under the constraint of average rate across characters (sites) being 1.0.</w:t>
      </w:r>
    </w:p>
    <w:p w14:paraId="75FBE59F" w14:textId="77777777" w:rsidR="009E10A5" w:rsidRPr="00E674F7" w:rsidRDefault="009E10A5" w:rsidP="009E10A5">
      <w:pPr>
        <w:spacing w:line="360" w:lineRule="auto"/>
        <w:ind w:firstLineChars="150" w:firstLine="360"/>
        <w:jc w:val="both"/>
      </w:pPr>
      <w:r w:rsidRPr="00E674F7">
        <w:t>We used the default priors for the substitution parameters, e.g., exponential (1.0) for the gamma shape parameter (</w:t>
      </w:r>
      <w:r w:rsidRPr="00E674F7">
        <w:rPr>
          <w:i/>
          <w:iCs/>
        </w:rPr>
        <w:t>α</w:t>
      </w:r>
      <w:r w:rsidRPr="00E674F7">
        <w:t>), beta (1, 1) for the transformed transition-transversion rate ratio (</w:t>
      </w:r>
      <w:r w:rsidRPr="00E674F7">
        <w:rPr>
          <w:i/>
          <w:iCs/>
        </w:rPr>
        <w:t>κ</w:t>
      </w:r>
      <w:r w:rsidRPr="00E674F7">
        <w:t>/(1+</w:t>
      </w:r>
      <w:r w:rsidRPr="00E674F7">
        <w:rPr>
          <w:i/>
          <w:iCs/>
        </w:rPr>
        <w:t>κ</w:t>
      </w:r>
      <w:r w:rsidRPr="00E674F7">
        <w:t>)), and a uniform Dirichlet distribution for the exchangeability rates (π).</w:t>
      </w:r>
    </w:p>
    <w:p w14:paraId="5BA4EA5D" w14:textId="77777777" w:rsidR="009E10A5" w:rsidRPr="00E674F7" w:rsidRDefault="009E10A5" w:rsidP="009E10A5">
      <w:pPr>
        <w:pStyle w:val="2"/>
        <w:spacing w:line="360" w:lineRule="auto"/>
        <w:rPr>
          <w:rFonts w:ascii="Times New Roman" w:hAnsi="Times New Roman" w:cs="Times New Roman"/>
          <w:sz w:val="24"/>
          <w:szCs w:val="24"/>
        </w:rPr>
      </w:pPr>
      <w:r w:rsidRPr="00E674F7">
        <w:rPr>
          <w:rFonts w:ascii="Times New Roman" w:hAnsi="Times New Roman" w:cs="Times New Roman"/>
          <w:sz w:val="24"/>
          <w:szCs w:val="24"/>
        </w:rPr>
        <w:t xml:space="preserve">4.3 Total-evidence dating </w:t>
      </w:r>
    </w:p>
    <w:p w14:paraId="60BFD750" w14:textId="77777777" w:rsidR="009E10A5" w:rsidRPr="00E674F7" w:rsidRDefault="009E10A5" w:rsidP="009E10A5">
      <w:pPr>
        <w:spacing w:line="360" w:lineRule="auto"/>
        <w:jc w:val="both"/>
      </w:pPr>
      <w:r w:rsidRPr="00E674F7">
        <w:t xml:space="preserve">Traditional phylogenetic analyses infer branch lengths measured by expected changes per character, which are products of geological times (myr: million years) and evolutionary rates (expected changes per character per myr). Without the fossil ages and clock-model assumptions, the two components are confounded and </w:t>
      </w:r>
      <w:r w:rsidRPr="00E674F7">
        <w:lastRenderedPageBreak/>
        <w:t>indistinguishable. In the total-evidence dating analysis, we use fossil ages as tip calibrations to co-estimate divergence times and evolutionary rates. To investigate evolutionary rate heterogeneity among separate morphological regions and between morphological characters and molecular sequences, the morphological characters were divided into three partitions, that is, feeding mechanism (51 characters), branchial apparatus (22 characters) and others (135 characters) (data S2). Eventually, each of the three morphological partitions had an independent clock model and the two gene partitions share another independent clock model.</w:t>
      </w:r>
    </w:p>
    <w:p w14:paraId="3AB3F69F" w14:textId="77777777" w:rsidR="009E10A5" w:rsidRPr="00E674F7" w:rsidRDefault="009E10A5" w:rsidP="009E10A5">
      <w:pPr>
        <w:spacing w:line="360" w:lineRule="auto"/>
        <w:ind w:firstLineChars="150" w:firstLine="360"/>
        <w:jc w:val="both"/>
      </w:pPr>
      <w:r w:rsidRPr="00E674F7">
        <w:t>All partitions share the base clock rate (</w:t>
      </w:r>
      <w:r w:rsidRPr="00E674F7">
        <w:rPr>
          <w:i/>
          <w:iCs/>
        </w:rPr>
        <w:t>c</w:t>
      </w:r>
      <w:r w:rsidRPr="00E674F7">
        <w:t>) which was assigned a lognormal (–6, 1.0) prior with mean 0.004 and standard deviation 0.005. The evolutionary rate variation was modelled by the relative rate (</w:t>
      </w:r>
      <w:r w:rsidRPr="00E674F7">
        <w:rPr>
          <w:i/>
          <w:iCs/>
        </w:rPr>
        <w:t>r</w:t>
      </w:r>
      <w:r w:rsidRPr="00E674F7">
        <w:t>) multiplied to the base rate (</w:t>
      </w:r>
      <w:r w:rsidRPr="00E674F7">
        <w:rPr>
          <w:i/>
          <w:iCs/>
        </w:rPr>
        <w:t>c</w:t>
      </w:r>
      <w:r w:rsidRPr="00E674F7">
        <w:t>). The relative rates in each of the four relaxed clocks follow independent and identically distributed (i.i.d.) lognormal distributions</w:t>
      </w:r>
      <w:r w:rsidRPr="003D2DF2">
        <w:rPr>
          <w:rFonts w:eastAsia="Times New Roman"/>
          <w:vertAlign w:val="superscript"/>
        </w:rPr>
        <w:t>57</w:t>
      </w:r>
      <w:r w:rsidRPr="00E674F7">
        <w:t xml:space="preserve"> with mean 1.0, and the variance of each clock (</w:t>
      </w:r>
      <w:r w:rsidRPr="00E674F7">
        <w:rPr>
          <w:i/>
          <w:iCs/>
        </w:rPr>
        <w:t>σ</w:t>
      </w:r>
      <w:r w:rsidRPr="00E674F7">
        <w:t>) was assigned an exponential (1.0) prior by default.</w:t>
      </w:r>
    </w:p>
    <w:p w14:paraId="25091472" w14:textId="77777777" w:rsidR="009E10A5" w:rsidRPr="00E674F7" w:rsidRDefault="009E10A5" w:rsidP="009E10A5">
      <w:pPr>
        <w:spacing w:line="360" w:lineRule="auto"/>
        <w:ind w:firstLineChars="150" w:firstLine="360"/>
        <w:jc w:val="both"/>
      </w:pPr>
      <w:r w:rsidRPr="00E674F7">
        <w:t>Apart from the clock model, the other component is the timetree. The timetree was modelled by the fossilized birth-death process</w:t>
      </w:r>
      <w:r w:rsidRPr="003D2DF2">
        <w:rPr>
          <w:rFonts w:eastAsia="Times New Roman"/>
          <w:vertAlign w:val="superscript"/>
        </w:rPr>
        <w:t>56,58,59</w:t>
      </w:r>
      <w:r w:rsidRPr="00E674F7">
        <w:t xml:space="preserve"> with speciation rate </w:t>
      </w:r>
      <w:r w:rsidRPr="00E674F7">
        <w:rPr>
          <w:i/>
          <w:iCs/>
        </w:rPr>
        <w:t>λ</w:t>
      </w:r>
      <w:r w:rsidRPr="00E674F7">
        <w:t xml:space="preserve">, extinction rate </w:t>
      </w:r>
      <w:r w:rsidRPr="00E674F7">
        <w:rPr>
          <w:i/>
          <w:iCs/>
        </w:rPr>
        <w:t>μ</w:t>
      </w:r>
      <w:r w:rsidRPr="00E674F7">
        <w:t xml:space="preserve">, fossil-sampling rate </w:t>
      </w:r>
      <w:r w:rsidRPr="00E674F7">
        <w:rPr>
          <w:i/>
          <w:iCs/>
        </w:rPr>
        <w:t>ψ</w:t>
      </w:r>
      <w:r w:rsidRPr="00E674F7">
        <w:t xml:space="preserve">, extant-sampling proportion </w:t>
      </w:r>
      <w:r w:rsidRPr="00E674F7">
        <w:rPr>
          <w:i/>
          <w:iCs/>
        </w:rPr>
        <w:t>ρ</w:t>
      </w:r>
      <w:r w:rsidRPr="00E674F7">
        <w:t>, and conditioned on the root age (</w:t>
      </w:r>
      <w:r w:rsidRPr="00E674F7">
        <w:rPr>
          <w:i/>
          <w:iCs/>
        </w:rPr>
        <w:t>t</w:t>
      </w:r>
      <w:r w:rsidRPr="00E674F7">
        <w:rPr>
          <w:vertAlign w:val="subscript"/>
        </w:rPr>
        <w:t>mrca</w:t>
      </w:r>
      <w:r w:rsidRPr="00E674F7">
        <w:t xml:space="preserve">). The ages of the fossils were fixed to their geological times (see </w:t>
      </w:r>
      <w:r>
        <w:t>Extended D</w:t>
      </w:r>
      <w:r w:rsidRPr="00E674F7">
        <w:t xml:space="preserve">ata </w:t>
      </w:r>
      <w:r>
        <w:t xml:space="preserve">File </w:t>
      </w:r>
      <w:r w:rsidRPr="00E674F7">
        <w:t xml:space="preserve">2). For the priors, </w:t>
      </w:r>
      <w:r w:rsidRPr="00E674F7">
        <w:rPr>
          <w:i/>
          <w:iCs/>
        </w:rPr>
        <w:t>t</w:t>
      </w:r>
      <w:r w:rsidRPr="00E674F7">
        <w:rPr>
          <w:vertAlign w:val="subscript"/>
        </w:rPr>
        <w:t>mrca</w:t>
      </w:r>
      <w:r w:rsidRPr="00E674F7">
        <w:t xml:space="preserve"> was assigned an offset-exponential distribution with mean 600 and minimum 500 Ma referring to the oldest fossils, </w:t>
      </w:r>
      <w:r w:rsidRPr="00E674F7">
        <w:rPr>
          <w:i/>
          <w:iCs/>
        </w:rPr>
        <w:t>d</w:t>
      </w:r>
      <w:r w:rsidRPr="00E674F7">
        <w:t xml:space="preserve"> = </w:t>
      </w:r>
      <w:r w:rsidRPr="00E674F7">
        <w:rPr>
          <w:i/>
          <w:iCs/>
        </w:rPr>
        <w:t xml:space="preserve">λ </w:t>
      </w:r>
      <w:r w:rsidRPr="00E674F7">
        <w:t xml:space="preserve">– </w:t>
      </w:r>
      <w:r w:rsidRPr="00E674F7">
        <w:rPr>
          <w:i/>
          <w:iCs/>
        </w:rPr>
        <w:t>μ</w:t>
      </w:r>
      <w:r w:rsidRPr="00E674F7">
        <w:t xml:space="preserve"> ~ exponential (100) with mean 0.01, </w:t>
      </w:r>
      <w:r w:rsidRPr="00E674F7">
        <w:rPr>
          <w:i/>
          <w:iCs/>
        </w:rPr>
        <w:t>v</w:t>
      </w:r>
      <w:r w:rsidRPr="00E674F7">
        <w:t xml:space="preserve"> = </w:t>
      </w:r>
      <w:r w:rsidRPr="00E674F7">
        <w:rPr>
          <w:i/>
          <w:iCs/>
        </w:rPr>
        <w:t xml:space="preserve">μ </w:t>
      </w:r>
      <w:r w:rsidRPr="00E674F7">
        <w:t xml:space="preserve">/ </w:t>
      </w:r>
      <w:r w:rsidRPr="00E674F7">
        <w:rPr>
          <w:i/>
          <w:iCs/>
        </w:rPr>
        <w:t xml:space="preserve">λ </w:t>
      </w:r>
      <w:r w:rsidRPr="00E674F7">
        <w:t xml:space="preserve">~ beta (2, 1) and </w:t>
      </w:r>
      <w:r w:rsidRPr="00E674F7">
        <w:rPr>
          <w:i/>
          <w:iCs/>
        </w:rPr>
        <w:t>s</w:t>
      </w:r>
      <w:r w:rsidRPr="00E674F7">
        <w:t xml:space="preserve"> = </w:t>
      </w:r>
      <w:r w:rsidRPr="00E674F7">
        <w:rPr>
          <w:i/>
          <w:iCs/>
        </w:rPr>
        <w:t xml:space="preserve">ψ </w:t>
      </w:r>
      <w:r w:rsidRPr="00E674F7">
        <w:t>/ (</w:t>
      </w:r>
      <w:r w:rsidRPr="00E674F7">
        <w:rPr>
          <w:i/>
          <w:iCs/>
        </w:rPr>
        <w:t>μ + ψ</w:t>
      </w:r>
      <w:r w:rsidRPr="00E674F7">
        <w:t>) ~ beta (1, 1). The extant-sampling proportion was fixed to 0.3, assuming 25 out of about 80 living species were sampled and included in the analyses.</w:t>
      </w:r>
    </w:p>
    <w:p w14:paraId="6862155B" w14:textId="77777777" w:rsidR="009E10A5" w:rsidRPr="00E674F7" w:rsidRDefault="009E10A5" w:rsidP="009E10A5">
      <w:pPr>
        <w:spacing w:line="360" w:lineRule="auto"/>
        <w:ind w:firstLineChars="150" w:firstLine="360"/>
        <w:jc w:val="both"/>
      </w:pPr>
      <w:r w:rsidRPr="00E674F7">
        <w:t xml:space="preserve">Two independent MCMC runs with 4 chains per run (1 cold, 3 heated) were run 30 million generations and sampled every 400 generations. The first 25% samples were discarded as burn-in and the remaining were combined after examining convergence of both runs. The posterior tree samples were summarized as an all-compatible consensus </w:t>
      </w:r>
      <w:r w:rsidRPr="00E674F7">
        <w:lastRenderedPageBreak/>
        <w:t xml:space="preserve">tree, which displays all compatible clades in the posterior trees as bifurcations, including those with probability smaller than 0.5. </w:t>
      </w:r>
    </w:p>
    <w:p w14:paraId="15DA29E4" w14:textId="77777777" w:rsidR="009E10A5" w:rsidRPr="00E674F7" w:rsidRDefault="009E10A5" w:rsidP="009E10A5">
      <w:pPr>
        <w:spacing w:line="360" w:lineRule="auto"/>
        <w:jc w:val="both"/>
      </w:pPr>
      <w:r w:rsidRPr="00E674F7">
        <w:rPr>
          <w:b/>
          <w:bCs/>
        </w:rPr>
        <w:t xml:space="preserve">5. Additional results and discussion </w:t>
      </w:r>
    </w:p>
    <w:p w14:paraId="6D85BD88" w14:textId="77777777" w:rsidR="009E10A5" w:rsidRPr="00E674F7" w:rsidRDefault="009E10A5" w:rsidP="009E10A5">
      <w:pPr>
        <w:spacing w:line="360" w:lineRule="auto"/>
        <w:jc w:val="both"/>
      </w:pPr>
      <w:r w:rsidRPr="00E674F7">
        <w:t>The timetree of all taxa estimated from total-evidence dating combining both morphological and molecular data is shown in Fig. 3. Making use of all available data including the fossil ages refines the phylogeny comparing to previous analyses</w:t>
      </w:r>
      <w:r w:rsidRPr="00472390">
        <w:rPr>
          <w:vertAlign w:val="superscript"/>
        </w:rPr>
        <w:t>23</w:t>
      </w:r>
      <w:r w:rsidRPr="00E674F7">
        <w:t xml:space="preserve">. We highlight several taxa positions in the timetree which appear more reasonable. Using the morphological characters alone, fossil </w:t>
      </w:r>
      <w:r w:rsidRPr="00E674F7">
        <w:rPr>
          <w:i/>
          <w:iCs/>
        </w:rPr>
        <w:t>Tethymyxine</w:t>
      </w:r>
      <w:r w:rsidRPr="00E674F7">
        <w:t xml:space="preserve"> was placed in the crown group of Myxinoidea (sister to </w:t>
      </w:r>
      <w:r w:rsidRPr="00E674F7">
        <w:rPr>
          <w:i/>
          <w:iCs/>
        </w:rPr>
        <w:t>Rubicundus</w:t>
      </w:r>
      <w:r w:rsidRPr="00E674F7">
        <w:t xml:space="preserve">, ref. </w:t>
      </w:r>
      <w:r w:rsidRPr="00472390">
        <w:rPr>
          <w:vertAlign w:val="superscript"/>
        </w:rPr>
        <w:t>23</w:t>
      </w:r>
      <w:r w:rsidRPr="00E674F7">
        <w:t xml:space="preserve">), now it is at the stem when taking its age into account in the total-evidence analysis (Fig. 3), because the age of </w:t>
      </w:r>
      <w:r w:rsidRPr="00E674F7">
        <w:rPr>
          <w:i/>
          <w:iCs/>
        </w:rPr>
        <w:t>Tethymyxine</w:t>
      </w:r>
      <w:r w:rsidRPr="00E674F7">
        <w:t xml:space="preserve"> is older than the estimated age of crown Myxinoidea. </w:t>
      </w:r>
      <w:bookmarkStart w:id="13" w:name="OLE_LINK77"/>
      <w:bookmarkStart w:id="14" w:name="OLE_LINK76"/>
      <w:r w:rsidRPr="00E674F7">
        <w:t xml:space="preserve">Southern Hemisphere lampreys were </w:t>
      </w:r>
      <w:bookmarkEnd w:id="13"/>
      <w:bookmarkEnd w:id="14"/>
      <w:r w:rsidRPr="00E674F7">
        <w:t xml:space="preserve">paraphyletic when using both morphological and molecular data, while </w:t>
      </w:r>
      <w:r w:rsidRPr="00E674F7">
        <w:rPr>
          <w:i/>
        </w:rPr>
        <w:t>Geotria australis</w:t>
      </w:r>
      <w:r w:rsidRPr="00E674F7">
        <w:t xml:space="preserve"> was placed as a sister group of </w:t>
      </w:r>
      <w:r w:rsidRPr="00E674F7">
        <w:rPr>
          <w:i/>
        </w:rPr>
        <w:t>Mordacia</w:t>
      </w:r>
      <w:r w:rsidRPr="00E674F7">
        <w:t xml:space="preserve"> species when only morphological characters were used. This difference is mostly due to incorporating both times and rates in the dating analyses, indicated by long time span (~78 Myr) but slow evolutionary rates leading to </w:t>
      </w:r>
      <w:r w:rsidRPr="00E674F7">
        <w:rPr>
          <w:i/>
        </w:rPr>
        <w:t>Geotria australis</w:t>
      </w:r>
      <w:r w:rsidRPr="00E674F7">
        <w:t>.</w:t>
      </w:r>
    </w:p>
    <w:p w14:paraId="3EC502F7" w14:textId="77777777" w:rsidR="009E10A5" w:rsidRPr="00E674F7" w:rsidRDefault="009E10A5" w:rsidP="009E10A5">
      <w:pPr>
        <w:spacing w:line="360" w:lineRule="auto"/>
        <w:ind w:firstLineChars="150" w:firstLine="360"/>
        <w:jc w:val="both"/>
        <w:rPr>
          <w:vertAlign w:val="superscript"/>
        </w:rPr>
      </w:pPr>
      <w:r w:rsidRPr="00E674F7">
        <w:t>The divergence times of the major clades are generally younger than those estimated in the recent study</w:t>
      </w:r>
      <w:r w:rsidRPr="006B1982">
        <w:rPr>
          <w:vertAlign w:val="superscript"/>
        </w:rPr>
        <w:t>23</w:t>
      </w:r>
      <w:r w:rsidRPr="00E674F7">
        <w:t xml:space="preserve"> but more compatible to the estimates of the former molecular study for the myxinoid crown</w:t>
      </w:r>
      <w:r w:rsidRPr="006B1982">
        <w:rPr>
          <w:vertAlign w:val="superscript"/>
        </w:rPr>
        <w:t>24</w:t>
      </w:r>
      <w:r w:rsidRPr="00E674F7">
        <w:t>. In comparison, a few credibility intervals appeared either too wide or too narrow in the previous study (figure S9 in ref.</w:t>
      </w:r>
      <w:r w:rsidRPr="006B1982">
        <w:rPr>
          <w:vertAlign w:val="superscript"/>
        </w:rPr>
        <w:t>23</w:t>
      </w:r>
      <w:r w:rsidRPr="00E674F7">
        <w:t xml:space="preserve">). For example, the interval only spanned 7 million years (543.3–536.0 Ma) for Cyclostomi (total group), but spanned 185 million years (350.5–165.0 Ma) for the node of </w:t>
      </w:r>
      <w:r w:rsidRPr="00E674F7">
        <w:rPr>
          <w:i/>
        </w:rPr>
        <w:t>Mesomyzon</w:t>
      </w:r>
      <w:r w:rsidRPr="00E674F7">
        <w:t xml:space="preserve"> + crown-group petromyzontiform. This is largely due to the two-step approach applied in their study and each step only incorporated part of the data. They first inferred the phylogeny using purely morphological characters. Then the tree topology was fixed while the fossil ages and molecular data were used to date the tree (discarding the morphological characters). Thus, the divergence time estimates were mainly informed by the fossilized birth-death prior without the morphological </w:t>
      </w:r>
      <w:r w:rsidRPr="00E674F7">
        <w:lastRenderedPageBreak/>
        <w:t>characters. Our approach takes full use of the data, including fossil ages, morphological characters and molecular sequences in a coherent analysis. Besides, we also included more fossils in the stem and revised the morphological data (see above).</w:t>
      </w:r>
    </w:p>
    <w:p w14:paraId="270FA19D" w14:textId="77777777" w:rsidR="009E10A5" w:rsidRPr="00E674F7" w:rsidRDefault="009E10A5" w:rsidP="009E10A5">
      <w:pPr>
        <w:spacing w:line="360" w:lineRule="auto"/>
        <w:ind w:firstLineChars="150" w:firstLine="360"/>
        <w:jc w:val="both"/>
      </w:pPr>
      <w:r w:rsidRPr="00E674F7">
        <w:t>The morphological data were divided into three partitions with independent relaxed clock models (</w:t>
      </w:r>
      <w:r>
        <w:t>Extended D</w:t>
      </w:r>
      <w:r w:rsidRPr="00E674F7">
        <w:t xml:space="preserve">ata </w:t>
      </w:r>
      <w:r>
        <w:t xml:space="preserve">File </w:t>
      </w:r>
      <w:r w:rsidRPr="00E674F7">
        <w:t xml:space="preserve">2), making it available to investigate the evolutionary rate heterogeneity among them. </w:t>
      </w:r>
    </w:p>
    <w:p w14:paraId="1DB7BC62" w14:textId="77777777" w:rsidR="009E10A5" w:rsidRPr="00E674F7" w:rsidRDefault="009E10A5" w:rsidP="009E10A5">
      <w:pPr>
        <w:spacing w:line="360" w:lineRule="auto"/>
        <w:ind w:firstLineChars="150" w:firstLine="360"/>
        <w:jc w:val="both"/>
      </w:pPr>
      <w:r w:rsidRPr="00E674F7">
        <w:t xml:space="preserve">The characters of feeding mechanism evolved extremely rapidly with relative rate 10.7 (0.02, 45.1) (median and 95% HPD, same for below) in the transition from the common ancestor shared by petromyzontiform (lampreys) and myxinoidea (hagfishes) (Fig. 3 and fig. S3) and then dramatically slowed down to 1.5 (0.01, 7.6) leading to </w:t>
      </w:r>
      <w:r w:rsidRPr="00E674F7">
        <w:rPr>
          <w:i/>
        </w:rPr>
        <w:t>Pipiscius</w:t>
      </w:r>
      <w:r w:rsidRPr="00E674F7">
        <w:rPr>
          <w:iCs/>
        </w:rPr>
        <w:t xml:space="preserve"> and 0.4 (0.0, 2.9) leading to the stem and crown</w:t>
      </w:r>
      <w:r w:rsidRPr="00E674F7">
        <w:t xml:space="preserve"> petromyzontiforms. This suggests that morphological changes in the feeding mechanism were rapid at the dawn of the history of the group and this functional unit might have played a vital role in this stage just as previously supposed</w:t>
      </w:r>
      <w:r w:rsidRPr="006B1982">
        <w:rPr>
          <w:vertAlign w:val="superscript"/>
        </w:rPr>
        <w:t>1,2</w:t>
      </w:r>
      <w:r w:rsidRPr="00E674F7">
        <w:t>. The rates continued to slow down substantially and differentiated radically during their later history (Fig. 3</w:t>
      </w:r>
      <w:r>
        <w:t>, Extended Data F</w:t>
      </w:r>
      <w:r w:rsidRPr="00E674F7">
        <w:t>ig. 3). Most of the rates are well below 0.5, however, it is worth noting that the rate at the branch from the Pal</w:t>
      </w:r>
      <w:r>
        <w:t>a</w:t>
      </w:r>
      <w:r w:rsidRPr="00E674F7">
        <w:t xml:space="preserve">eozoic to Mesozoic lampreys is roughly six times that along the branch of crown-group lampreys, and that a high rate of 5.4 (0.01, 23.6) is observed along the branch toward Mordaciidae + Petromyzontidae, which is ~77 times of that along the branch toward </w:t>
      </w:r>
      <w:r w:rsidRPr="00E674F7">
        <w:rPr>
          <w:i/>
        </w:rPr>
        <w:t>Geotria</w:t>
      </w:r>
      <w:r w:rsidRPr="00E674F7">
        <w:t xml:space="preserve"> (</w:t>
      </w:r>
      <w:r>
        <w:t>Extended Data F</w:t>
      </w:r>
      <w:r w:rsidRPr="00E674F7">
        <w:t>ig.</w:t>
      </w:r>
      <w:r>
        <w:t xml:space="preserve"> </w:t>
      </w:r>
      <w:r w:rsidRPr="00E674F7">
        <w:t xml:space="preserve">3). Additionally, within the Mesozoic forms, a modest evolutionary acceleration is also detected at the branch towards </w:t>
      </w:r>
      <w:r w:rsidRPr="00E674F7">
        <w:rPr>
          <w:i/>
        </w:rPr>
        <w:t>Yanliaomyzon</w:t>
      </w:r>
      <w:r w:rsidRPr="00E674F7">
        <w:t xml:space="preserve"> species </w:t>
      </w:r>
      <w:bookmarkStart w:id="15" w:name="OLE_LINK24"/>
      <w:bookmarkStart w:id="16" w:name="OLE_LINK20"/>
      <w:r w:rsidRPr="00E674F7">
        <w:t>when lampreys diverge</w:t>
      </w:r>
      <w:bookmarkEnd w:id="15"/>
      <w:bookmarkEnd w:id="16"/>
      <w:r w:rsidRPr="00E674F7">
        <w:t xml:space="preserve"> from </w:t>
      </w:r>
      <w:r w:rsidRPr="00E674F7">
        <w:rPr>
          <w:i/>
        </w:rPr>
        <w:t>Mesomyzon</w:t>
      </w:r>
      <w:r w:rsidRPr="00E674F7">
        <w:t xml:space="preserve"> lineage in the Early Jurassic</w:t>
      </w:r>
      <w:bookmarkStart w:id="17" w:name="OLE_LINK52"/>
      <w:bookmarkStart w:id="18" w:name="OLE_LINK51"/>
      <w:r w:rsidRPr="00E674F7">
        <w:t xml:space="preserve"> (</w:t>
      </w:r>
      <w:r>
        <w:t>Extended Data F</w:t>
      </w:r>
      <w:r w:rsidRPr="00E674F7">
        <w:t>ig.</w:t>
      </w:r>
      <w:r>
        <w:t xml:space="preserve"> </w:t>
      </w:r>
      <w:r w:rsidRPr="00E674F7">
        <w:t>3)</w:t>
      </w:r>
      <w:bookmarkEnd w:id="17"/>
      <w:bookmarkEnd w:id="18"/>
      <w:r w:rsidRPr="00E674F7">
        <w:t xml:space="preserve">. These observations concur with the significant increase of the adult body size of the lampreys </w:t>
      </w:r>
      <w:bookmarkStart w:id="19" w:name="OLE_LINK28"/>
      <w:bookmarkStart w:id="20" w:name="OLE_LINK56"/>
      <w:r w:rsidRPr="00E674F7">
        <w:t>since the Pal</w:t>
      </w:r>
      <w:r>
        <w:t>a</w:t>
      </w:r>
      <w:r w:rsidRPr="00E674F7">
        <w:t>eozoic era in tandem with</w:t>
      </w:r>
      <w:bookmarkEnd w:id="19"/>
      <w:bookmarkEnd w:id="20"/>
      <w:r w:rsidRPr="00E674F7">
        <w:t xml:space="preserve"> the establishment of the ‘modern’ three-phased life history. The striking and unexpected anatomical similarity of Jurassic </w:t>
      </w:r>
      <w:r w:rsidRPr="00E674F7">
        <w:rPr>
          <w:i/>
        </w:rPr>
        <w:t>Yanliaomyzon</w:t>
      </w:r>
      <w:r w:rsidRPr="00E674F7">
        <w:t xml:space="preserve"> and living </w:t>
      </w:r>
      <w:r w:rsidRPr="00E674F7">
        <w:rPr>
          <w:i/>
        </w:rPr>
        <w:t>Geotria</w:t>
      </w:r>
      <w:r w:rsidRPr="00E674F7">
        <w:t xml:space="preserve"> and the evolutionary process of the feeding mechanism suggest that the common ancestor of living lampreys </w:t>
      </w:r>
      <w:r w:rsidRPr="00E674F7">
        <w:lastRenderedPageBreak/>
        <w:t xml:space="preserve">must fairly look like </w:t>
      </w:r>
      <w:r w:rsidRPr="00E674F7">
        <w:rPr>
          <w:i/>
        </w:rPr>
        <w:t>Geotria</w:t>
      </w:r>
      <w:r w:rsidRPr="00E674F7">
        <w:t xml:space="preserve"> in the feeding structures and hence maybe a flesh eater rather than a blood feeder as previously proposed</w:t>
      </w:r>
      <w:r w:rsidRPr="002C331D">
        <w:rPr>
          <w:vertAlign w:val="superscript"/>
        </w:rPr>
        <w:t>5,6,10</w:t>
      </w:r>
      <w:r w:rsidRPr="00E674F7">
        <w:t xml:space="preserve">. </w:t>
      </w:r>
    </w:p>
    <w:p w14:paraId="2CC2C5DB" w14:textId="77777777" w:rsidR="009E10A5" w:rsidRPr="00E674F7" w:rsidRDefault="009E10A5" w:rsidP="009E10A5">
      <w:pPr>
        <w:spacing w:line="360" w:lineRule="auto"/>
        <w:jc w:val="both"/>
        <w:rPr>
          <w:b/>
          <w:bCs/>
        </w:rPr>
      </w:pPr>
    </w:p>
    <w:p w14:paraId="472D3C9F" w14:textId="77777777" w:rsidR="009E10A5" w:rsidRPr="00E674F7" w:rsidRDefault="009E10A5" w:rsidP="009E10A5">
      <w:pPr>
        <w:spacing w:line="360" w:lineRule="auto"/>
        <w:jc w:val="both"/>
      </w:pPr>
      <w:r w:rsidRPr="00E674F7">
        <w:rPr>
          <w:b/>
          <w:bCs/>
        </w:rPr>
        <w:t>6. CT scanning and computerized tomography</w:t>
      </w:r>
    </w:p>
    <w:p w14:paraId="2D7B8657" w14:textId="77777777" w:rsidR="009E10A5" w:rsidRPr="00E674F7" w:rsidRDefault="009E10A5" w:rsidP="009E10A5">
      <w:pPr>
        <w:pStyle w:val="p1"/>
        <w:spacing w:line="360" w:lineRule="auto"/>
        <w:jc w:val="both"/>
        <w:rPr>
          <w:rFonts w:ascii="Times New Roman" w:hAnsi="Times New Roman"/>
          <w:sz w:val="24"/>
          <w:szCs w:val="24"/>
        </w:rPr>
      </w:pPr>
      <w:r w:rsidRPr="00E674F7">
        <w:rPr>
          <w:rFonts w:ascii="Times New Roman" w:hAnsi="Times New Roman"/>
          <w:sz w:val="24"/>
          <w:szCs w:val="24"/>
        </w:rPr>
        <w:t xml:space="preserve">    X-ray micro-computerized tomography was adopted for scanning the oral disc and the dentition of IVPP V 15830. The scanning was carried out using the 225 kV micro-computerized tomography (developed by the Institute of High Energy Physics, Chinese Academy of Sciences (CAS)) at the Key Laboratory of Vertebrate Evolution and Human Origins, CAS</w:t>
      </w:r>
      <w:r w:rsidRPr="00DF5D25">
        <w:rPr>
          <w:rFonts w:ascii="Times New Roman" w:hAnsi="Times New Roman"/>
          <w:sz w:val="24"/>
          <w:szCs w:val="24"/>
          <w:vertAlign w:val="superscript"/>
        </w:rPr>
        <w:t>60</w:t>
      </w:r>
      <w:r w:rsidRPr="00E674F7">
        <w:rPr>
          <w:rFonts w:ascii="Times New Roman" w:hAnsi="Times New Roman"/>
          <w:sz w:val="24"/>
          <w:szCs w:val="24"/>
        </w:rPr>
        <w:t xml:space="preserve">. The specimen was scanned with beam energy of 140 kV and a flux of 120 uA at a resolution of 36.07 </w:t>
      </w:r>
      <w:r w:rsidRPr="00E674F7">
        <w:rPr>
          <w:rFonts w:ascii="Cambria Math" w:hAnsi="Cambria Math" w:cs="Cambria Math"/>
          <w:sz w:val="24"/>
          <w:szCs w:val="24"/>
        </w:rPr>
        <w:t>𝜇</w:t>
      </w:r>
      <w:r w:rsidRPr="00E674F7">
        <w:rPr>
          <w:rFonts w:ascii="Times New Roman" w:hAnsi="Times New Roman"/>
          <w:sz w:val="24"/>
          <w:szCs w:val="24"/>
        </w:rPr>
        <w:t>m per pixel using a 360° rotation with a step size of 0.5°. A total of 720 projections were reconstructed in a 2,048*2,048 matrix of 1,536 slices using a two-dimensional reconstruction software developed by the Institute of High Energy Physics, CAS. The data then was analyzed by using VGstudio 2.2 to produce the 3D images (</w:t>
      </w:r>
      <w:r>
        <w:rPr>
          <w:rFonts w:ascii="Times New Roman" w:hAnsi="Times New Roman"/>
          <w:sz w:val="24"/>
          <w:szCs w:val="24"/>
        </w:rPr>
        <w:t>Extended Data F</w:t>
      </w:r>
      <w:r w:rsidRPr="00E674F7">
        <w:rPr>
          <w:rFonts w:ascii="Times New Roman" w:hAnsi="Times New Roman"/>
          <w:sz w:val="24"/>
          <w:szCs w:val="24"/>
        </w:rPr>
        <w:t>ig. 2</w:t>
      </w:r>
      <w:r>
        <w:rPr>
          <w:rFonts w:ascii="Times New Roman" w:hAnsi="Times New Roman"/>
          <w:sz w:val="24"/>
          <w:szCs w:val="24"/>
        </w:rPr>
        <w:t>l</w:t>
      </w:r>
      <w:r w:rsidRPr="00E674F7">
        <w:rPr>
          <w:rFonts w:ascii="Times New Roman" w:hAnsi="Times New Roman"/>
          <w:sz w:val="24"/>
          <w:szCs w:val="24"/>
        </w:rPr>
        <w:t>).</w:t>
      </w:r>
    </w:p>
    <w:p w14:paraId="76DD84A1" w14:textId="77777777" w:rsidR="009E10A5" w:rsidRPr="00E674F7" w:rsidRDefault="009E10A5" w:rsidP="009E10A5">
      <w:pPr>
        <w:spacing w:line="360" w:lineRule="auto"/>
        <w:jc w:val="both"/>
        <w:rPr>
          <w:b/>
        </w:rPr>
      </w:pPr>
      <w:r w:rsidRPr="00E674F7">
        <w:rPr>
          <w:b/>
        </w:rPr>
        <w:t xml:space="preserve">7. Illustrations </w:t>
      </w:r>
    </w:p>
    <w:p w14:paraId="2B360A34" w14:textId="77777777" w:rsidR="009E10A5" w:rsidRPr="00E674F7" w:rsidRDefault="009E10A5" w:rsidP="009E10A5">
      <w:pPr>
        <w:spacing w:line="360" w:lineRule="auto"/>
        <w:ind w:firstLine="480"/>
        <w:jc w:val="both"/>
      </w:pPr>
      <w:r w:rsidRPr="00E674F7">
        <w:t>All drawings of Figures 1 and 2 were done with pencils by the author. To distinguish the types of the dentition and the associated structures of the feeding mechanism, different colo</w:t>
      </w:r>
      <w:r>
        <w:t>u</w:t>
      </w:r>
      <w:r w:rsidRPr="00E674F7">
        <w:t xml:space="preserve">rs were filled in corresponding regions using Adobe Photoshop CS6. The phylogenetic trees were visualized in FigTree (v1.4.4) and adjusted in Adobe Illustrator CS6 and Affinity Designer (v1.8.4). </w:t>
      </w:r>
    </w:p>
    <w:p w14:paraId="53322E27" w14:textId="77777777" w:rsidR="009E10A5" w:rsidRPr="00E674F7" w:rsidRDefault="009E10A5" w:rsidP="009E10A5">
      <w:pPr>
        <w:spacing w:line="360" w:lineRule="auto"/>
        <w:jc w:val="both"/>
        <w:rPr>
          <w:b/>
          <w:bCs/>
        </w:rPr>
      </w:pPr>
    </w:p>
    <w:p w14:paraId="47217006" w14:textId="77777777" w:rsidR="009E10A5" w:rsidRPr="00E674F7" w:rsidRDefault="009E10A5" w:rsidP="009E10A5">
      <w:pPr>
        <w:spacing w:line="360" w:lineRule="auto"/>
        <w:jc w:val="both"/>
        <w:rPr>
          <w:rFonts w:eastAsia="Songti SC"/>
          <w:sz w:val="21"/>
          <w:szCs w:val="21"/>
          <w:lang w:val="fr-FR"/>
        </w:rPr>
      </w:pPr>
      <w:r w:rsidRPr="00E674F7">
        <w:rPr>
          <w:b/>
          <w:bCs/>
        </w:rPr>
        <w:t>8</w:t>
      </w:r>
      <w:r w:rsidRPr="00E674F7">
        <w:rPr>
          <w:b/>
          <w:bCs/>
          <w:lang w:val="fr-FR"/>
        </w:rPr>
        <w:t xml:space="preserve">. Supplementary references </w:t>
      </w:r>
    </w:p>
    <w:p w14:paraId="68D3788F" w14:textId="77777777" w:rsidR="009E10A5" w:rsidRPr="00944A50" w:rsidRDefault="009E10A5" w:rsidP="009E10A5">
      <w:pPr>
        <w:spacing w:line="360" w:lineRule="auto"/>
        <w:jc w:val="both"/>
      </w:pPr>
      <w:r w:rsidRPr="00944A50">
        <w:rPr>
          <w:lang w:val="fr-FR"/>
        </w:rPr>
        <w:t>5</w:t>
      </w:r>
      <w:r w:rsidRPr="00944A50">
        <w:t>1</w:t>
      </w:r>
      <w:r w:rsidRPr="00944A50">
        <w:rPr>
          <w:lang w:val="fr-FR"/>
        </w:rPr>
        <w:t xml:space="preserve">. Poplin, C., Sotty, D. &amp; Janvier, P. Un Myxinoïde (Craniata, Hyperotreti) dans le Konservat-Lagerstätte Carbonifère supérieur de Montceau-les-Mines (Allier, France). </w:t>
      </w:r>
      <w:r w:rsidRPr="00944A50">
        <w:rPr>
          <w:i/>
        </w:rPr>
        <w:t>CR Acad. Sci. Paris</w:t>
      </w:r>
      <w:r w:rsidRPr="00944A50">
        <w:t xml:space="preserve"> </w:t>
      </w:r>
      <w:r w:rsidRPr="00944A50">
        <w:rPr>
          <w:b/>
        </w:rPr>
        <w:t>332</w:t>
      </w:r>
      <w:r w:rsidRPr="00944A50">
        <w:t>, 345–350 (2001).</w:t>
      </w:r>
    </w:p>
    <w:p w14:paraId="13C4F2C0" w14:textId="77777777" w:rsidR="009E10A5" w:rsidRPr="00944A50" w:rsidRDefault="009E10A5" w:rsidP="009E10A5">
      <w:pPr>
        <w:pStyle w:val="csl-entry"/>
        <w:jc w:val="both"/>
      </w:pPr>
      <w:r w:rsidRPr="00944A50">
        <w:t xml:space="preserve">52. Ronquist, F. </w:t>
      </w:r>
      <w:r w:rsidRPr="00944A50">
        <w:rPr>
          <w:i/>
          <w:iCs/>
        </w:rPr>
        <w:t>et al.</w:t>
      </w:r>
      <w:r w:rsidRPr="00944A50">
        <w:t xml:space="preserve"> MrBayes 3.2: efficient Bayesian phylogenetic inference and model choice across a large model space. </w:t>
      </w:r>
      <w:r w:rsidRPr="00944A50">
        <w:rPr>
          <w:i/>
          <w:iCs/>
        </w:rPr>
        <w:t>Syst. Biol.</w:t>
      </w:r>
      <w:r w:rsidRPr="00944A50">
        <w:t xml:space="preserve"> </w:t>
      </w:r>
      <w:r w:rsidRPr="00944A50">
        <w:rPr>
          <w:b/>
          <w:bCs/>
        </w:rPr>
        <w:t>61</w:t>
      </w:r>
      <w:r w:rsidRPr="00944A50">
        <w:t>, 539–542 (2012).</w:t>
      </w:r>
    </w:p>
    <w:p w14:paraId="05A15957" w14:textId="77777777" w:rsidR="009E10A5" w:rsidRPr="00944A50" w:rsidRDefault="009E10A5" w:rsidP="009E10A5">
      <w:pPr>
        <w:pStyle w:val="csl-entry"/>
        <w:jc w:val="both"/>
      </w:pPr>
      <w:r w:rsidRPr="00944A50">
        <w:lastRenderedPageBreak/>
        <w:t xml:space="preserve">53. Lewis, P. O. A likelihood approach to estimating phylogeny from discrete morphological character data. </w:t>
      </w:r>
      <w:r w:rsidRPr="00944A50">
        <w:rPr>
          <w:i/>
          <w:iCs/>
        </w:rPr>
        <w:t>Syst. Biol.</w:t>
      </w:r>
      <w:r w:rsidRPr="00944A50">
        <w:t xml:space="preserve"> </w:t>
      </w:r>
      <w:r w:rsidRPr="00944A50">
        <w:rPr>
          <w:b/>
          <w:bCs/>
        </w:rPr>
        <w:t>50</w:t>
      </w:r>
      <w:r w:rsidRPr="00944A50">
        <w:t>, 913–925 (2001).</w:t>
      </w:r>
    </w:p>
    <w:p w14:paraId="19ED0AD1" w14:textId="77777777" w:rsidR="009E10A5" w:rsidRPr="00944A50" w:rsidRDefault="009E10A5" w:rsidP="009E10A5">
      <w:pPr>
        <w:pStyle w:val="csl-entry"/>
        <w:jc w:val="both"/>
      </w:pPr>
      <w:r w:rsidRPr="00944A50">
        <w:t xml:space="preserve">54. Hasegawa, M., Kishino, H. &amp; Yano, T. Dating of the human-ape splitting by a molecular clock of mitochondrial DNA. </w:t>
      </w:r>
      <w:r w:rsidRPr="00944A50">
        <w:rPr>
          <w:i/>
          <w:iCs/>
        </w:rPr>
        <w:t>J. Mol. Evol.</w:t>
      </w:r>
      <w:r w:rsidRPr="00944A50">
        <w:t xml:space="preserve"> </w:t>
      </w:r>
      <w:r w:rsidRPr="00944A50">
        <w:rPr>
          <w:b/>
          <w:bCs/>
        </w:rPr>
        <w:t>22</w:t>
      </w:r>
      <w:r w:rsidRPr="00944A50">
        <w:t>, 160–174 (1985).</w:t>
      </w:r>
    </w:p>
    <w:p w14:paraId="35C4ADD9" w14:textId="77777777" w:rsidR="009E10A5" w:rsidRPr="00944A50" w:rsidRDefault="009E10A5" w:rsidP="009E10A5">
      <w:pPr>
        <w:pStyle w:val="csl-entry"/>
        <w:jc w:val="both"/>
      </w:pPr>
      <w:r w:rsidRPr="00944A50">
        <w:t xml:space="preserve">55. Yang, Z. Maximum likelihood phylogenetic estimation from DNA sequences with variable rates over sites: approximate methods. </w:t>
      </w:r>
      <w:r w:rsidRPr="00944A50">
        <w:rPr>
          <w:i/>
          <w:iCs/>
        </w:rPr>
        <w:t>J. Mol. Evol.</w:t>
      </w:r>
      <w:r w:rsidRPr="00944A50">
        <w:t xml:space="preserve"> </w:t>
      </w:r>
      <w:r w:rsidRPr="00944A50">
        <w:rPr>
          <w:b/>
          <w:bCs/>
        </w:rPr>
        <w:t>39</w:t>
      </w:r>
      <w:r w:rsidRPr="00944A50">
        <w:t>, 306–314 (1994).</w:t>
      </w:r>
    </w:p>
    <w:p w14:paraId="554E20F8" w14:textId="77777777" w:rsidR="009E10A5" w:rsidRPr="00944A50" w:rsidRDefault="009E10A5" w:rsidP="009E10A5">
      <w:pPr>
        <w:pStyle w:val="csl-entry"/>
        <w:jc w:val="both"/>
      </w:pPr>
      <w:r w:rsidRPr="00944A50">
        <w:t xml:space="preserve">56. Zhang, C., Stadler, T., Klopfstein, S., Heath, T. &amp; Ronquist, F. Total-evidence dating under the fossilized birth–death Process. </w:t>
      </w:r>
      <w:r w:rsidRPr="00944A50">
        <w:rPr>
          <w:i/>
          <w:iCs/>
        </w:rPr>
        <w:t>Syst. Biol.</w:t>
      </w:r>
      <w:r w:rsidRPr="00944A50">
        <w:t xml:space="preserve"> </w:t>
      </w:r>
      <w:r w:rsidRPr="00944A50">
        <w:rPr>
          <w:b/>
          <w:bCs/>
        </w:rPr>
        <w:t>65</w:t>
      </w:r>
      <w:r w:rsidRPr="00944A50">
        <w:t>, 228–249 (2016).</w:t>
      </w:r>
    </w:p>
    <w:p w14:paraId="31539A58" w14:textId="77777777" w:rsidR="009E10A5" w:rsidRPr="00944A50" w:rsidRDefault="009E10A5" w:rsidP="009E10A5">
      <w:pPr>
        <w:pStyle w:val="csl-entry"/>
        <w:jc w:val="both"/>
      </w:pPr>
      <w:r w:rsidRPr="00944A50">
        <w:t xml:space="preserve">57. Drummond, A., Ho, S., Phillips, M. &amp; Rambaut, A. Relaxed phylogenetics and dating with Confidence. </w:t>
      </w:r>
      <w:r w:rsidRPr="00944A50">
        <w:rPr>
          <w:i/>
          <w:iCs/>
        </w:rPr>
        <w:t>Plo</w:t>
      </w:r>
      <w:r w:rsidRPr="00944A50">
        <w:rPr>
          <w:rFonts w:hint="eastAsia"/>
          <w:i/>
          <w:iCs/>
        </w:rPr>
        <w:t>S</w:t>
      </w:r>
      <w:r w:rsidRPr="00944A50">
        <w:rPr>
          <w:i/>
          <w:iCs/>
        </w:rPr>
        <w:t xml:space="preserve"> Biol.</w:t>
      </w:r>
      <w:r w:rsidRPr="00944A50">
        <w:t xml:space="preserve"> </w:t>
      </w:r>
      <w:r w:rsidRPr="00944A50">
        <w:rPr>
          <w:b/>
          <w:bCs/>
        </w:rPr>
        <w:t>4</w:t>
      </w:r>
      <w:r w:rsidRPr="00944A50">
        <w:t>, e88 (2006).</w:t>
      </w:r>
    </w:p>
    <w:p w14:paraId="6F54EA0C" w14:textId="77777777" w:rsidR="009E10A5" w:rsidRPr="00944A50" w:rsidRDefault="009E10A5" w:rsidP="009E10A5">
      <w:pPr>
        <w:pStyle w:val="csl-entry"/>
        <w:jc w:val="both"/>
      </w:pPr>
      <w:r w:rsidRPr="00944A50">
        <w:t xml:space="preserve">58. Stadler, T. Sampling-through-time in birth-death trees. </w:t>
      </w:r>
      <w:r w:rsidRPr="00944A50">
        <w:rPr>
          <w:i/>
          <w:iCs/>
        </w:rPr>
        <w:t>J. Theor. Biol.</w:t>
      </w:r>
      <w:r w:rsidRPr="00944A50">
        <w:t xml:space="preserve"> </w:t>
      </w:r>
      <w:r w:rsidRPr="00944A50">
        <w:rPr>
          <w:b/>
          <w:bCs/>
        </w:rPr>
        <w:t>267</w:t>
      </w:r>
      <w:r w:rsidRPr="00944A50">
        <w:t>, 396–404 (2010).</w:t>
      </w:r>
    </w:p>
    <w:p w14:paraId="27A3C486" w14:textId="77777777" w:rsidR="009E10A5" w:rsidRPr="00944A50" w:rsidRDefault="009E10A5" w:rsidP="009E10A5">
      <w:pPr>
        <w:pStyle w:val="csl-entry"/>
        <w:jc w:val="both"/>
      </w:pPr>
      <w:r w:rsidRPr="00944A50">
        <w:t xml:space="preserve">59. Heath, T. A., Huelsenbeck, J. P. &amp; Stadler, T. The fossilized birth-death process for coherent calibration of divergence-time estimates. </w:t>
      </w:r>
      <w:r w:rsidRPr="00944A50">
        <w:rPr>
          <w:i/>
          <w:iCs/>
        </w:rPr>
        <w:t>Proc. Nat. Acad. Sci.</w:t>
      </w:r>
      <w:r w:rsidRPr="00944A50">
        <w:t xml:space="preserve"> </w:t>
      </w:r>
      <w:r w:rsidRPr="00944A50">
        <w:rPr>
          <w:b/>
          <w:bCs/>
        </w:rPr>
        <w:t>111</w:t>
      </w:r>
      <w:r w:rsidRPr="00944A50">
        <w:t>, E2957-66 (2014).</w:t>
      </w:r>
    </w:p>
    <w:p w14:paraId="50B70D63" w14:textId="77777777" w:rsidR="009E10A5" w:rsidRPr="00944A50" w:rsidRDefault="009E10A5" w:rsidP="009E10A5">
      <w:pPr>
        <w:pStyle w:val="p1"/>
        <w:jc w:val="both"/>
        <w:rPr>
          <w:rFonts w:ascii="Times New Roman" w:hAnsi="Times New Roman"/>
          <w:b/>
          <w:sz w:val="24"/>
          <w:szCs w:val="24"/>
        </w:rPr>
      </w:pPr>
      <w:r w:rsidRPr="00944A50">
        <w:rPr>
          <w:rFonts w:ascii="Times New Roman" w:hAnsi="Times New Roman"/>
          <w:sz w:val="24"/>
          <w:szCs w:val="24"/>
        </w:rPr>
        <w:t xml:space="preserve">60. Wang, Y. F. </w:t>
      </w:r>
      <w:r w:rsidRPr="00944A50">
        <w:rPr>
          <w:rFonts w:ascii="Times New Roman" w:hAnsi="Times New Roman"/>
          <w:i/>
          <w:sz w:val="24"/>
          <w:szCs w:val="24"/>
        </w:rPr>
        <w:t>et al.</w:t>
      </w:r>
      <w:r w:rsidRPr="00944A50">
        <w:rPr>
          <w:rFonts w:ascii="Times New Roman" w:hAnsi="Times New Roman"/>
          <w:sz w:val="24"/>
          <w:szCs w:val="24"/>
        </w:rPr>
        <w:t xml:space="preserve"> Development and applications of paleontological computed tomography. </w:t>
      </w:r>
      <w:r w:rsidRPr="00944A50">
        <w:rPr>
          <w:rFonts w:ascii="Times New Roman" w:hAnsi="Times New Roman"/>
          <w:i/>
          <w:iCs/>
          <w:sz w:val="24"/>
          <w:szCs w:val="24"/>
        </w:rPr>
        <w:t>Vert. PalAsiat.</w:t>
      </w:r>
      <w:r w:rsidRPr="00944A50">
        <w:rPr>
          <w:rFonts w:ascii="Times New Roman" w:hAnsi="Times New Roman"/>
          <w:sz w:val="24"/>
          <w:szCs w:val="24"/>
        </w:rPr>
        <w:t xml:space="preserve"> </w:t>
      </w:r>
      <w:r w:rsidRPr="00944A50">
        <w:rPr>
          <w:rFonts w:ascii="Times New Roman" w:hAnsi="Times New Roman"/>
          <w:b/>
          <w:bCs/>
          <w:sz w:val="24"/>
          <w:szCs w:val="24"/>
        </w:rPr>
        <w:t>57</w:t>
      </w:r>
      <w:r w:rsidRPr="00944A50">
        <w:rPr>
          <w:rFonts w:ascii="Times New Roman" w:hAnsi="Times New Roman"/>
          <w:sz w:val="24"/>
          <w:szCs w:val="24"/>
        </w:rPr>
        <w:t>, 84–92 (2019).</w:t>
      </w:r>
    </w:p>
    <w:p w14:paraId="19897E76" w14:textId="77777777" w:rsidR="009E10A5" w:rsidRPr="00E674F7" w:rsidRDefault="009E10A5" w:rsidP="009E10A5">
      <w:pPr>
        <w:pStyle w:val="1"/>
        <w:spacing w:line="240" w:lineRule="auto"/>
        <w:rPr>
          <w:rFonts w:ascii="Times New Roman" w:hAnsi="Times New Roman" w:cs="Times New Roman"/>
          <w:sz w:val="24"/>
          <w:szCs w:val="24"/>
        </w:rPr>
      </w:pPr>
      <w:r w:rsidRPr="00E674F7">
        <w:rPr>
          <w:rFonts w:ascii="Times New Roman" w:hAnsi="Times New Roman" w:cs="Times New Roman"/>
          <w:sz w:val="24"/>
          <w:szCs w:val="24"/>
        </w:rPr>
        <w:lastRenderedPageBreak/>
        <w:t>9. Supplementary Figures and Legends</w:t>
      </w:r>
    </w:p>
    <w:p w14:paraId="4AC53322" w14:textId="77777777" w:rsidR="009E10A5" w:rsidRPr="00E674F7" w:rsidRDefault="009E10A5" w:rsidP="009E10A5">
      <w:r w:rsidRPr="00944A50">
        <w:rPr>
          <w:b/>
          <w:noProof/>
        </w:rPr>
        <w:drawing>
          <wp:inline distT="0" distB="0" distL="114300" distR="114300" wp14:anchorId="36D03B75" wp14:editId="6D85CD25">
            <wp:extent cx="5267325" cy="5998210"/>
            <wp:effectExtent l="0" t="0" r="15875" b="21590"/>
            <wp:docPr id="2" name="图片 2" descr="Ext.Fig. 1 07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Ext.Fig. 1 0706"/>
                    <pic:cNvPicPr>
                      <a:picLocks noChangeAspect="1"/>
                    </pic:cNvPicPr>
                  </pic:nvPicPr>
                  <pic:blipFill>
                    <a:blip r:embed="rId5"/>
                    <a:stretch>
                      <a:fillRect/>
                    </a:stretch>
                  </pic:blipFill>
                  <pic:spPr>
                    <a:xfrm>
                      <a:off x="0" y="0"/>
                      <a:ext cx="5267325" cy="5998210"/>
                    </a:xfrm>
                    <a:prstGeom prst="rect">
                      <a:avLst/>
                    </a:prstGeom>
                  </pic:spPr>
                </pic:pic>
              </a:graphicData>
            </a:graphic>
          </wp:inline>
        </w:drawing>
      </w:r>
    </w:p>
    <w:p w14:paraId="0A477705" w14:textId="77777777" w:rsidR="009E10A5" w:rsidRPr="00E674F7" w:rsidRDefault="009E10A5" w:rsidP="009E10A5">
      <w:pPr>
        <w:spacing w:line="360" w:lineRule="auto"/>
        <w:jc w:val="both"/>
      </w:pPr>
      <w:r w:rsidRPr="00944A50">
        <w:rPr>
          <w:b/>
        </w:rPr>
        <w:t>Extended Data Fig</w:t>
      </w:r>
      <w:r>
        <w:rPr>
          <w:b/>
        </w:rPr>
        <w:t>ure</w:t>
      </w:r>
      <w:r w:rsidRPr="00944A50">
        <w:rPr>
          <w:b/>
        </w:rPr>
        <w:t xml:space="preserve"> 1</w:t>
      </w:r>
      <w:r>
        <w:rPr>
          <w:b/>
        </w:rPr>
        <w:t>.</w:t>
      </w:r>
      <w:r w:rsidRPr="00E674F7">
        <w:rPr>
          <w:b/>
        </w:rPr>
        <w:t xml:space="preserve"> Jurassic lampreys, </w:t>
      </w:r>
      <w:r w:rsidRPr="00E674F7">
        <w:rPr>
          <w:b/>
          <w:i/>
        </w:rPr>
        <w:t>Yanliaomyzon occisor</w:t>
      </w:r>
      <w:r w:rsidRPr="00E674F7">
        <w:rPr>
          <w:b/>
        </w:rPr>
        <w:t xml:space="preserve"> gen. et sp. nov. and </w:t>
      </w:r>
      <w:r w:rsidRPr="00E674F7">
        <w:rPr>
          <w:b/>
          <w:i/>
        </w:rPr>
        <w:t>Yanliaomyzon ingensdentes</w:t>
      </w:r>
      <w:r w:rsidRPr="00E674F7">
        <w:rPr>
          <w:b/>
        </w:rPr>
        <w:t xml:space="preserve"> gen. et sp. nov. </w:t>
      </w:r>
      <w:r>
        <w:rPr>
          <w:b/>
        </w:rPr>
        <w:t>a</w:t>
      </w:r>
      <w:r w:rsidRPr="00E674F7">
        <w:rPr>
          <w:b/>
        </w:rPr>
        <w:t xml:space="preserve"> </w:t>
      </w:r>
      <w:r w:rsidRPr="00E674F7">
        <w:rPr>
          <w:bCs/>
        </w:rPr>
        <w:t>to</w:t>
      </w:r>
      <w:r w:rsidRPr="00E674F7">
        <w:rPr>
          <w:b/>
        </w:rPr>
        <w:t xml:space="preserve"> </w:t>
      </w:r>
      <w:r>
        <w:rPr>
          <w:b/>
        </w:rPr>
        <w:t>f</w:t>
      </w:r>
      <w:r w:rsidRPr="00E674F7">
        <w:t>,</w:t>
      </w:r>
      <w:r w:rsidRPr="00E674F7">
        <w:rPr>
          <w:b/>
        </w:rPr>
        <w:t xml:space="preserve"> </w:t>
      </w:r>
      <w:r w:rsidRPr="00E674F7">
        <w:rPr>
          <w:i/>
        </w:rPr>
        <w:t>Yanliaomyzon ingensdentes</w:t>
      </w:r>
      <w:r w:rsidRPr="00E674F7">
        <w:t xml:space="preserve"> gen. et sp. nov. (</w:t>
      </w:r>
      <w:r>
        <w:rPr>
          <w:b/>
        </w:rPr>
        <w:t>a</w:t>
      </w:r>
      <w:r w:rsidRPr="00E674F7">
        <w:t>) Counterpart of holotype (IVPP V 16715A); (</w:t>
      </w:r>
      <w:r>
        <w:rPr>
          <w:b/>
        </w:rPr>
        <w:t>b</w:t>
      </w:r>
      <w:r w:rsidRPr="00E674F7">
        <w:t>) Photograph and (</w:t>
      </w:r>
      <w:r>
        <w:rPr>
          <w:b/>
        </w:rPr>
        <w:t>c</w:t>
      </w:r>
      <w:r w:rsidRPr="00E674F7">
        <w:t>) that whitened by ammonia chloride of oral disc and dentition of (</w:t>
      </w:r>
      <w:r>
        <w:rPr>
          <w:b/>
        </w:rPr>
        <w:t>a</w:t>
      </w:r>
      <w:r w:rsidRPr="00E674F7">
        <w:t>); (</w:t>
      </w:r>
      <w:r>
        <w:rPr>
          <w:b/>
        </w:rPr>
        <w:t>d</w:t>
      </w:r>
      <w:r w:rsidRPr="00E674F7">
        <w:t>) oral disc and dentition of part of holotype (IVPP V16715B), photograph covered with ammonia chloride and horizontally flipped for comparison; (</w:t>
      </w:r>
      <w:r>
        <w:rPr>
          <w:b/>
        </w:rPr>
        <w:t>e</w:t>
      </w:r>
      <w:r w:rsidRPr="00E674F7">
        <w:t>) Close-up of front section of anterior dorsal fin; (</w:t>
      </w:r>
      <w:r>
        <w:rPr>
          <w:b/>
        </w:rPr>
        <w:t>f</w:t>
      </w:r>
      <w:r w:rsidRPr="00E674F7">
        <w:t xml:space="preserve">) Close-up of intestine contents, showing the skeletal relics of the </w:t>
      </w:r>
      <w:r w:rsidRPr="00E674F7">
        <w:lastRenderedPageBreak/>
        <w:t xml:space="preserve">prey; </w:t>
      </w:r>
      <w:r>
        <w:rPr>
          <w:b/>
        </w:rPr>
        <w:t>g</w:t>
      </w:r>
      <w:r w:rsidRPr="00944A50">
        <w:t>–</w:t>
      </w:r>
      <w:r>
        <w:rPr>
          <w:b/>
        </w:rPr>
        <w:t>i</w:t>
      </w:r>
      <w:r w:rsidRPr="00E674F7">
        <w:t xml:space="preserve">, </w:t>
      </w:r>
      <w:r w:rsidRPr="00E674F7">
        <w:rPr>
          <w:i/>
        </w:rPr>
        <w:t>Yanliaomyzon occisor</w:t>
      </w:r>
      <w:r w:rsidRPr="00E674F7">
        <w:t xml:space="preserve"> gen. et sp. nov. (</w:t>
      </w:r>
      <w:r>
        <w:rPr>
          <w:b/>
        </w:rPr>
        <w:t>g</w:t>
      </w:r>
      <w:r w:rsidRPr="00E674F7">
        <w:t>) Counterpart of paratype (IVPP V 18956A); (</w:t>
      </w:r>
      <w:r>
        <w:rPr>
          <w:b/>
        </w:rPr>
        <w:t>h</w:t>
      </w:r>
      <w:r w:rsidRPr="00E674F7">
        <w:t>) oral disc and dentition of (</w:t>
      </w:r>
      <w:r>
        <w:rPr>
          <w:b/>
        </w:rPr>
        <w:t>g</w:t>
      </w:r>
      <w:r w:rsidRPr="00E674F7">
        <w:t>), whitened by ammonia chloride; (</w:t>
      </w:r>
      <w:r>
        <w:rPr>
          <w:b/>
        </w:rPr>
        <w:t>i</w:t>
      </w:r>
      <w:r w:rsidRPr="00E674F7">
        <w:t xml:space="preserve">) oral disc and dentition of part specimen of paratype (IVPP V 18956B), </w:t>
      </w:r>
      <w:bookmarkStart w:id="21" w:name="OLE_LINK46"/>
      <w:bookmarkStart w:id="22" w:name="OLE_LINK45"/>
      <w:r w:rsidRPr="00E674F7">
        <w:t xml:space="preserve">whitened by </w:t>
      </w:r>
      <w:bookmarkEnd w:id="21"/>
      <w:bookmarkEnd w:id="22"/>
      <w:r w:rsidRPr="00E674F7">
        <w:t>ammonia chloride.</w:t>
      </w:r>
    </w:p>
    <w:p w14:paraId="72ADC238" w14:textId="77777777" w:rsidR="009E10A5" w:rsidRPr="00E674F7" w:rsidRDefault="009E10A5" w:rsidP="009E10A5">
      <w:pPr>
        <w:spacing w:line="360" w:lineRule="auto"/>
        <w:jc w:val="center"/>
      </w:pPr>
      <w:r w:rsidRPr="00944A50">
        <w:rPr>
          <w:noProof/>
        </w:rPr>
        <w:drawing>
          <wp:inline distT="0" distB="0" distL="114300" distR="114300" wp14:anchorId="411BF5E2" wp14:editId="68B4B93D">
            <wp:extent cx="5264150" cy="6856730"/>
            <wp:effectExtent l="0" t="0" r="19050" b="1270"/>
            <wp:docPr id="3" name="图片 3" descr="Ext.Fig. 2 0706-1225 n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Ext.Fig. 2 0706-1225 new"/>
                    <pic:cNvPicPr>
                      <a:picLocks noChangeAspect="1"/>
                    </pic:cNvPicPr>
                  </pic:nvPicPr>
                  <pic:blipFill>
                    <a:blip r:embed="rId6"/>
                    <a:stretch>
                      <a:fillRect/>
                    </a:stretch>
                  </pic:blipFill>
                  <pic:spPr>
                    <a:xfrm>
                      <a:off x="0" y="0"/>
                      <a:ext cx="5264150" cy="6856730"/>
                    </a:xfrm>
                    <a:prstGeom prst="rect">
                      <a:avLst/>
                    </a:prstGeom>
                  </pic:spPr>
                </pic:pic>
              </a:graphicData>
            </a:graphic>
          </wp:inline>
        </w:drawing>
      </w:r>
    </w:p>
    <w:p w14:paraId="0F00E285" w14:textId="77777777" w:rsidR="009E10A5" w:rsidRPr="00E674F7" w:rsidRDefault="009E10A5" w:rsidP="009E10A5">
      <w:pPr>
        <w:spacing w:line="360" w:lineRule="auto"/>
        <w:jc w:val="both"/>
      </w:pPr>
      <w:r w:rsidRPr="00944A50">
        <w:rPr>
          <w:b/>
        </w:rPr>
        <w:t>Extended Data Fig</w:t>
      </w:r>
      <w:r>
        <w:rPr>
          <w:b/>
        </w:rPr>
        <w:t>ure</w:t>
      </w:r>
      <w:r w:rsidRPr="00944A50">
        <w:rPr>
          <w:b/>
        </w:rPr>
        <w:t xml:space="preserve"> </w:t>
      </w:r>
      <w:r>
        <w:rPr>
          <w:b/>
        </w:rPr>
        <w:t>2.</w:t>
      </w:r>
      <w:r w:rsidRPr="00E674F7">
        <w:rPr>
          <w:b/>
        </w:rPr>
        <w:t xml:space="preserve"> Feeding mechanism of </w:t>
      </w:r>
      <w:r w:rsidRPr="00E674F7">
        <w:rPr>
          <w:b/>
          <w:i/>
        </w:rPr>
        <w:t>Yanliaomyzon</w:t>
      </w:r>
      <w:r w:rsidRPr="00E674F7">
        <w:rPr>
          <w:b/>
        </w:rPr>
        <w:t xml:space="preserve"> and preys of </w:t>
      </w:r>
      <w:r w:rsidRPr="00E674F7">
        <w:rPr>
          <w:b/>
          <w:i/>
        </w:rPr>
        <w:t>Yanliaomyzon occisor</w:t>
      </w:r>
      <w:r w:rsidRPr="00E674F7">
        <w:rPr>
          <w:b/>
        </w:rPr>
        <w:t xml:space="preserve"> gen. et sp. nov. </w:t>
      </w:r>
      <w:r>
        <w:rPr>
          <w:b/>
        </w:rPr>
        <w:t>a</w:t>
      </w:r>
      <w:r w:rsidRPr="00944A50">
        <w:t>–</w:t>
      </w:r>
      <w:r>
        <w:rPr>
          <w:b/>
        </w:rPr>
        <w:t>g</w:t>
      </w:r>
      <w:r w:rsidRPr="00E674F7">
        <w:t xml:space="preserve">, </w:t>
      </w:r>
      <w:r w:rsidRPr="00E674F7">
        <w:rPr>
          <w:i/>
        </w:rPr>
        <w:t>Yanliaomyzon occisor</w:t>
      </w:r>
      <w:r w:rsidRPr="00E674F7">
        <w:t xml:space="preserve"> gen. et sp. nov. (</w:t>
      </w:r>
      <w:r>
        <w:rPr>
          <w:b/>
        </w:rPr>
        <w:t>a</w:t>
      </w:r>
      <w:r w:rsidRPr="00E674F7">
        <w:rPr>
          <w:b/>
        </w:rPr>
        <w:t>)</w:t>
      </w:r>
      <w:r w:rsidRPr="00E674F7">
        <w:t xml:space="preserve"> </w:t>
      </w:r>
      <w:r w:rsidRPr="00E674F7">
        <w:lastRenderedPageBreak/>
        <w:t>Holotype (IVPP V 15830); (</w:t>
      </w:r>
      <w:r>
        <w:rPr>
          <w:b/>
        </w:rPr>
        <w:t>b</w:t>
      </w:r>
      <w:r w:rsidRPr="00E674F7">
        <w:t>) Close-up of an oral papilla, whitened by ammonia chloride; (</w:t>
      </w:r>
      <w:r>
        <w:rPr>
          <w:b/>
        </w:rPr>
        <w:t>c</w:t>
      </w:r>
      <w:r w:rsidRPr="00E674F7">
        <w:t>) Close-up some intestine contents; (</w:t>
      </w:r>
      <w:r>
        <w:rPr>
          <w:b/>
        </w:rPr>
        <w:t>d</w:t>
      </w:r>
      <w:r w:rsidRPr="00E674F7">
        <w:t>) Some disarticulated bones of an unknown ray-finned fish, image upside-down to facilitate observation; (</w:t>
      </w:r>
      <w:r>
        <w:rPr>
          <w:b/>
        </w:rPr>
        <w:t>e</w:t>
      </w:r>
      <w:r w:rsidRPr="00E674F7">
        <w:t>) an isolated phosphatic tooth within the intestine contents; (</w:t>
      </w:r>
      <w:r>
        <w:rPr>
          <w:b/>
        </w:rPr>
        <w:t>f</w:t>
      </w:r>
      <w:r w:rsidRPr="00E674F7">
        <w:t>) Close-up of (</w:t>
      </w:r>
      <w:r>
        <w:rPr>
          <w:b/>
        </w:rPr>
        <w:t>e</w:t>
      </w:r>
      <w:r w:rsidRPr="00E674F7">
        <w:t>); (</w:t>
      </w:r>
      <w:r>
        <w:rPr>
          <w:b/>
        </w:rPr>
        <w:t>g</w:t>
      </w:r>
      <w:r w:rsidRPr="00E674F7">
        <w:t xml:space="preserve">) Close-up of posterior dorsal fin, arrows pointing to the fin radials; </w:t>
      </w:r>
      <w:r>
        <w:rPr>
          <w:b/>
        </w:rPr>
        <w:t>h</w:t>
      </w:r>
      <w:r w:rsidRPr="00944A50">
        <w:t>–</w:t>
      </w:r>
      <w:r>
        <w:rPr>
          <w:b/>
        </w:rPr>
        <w:t>j</w:t>
      </w:r>
      <w:r w:rsidRPr="00E674F7">
        <w:t xml:space="preserve">, Oral disc and dentition of </w:t>
      </w:r>
      <w:r w:rsidRPr="00E674F7">
        <w:rPr>
          <w:i/>
        </w:rPr>
        <w:t>Yanliaomyzon ingensdentes</w:t>
      </w:r>
      <w:r w:rsidRPr="00E674F7">
        <w:t xml:space="preserve"> gen. et sp. nov. (</w:t>
      </w:r>
      <w:r>
        <w:rPr>
          <w:b/>
        </w:rPr>
        <w:t>h</w:t>
      </w:r>
      <w:r w:rsidRPr="00E674F7">
        <w:t>) Part (IVPP V16716B) and (</w:t>
      </w:r>
      <w:r>
        <w:rPr>
          <w:b/>
        </w:rPr>
        <w:t>i</w:t>
      </w:r>
      <w:r w:rsidRPr="00E674F7">
        <w:t>) counterpart (IVPP V16716B) of the paratype, images whitened by ammonia chloride; (</w:t>
      </w:r>
      <w:r>
        <w:rPr>
          <w:b/>
        </w:rPr>
        <w:t>j</w:t>
      </w:r>
      <w:r w:rsidRPr="00E674F7">
        <w:t xml:space="preserve">) Counterpart (IVPP V16716A) of paratype; </w:t>
      </w:r>
      <w:r>
        <w:rPr>
          <w:b/>
        </w:rPr>
        <w:t>k</w:t>
      </w:r>
      <w:r w:rsidRPr="00E674F7">
        <w:rPr>
          <w:b/>
        </w:rPr>
        <w:t xml:space="preserve"> </w:t>
      </w:r>
      <w:r w:rsidRPr="00E674F7">
        <w:rPr>
          <w:bCs/>
        </w:rPr>
        <w:t>and</w:t>
      </w:r>
      <w:r w:rsidRPr="00E674F7">
        <w:rPr>
          <w:b/>
        </w:rPr>
        <w:t xml:space="preserve"> </w:t>
      </w:r>
      <w:r>
        <w:rPr>
          <w:b/>
        </w:rPr>
        <w:t>l</w:t>
      </w:r>
      <w:r w:rsidRPr="00E674F7">
        <w:t xml:space="preserve">, Oral disc and dentition of holotype of </w:t>
      </w:r>
      <w:r w:rsidRPr="00E674F7">
        <w:rPr>
          <w:i/>
        </w:rPr>
        <w:t>Yanliaomyzon occisor</w:t>
      </w:r>
      <w:r w:rsidRPr="00E674F7">
        <w:t xml:space="preserve"> gen. et sp. nov. (</w:t>
      </w:r>
      <w:r>
        <w:rPr>
          <w:b/>
        </w:rPr>
        <w:t>k</w:t>
      </w:r>
      <w:r w:rsidRPr="00E674F7">
        <w:t>) Photograph, (</w:t>
      </w:r>
      <w:r>
        <w:rPr>
          <w:b/>
        </w:rPr>
        <w:t>l</w:t>
      </w:r>
      <w:r w:rsidRPr="00E674F7">
        <w:t xml:space="preserve">) Computed tomography (produced using VGstudio 2.2), showing the morphology of the dentition which was actually preserved as a depressed mold. </w:t>
      </w:r>
    </w:p>
    <w:p w14:paraId="2FFECBAE" w14:textId="77777777" w:rsidR="009E10A5" w:rsidRPr="00E674F7" w:rsidRDefault="009E10A5" w:rsidP="009E10A5">
      <w:pPr>
        <w:jc w:val="both"/>
      </w:pPr>
    </w:p>
    <w:p w14:paraId="5CD89100" w14:textId="77777777" w:rsidR="009E10A5" w:rsidRPr="00E674F7" w:rsidRDefault="009E10A5" w:rsidP="009E10A5">
      <w:pPr>
        <w:jc w:val="both"/>
      </w:pPr>
      <w:r w:rsidRPr="00E674F7">
        <w:rPr>
          <w:noProof/>
        </w:rPr>
        <w:drawing>
          <wp:inline distT="0" distB="0" distL="0" distR="0" wp14:anchorId="783346B4" wp14:editId="622C56A8">
            <wp:extent cx="5270500" cy="4604385"/>
            <wp:effectExtent l="0" t="0" r="0" b="5715"/>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pic:cNvPicPr/>
                  </pic:nvPicPr>
                  <pic:blipFill>
                    <a:blip r:embed="rId7" cstate="print">
                      <a:extLst>
                        <a:ext uri="{28A0092B-C50C-407E-A947-70E740481C1C}">
                          <a14:useLocalDpi xmlns:a14="http://schemas.microsoft.com/office/drawing/2010/main" val="0"/>
                        </a:ext>
                      </a:extLst>
                    </a:blip>
                    <a:stretch>
                      <a:fillRect/>
                    </a:stretch>
                  </pic:blipFill>
                  <pic:spPr>
                    <a:xfrm>
                      <a:off x="0" y="0"/>
                      <a:ext cx="5270500" cy="4604385"/>
                    </a:xfrm>
                    <a:prstGeom prst="rect">
                      <a:avLst/>
                    </a:prstGeom>
                  </pic:spPr>
                </pic:pic>
              </a:graphicData>
            </a:graphic>
          </wp:inline>
        </w:drawing>
      </w:r>
    </w:p>
    <w:p w14:paraId="7B3F8F14" w14:textId="77777777" w:rsidR="009E10A5" w:rsidRDefault="009E10A5" w:rsidP="009E10A5">
      <w:pPr>
        <w:spacing w:line="360" w:lineRule="auto"/>
        <w:jc w:val="both"/>
      </w:pPr>
      <w:r w:rsidRPr="00944A50">
        <w:rPr>
          <w:b/>
        </w:rPr>
        <w:lastRenderedPageBreak/>
        <w:t>Extended Data Fig</w:t>
      </w:r>
      <w:r>
        <w:rPr>
          <w:b/>
        </w:rPr>
        <w:t>ure</w:t>
      </w:r>
      <w:r w:rsidRPr="00944A50">
        <w:rPr>
          <w:b/>
        </w:rPr>
        <w:t xml:space="preserve"> </w:t>
      </w:r>
      <w:r>
        <w:rPr>
          <w:b/>
        </w:rPr>
        <w:t>3.</w:t>
      </w:r>
      <w:r w:rsidRPr="00E674F7">
        <w:t xml:space="preserve"> Dated phylogeny (timetree) of cyclostomes and the evolutionary rates of their feeding mechanism. The colo</w:t>
      </w:r>
      <w:r>
        <w:t>u</w:t>
      </w:r>
      <w:r w:rsidRPr="00E674F7">
        <w:t>r of the branch represents the median relative rate of the feeding mechanism characters at that branch. The median values of the relative rates in some focal branches are also shown. For abbreviations see the legend of Fig. 3. For more parameter estimates, such as the branch rates of different partitions, see the log file and tree file (</w:t>
      </w:r>
      <w:r>
        <w:t>Extended D</w:t>
      </w:r>
      <w:r w:rsidRPr="00E674F7">
        <w:t xml:space="preserve">ata </w:t>
      </w:r>
      <w:r>
        <w:t xml:space="preserve">Files </w:t>
      </w:r>
      <w:r w:rsidRPr="00E674F7">
        <w:t>2</w:t>
      </w:r>
      <w:r>
        <w:t xml:space="preserve">, </w:t>
      </w:r>
      <w:r w:rsidRPr="00E674F7">
        <w:t>3).</w:t>
      </w:r>
    </w:p>
    <w:p w14:paraId="5060E98D" w14:textId="77777777" w:rsidR="009E10A5" w:rsidRDefault="009E10A5" w:rsidP="009E10A5">
      <w:pPr>
        <w:spacing w:line="360" w:lineRule="auto"/>
        <w:jc w:val="both"/>
      </w:pPr>
    </w:p>
    <w:p w14:paraId="30ECA6A8" w14:textId="77777777" w:rsidR="009E10A5" w:rsidRDefault="009E10A5" w:rsidP="009E10A5">
      <w:pPr>
        <w:spacing w:line="360" w:lineRule="auto"/>
        <w:jc w:val="both"/>
      </w:pPr>
    </w:p>
    <w:p w14:paraId="01C24C1C" w14:textId="77777777" w:rsidR="009E10A5" w:rsidRDefault="009E10A5" w:rsidP="009E10A5">
      <w:pPr>
        <w:spacing w:line="360" w:lineRule="auto"/>
        <w:jc w:val="both"/>
      </w:pPr>
    </w:p>
    <w:p w14:paraId="15EE6FD1" w14:textId="77777777" w:rsidR="009E10A5" w:rsidRPr="00E674F7" w:rsidRDefault="009E10A5" w:rsidP="009E10A5">
      <w:pPr>
        <w:spacing w:line="360" w:lineRule="auto"/>
        <w:jc w:val="both"/>
        <w:sectPr w:rsidR="009E10A5" w:rsidRPr="00E674F7">
          <w:headerReference w:type="default" r:id="rId8"/>
          <w:footerReference w:type="even" r:id="rId9"/>
          <w:footerReference w:type="default" r:id="rId10"/>
          <w:pgSz w:w="11900" w:h="16840"/>
          <w:pgMar w:top="1440" w:right="1800" w:bottom="1440" w:left="1800" w:header="851" w:footer="992" w:gutter="0"/>
          <w:lnNumType w:countBy="1" w:restart="continuous"/>
          <w:cols w:space="425"/>
          <w:docGrid w:type="lines" w:linePitch="326"/>
        </w:sectPr>
      </w:pPr>
    </w:p>
    <w:p w14:paraId="77446DC1" w14:textId="77777777" w:rsidR="009E10A5" w:rsidRPr="00E674F7" w:rsidRDefault="009E10A5" w:rsidP="009E10A5">
      <w:pPr>
        <w:pStyle w:val="p1"/>
        <w:jc w:val="both"/>
        <w:rPr>
          <w:rFonts w:ascii="Times New Roman" w:hAnsi="Times New Roman"/>
          <w:b/>
          <w:sz w:val="24"/>
          <w:szCs w:val="24"/>
        </w:rPr>
      </w:pPr>
      <w:r>
        <w:rPr>
          <w:rFonts w:ascii="Times New Roman" w:hAnsi="Times New Roman"/>
          <w:b/>
          <w:sz w:val="24"/>
          <w:szCs w:val="24"/>
        </w:rPr>
        <w:lastRenderedPageBreak/>
        <w:t xml:space="preserve">Supplementary </w:t>
      </w:r>
      <w:r w:rsidRPr="00E674F7">
        <w:rPr>
          <w:rFonts w:ascii="Times New Roman" w:hAnsi="Times New Roman"/>
          <w:b/>
          <w:sz w:val="24"/>
          <w:szCs w:val="24"/>
        </w:rPr>
        <w:t xml:space="preserve">Table 1. Meristic measurements of </w:t>
      </w:r>
      <w:r w:rsidRPr="00E674F7">
        <w:rPr>
          <w:rFonts w:ascii="Times New Roman" w:hAnsi="Times New Roman"/>
          <w:b/>
          <w:i/>
          <w:sz w:val="24"/>
          <w:szCs w:val="24"/>
        </w:rPr>
        <w:t xml:space="preserve">Yanliaomyzon occisor </w:t>
      </w:r>
      <w:r w:rsidRPr="00E674F7">
        <w:rPr>
          <w:rFonts w:ascii="Times New Roman" w:hAnsi="Times New Roman"/>
          <w:b/>
          <w:sz w:val="24"/>
          <w:szCs w:val="24"/>
        </w:rPr>
        <w:t xml:space="preserve">gen. et sp. nov and </w:t>
      </w:r>
      <w:r w:rsidRPr="00E674F7">
        <w:rPr>
          <w:rFonts w:ascii="Times New Roman" w:hAnsi="Times New Roman"/>
          <w:b/>
          <w:i/>
          <w:sz w:val="24"/>
          <w:szCs w:val="24"/>
        </w:rPr>
        <w:t xml:space="preserve">Yanliaomyzon ingensdentes </w:t>
      </w:r>
      <w:r w:rsidRPr="00E674F7">
        <w:rPr>
          <w:rFonts w:ascii="Times New Roman" w:hAnsi="Times New Roman"/>
          <w:b/>
          <w:sz w:val="24"/>
          <w:szCs w:val="24"/>
        </w:rPr>
        <w:t>gen. et sp. nov, and comparison with other fossil lampreys</w:t>
      </w:r>
    </w:p>
    <w:p w14:paraId="17338B3D" w14:textId="77777777" w:rsidR="009E10A5" w:rsidRPr="00E674F7" w:rsidRDefault="009E10A5" w:rsidP="009E10A5">
      <w:pPr>
        <w:jc w:val="both"/>
        <w:rPr>
          <w:sz w:val="21"/>
          <w:szCs w:val="21"/>
        </w:rPr>
      </w:pPr>
      <w:r w:rsidRPr="00E674F7">
        <w:rPr>
          <w:sz w:val="21"/>
          <w:szCs w:val="21"/>
        </w:rPr>
        <w:t xml:space="preserve">Abbreviations and interpretations: </w:t>
      </w:r>
      <w:r w:rsidRPr="00E674F7">
        <w:rPr>
          <w:b/>
          <w:sz w:val="21"/>
          <w:szCs w:val="21"/>
        </w:rPr>
        <w:t>a</w:t>
      </w:r>
      <w:r w:rsidRPr="00E674F7">
        <w:rPr>
          <w:sz w:val="21"/>
          <w:szCs w:val="21"/>
        </w:rPr>
        <w:t xml:space="preserve">, cloacal slit length; </w:t>
      </w:r>
      <w:r w:rsidRPr="00E674F7">
        <w:rPr>
          <w:b/>
          <w:sz w:val="21"/>
          <w:szCs w:val="21"/>
        </w:rPr>
        <w:t>a-C</w:t>
      </w:r>
      <w:r w:rsidRPr="00E674F7">
        <w:rPr>
          <w:sz w:val="21"/>
          <w:szCs w:val="21"/>
        </w:rPr>
        <w:t xml:space="preserve">, tail length; </w:t>
      </w:r>
      <w:r w:rsidRPr="00E674F7">
        <w:rPr>
          <w:b/>
          <w:sz w:val="21"/>
          <w:szCs w:val="21"/>
        </w:rPr>
        <w:t>d</w:t>
      </w:r>
      <w:r w:rsidRPr="00E674F7">
        <w:rPr>
          <w:sz w:val="21"/>
          <w:szCs w:val="21"/>
        </w:rPr>
        <w:t xml:space="preserve">, oral disc length; </w:t>
      </w:r>
      <w:r w:rsidRPr="00E674F7">
        <w:rPr>
          <w:b/>
          <w:sz w:val="21"/>
          <w:szCs w:val="21"/>
        </w:rPr>
        <w:t>d-O</w:t>
      </w:r>
      <w:r w:rsidRPr="00E674F7">
        <w:rPr>
          <w:sz w:val="21"/>
          <w:szCs w:val="21"/>
        </w:rPr>
        <w:t xml:space="preserve">, preorbital length (from anteriormost internal edge of oral disc to anterior edge of eye); </w:t>
      </w:r>
      <w:r w:rsidRPr="00E674F7">
        <w:rPr>
          <w:b/>
          <w:sz w:val="21"/>
          <w:szCs w:val="21"/>
        </w:rPr>
        <w:t>d-B1</w:t>
      </w:r>
      <w:r w:rsidRPr="00E674F7">
        <w:rPr>
          <w:sz w:val="21"/>
          <w:szCs w:val="21"/>
        </w:rPr>
        <w:t xml:space="preserve">, prebranchial length or head length; </w:t>
      </w:r>
      <w:r w:rsidRPr="00E674F7">
        <w:rPr>
          <w:b/>
          <w:sz w:val="21"/>
          <w:szCs w:val="21"/>
        </w:rPr>
        <w:t>d-n</w:t>
      </w:r>
      <w:r w:rsidRPr="00E674F7">
        <w:rPr>
          <w:sz w:val="21"/>
          <w:szCs w:val="21"/>
        </w:rPr>
        <w:t xml:space="preserve">, snout length (narial opening not well-preserved, measured between anterior edge of naso-hypophysial organ to anteriormost internal edge of oral disc); </w:t>
      </w:r>
      <w:r w:rsidRPr="00E674F7">
        <w:rPr>
          <w:b/>
          <w:sz w:val="21"/>
          <w:szCs w:val="21"/>
        </w:rPr>
        <w:t>B</w:t>
      </w:r>
      <w:r w:rsidRPr="00E674F7">
        <w:rPr>
          <w:b/>
          <w:sz w:val="21"/>
          <w:szCs w:val="21"/>
          <w:vertAlign w:val="subscript"/>
        </w:rPr>
        <w:t>1</w:t>
      </w:r>
      <w:r w:rsidRPr="00E674F7">
        <w:rPr>
          <w:b/>
          <w:sz w:val="21"/>
          <w:szCs w:val="21"/>
        </w:rPr>
        <w:t>-B</w:t>
      </w:r>
      <w:r w:rsidRPr="00E674F7">
        <w:rPr>
          <w:b/>
          <w:sz w:val="21"/>
          <w:szCs w:val="21"/>
          <w:vertAlign w:val="subscript"/>
        </w:rPr>
        <w:t>2</w:t>
      </w:r>
      <w:r w:rsidRPr="00E674F7">
        <w:rPr>
          <w:sz w:val="21"/>
          <w:szCs w:val="21"/>
        </w:rPr>
        <w:t xml:space="preserve">, interbranchial opening length; </w:t>
      </w:r>
      <w:r w:rsidRPr="00E674F7">
        <w:rPr>
          <w:b/>
          <w:sz w:val="21"/>
          <w:szCs w:val="21"/>
        </w:rPr>
        <w:t>B</w:t>
      </w:r>
      <w:r w:rsidRPr="00E674F7">
        <w:rPr>
          <w:b/>
          <w:sz w:val="21"/>
          <w:szCs w:val="21"/>
          <w:vertAlign w:val="subscript"/>
        </w:rPr>
        <w:t>1</w:t>
      </w:r>
      <w:r w:rsidRPr="00E674F7">
        <w:rPr>
          <w:b/>
          <w:sz w:val="21"/>
          <w:szCs w:val="21"/>
        </w:rPr>
        <w:t>-B</w:t>
      </w:r>
      <w:r w:rsidRPr="00E674F7">
        <w:rPr>
          <w:b/>
          <w:sz w:val="21"/>
          <w:szCs w:val="21"/>
          <w:vertAlign w:val="subscript"/>
        </w:rPr>
        <w:t>7</w:t>
      </w:r>
      <w:r w:rsidRPr="00E674F7">
        <w:rPr>
          <w:sz w:val="21"/>
          <w:szCs w:val="21"/>
        </w:rPr>
        <w:t xml:space="preserve">, branchial length; </w:t>
      </w:r>
      <w:r w:rsidRPr="00E674F7">
        <w:rPr>
          <w:b/>
          <w:sz w:val="21"/>
          <w:szCs w:val="21"/>
        </w:rPr>
        <w:t>B</w:t>
      </w:r>
      <w:r w:rsidRPr="00E674F7">
        <w:rPr>
          <w:b/>
          <w:sz w:val="21"/>
          <w:szCs w:val="21"/>
          <w:vertAlign w:val="subscript"/>
        </w:rPr>
        <w:t>7</w:t>
      </w:r>
      <w:r w:rsidRPr="00E674F7">
        <w:rPr>
          <w:b/>
          <w:sz w:val="21"/>
          <w:szCs w:val="21"/>
        </w:rPr>
        <w:t>-a</w:t>
      </w:r>
      <w:r w:rsidRPr="00E674F7">
        <w:rPr>
          <w:sz w:val="21"/>
          <w:szCs w:val="21"/>
        </w:rPr>
        <w:t xml:space="preserve">, trunk length; </w:t>
      </w:r>
      <w:r w:rsidRPr="00E674F7">
        <w:rPr>
          <w:b/>
          <w:sz w:val="21"/>
          <w:szCs w:val="21"/>
        </w:rPr>
        <w:t>Hh</w:t>
      </w:r>
      <w:r w:rsidRPr="00E674F7">
        <w:rPr>
          <w:sz w:val="21"/>
          <w:szCs w:val="21"/>
        </w:rPr>
        <w:t xml:space="preserve">, head height (measured at the level of posterior edge of eye); </w:t>
      </w:r>
      <w:r w:rsidRPr="00E674F7">
        <w:rPr>
          <w:b/>
          <w:sz w:val="21"/>
          <w:szCs w:val="21"/>
        </w:rPr>
        <w:t>I</w:t>
      </w:r>
      <w:r w:rsidRPr="00E674F7">
        <w:rPr>
          <w:sz w:val="21"/>
          <w:szCs w:val="21"/>
        </w:rPr>
        <w:t xml:space="preserve">, interocular length; </w:t>
      </w:r>
      <w:r w:rsidRPr="00E674F7">
        <w:rPr>
          <w:b/>
          <w:sz w:val="21"/>
          <w:szCs w:val="21"/>
        </w:rPr>
        <w:t>mn</w:t>
      </w:r>
      <w:r w:rsidRPr="00E674F7">
        <w:rPr>
          <w:sz w:val="21"/>
          <w:szCs w:val="21"/>
        </w:rPr>
        <w:t xml:space="preserve">, number of trunk myomeres; </w:t>
      </w:r>
      <w:r w:rsidRPr="00E674F7">
        <w:rPr>
          <w:b/>
          <w:sz w:val="21"/>
          <w:szCs w:val="21"/>
        </w:rPr>
        <w:t>O</w:t>
      </w:r>
      <w:r w:rsidRPr="00E674F7">
        <w:rPr>
          <w:sz w:val="21"/>
          <w:szCs w:val="21"/>
        </w:rPr>
        <w:t xml:space="preserve">, eye length; </w:t>
      </w:r>
      <w:r w:rsidRPr="00E674F7">
        <w:rPr>
          <w:b/>
          <w:sz w:val="21"/>
          <w:szCs w:val="21"/>
        </w:rPr>
        <w:t>oa</w:t>
      </w:r>
      <w:r w:rsidRPr="00E674F7">
        <w:rPr>
          <w:sz w:val="21"/>
          <w:szCs w:val="21"/>
        </w:rPr>
        <w:t xml:space="preserve">, length between oral disc tip to cloaca; </w:t>
      </w:r>
      <w:r w:rsidRPr="00E674F7">
        <w:rPr>
          <w:b/>
          <w:sz w:val="21"/>
          <w:szCs w:val="21"/>
        </w:rPr>
        <w:t>O-B</w:t>
      </w:r>
      <w:r w:rsidRPr="00E674F7">
        <w:rPr>
          <w:b/>
          <w:sz w:val="21"/>
          <w:szCs w:val="21"/>
          <w:vertAlign w:val="subscript"/>
        </w:rPr>
        <w:t>1</w:t>
      </w:r>
      <w:r w:rsidRPr="00E674F7">
        <w:rPr>
          <w:sz w:val="21"/>
          <w:szCs w:val="21"/>
        </w:rPr>
        <w:t xml:space="preserve">, postocular length; </w:t>
      </w:r>
      <w:r w:rsidRPr="00E674F7">
        <w:rPr>
          <w:b/>
          <w:sz w:val="21"/>
          <w:szCs w:val="21"/>
        </w:rPr>
        <w:t>od</w:t>
      </w:r>
      <w:r w:rsidRPr="00E674F7">
        <w:rPr>
          <w:sz w:val="21"/>
          <w:szCs w:val="21"/>
        </w:rPr>
        <w:t xml:space="preserve">, length of maximal axis of the oral disc; </w:t>
      </w:r>
      <w:r w:rsidRPr="00E674F7">
        <w:rPr>
          <w:b/>
          <w:sz w:val="21"/>
          <w:szCs w:val="21"/>
        </w:rPr>
        <w:t>TL</w:t>
      </w:r>
      <w:r w:rsidRPr="00E674F7">
        <w:rPr>
          <w:sz w:val="21"/>
          <w:szCs w:val="21"/>
        </w:rPr>
        <w:t>, total length.</w:t>
      </w:r>
    </w:p>
    <w:p w14:paraId="2F715C08" w14:textId="77777777" w:rsidR="009E10A5" w:rsidRPr="00E674F7" w:rsidRDefault="009E10A5" w:rsidP="009E10A5">
      <w:pPr>
        <w:jc w:val="both"/>
        <w:rPr>
          <w:sz w:val="21"/>
          <w:szCs w:val="21"/>
        </w:rPr>
      </w:pPr>
    </w:p>
    <w:tbl>
      <w:tblPr>
        <w:tblW w:w="14942" w:type="dxa"/>
        <w:tblInd w:w="50" w:type="dxa"/>
        <w:tblLayout w:type="fixed"/>
        <w:tblLook w:val="04A0" w:firstRow="1" w:lastRow="0" w:firstColumn="1" w:lastColumn="0" w:noHBand="0" w:noVBand="1"/>
      </w:tblPr>
      <w:tblGrid>
        <w:gridCol w:w="1488"/>
        <w:gridCol w:w="916"/>
        <w:gridCol w:w="1077"/>
        <w:gridCol w:w="1027"/>
        <w:gridCol w:w="811"/>
        <w:gridCol w:w="1371"/>
        <w:gridCol w:w="706"/>
        <w:gridCol w:w="654"/>
        <w:gridCol w:w="660"/>
        <w:gridCol w:w="777"/>
        <w:gridCol w:w="759"/>
        <w:gridCol w:w="1021"/>
        <w:gridCol w:w="706"/>
        <w:gridCol w:w="777"/>
        <w:gridCol w:w="496"/>
        <w:gridCol w:w="706"/>
        <w:gridCol w:w="990"/>
      </w:tblGrid>
      <w:tr w:rsidR="009E10A5" w:rsidRPr="00E674F7" w14:paraId="06FB67CE" w14:textId="77777777" w:rsidTr="00712998">
        <w:trPr>
          <w:trHeight w:val="333"/>
        </w:trPr>
        <w:tc>
          <w:tcPr>
            <w:tcW w:w="1488"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2AE47394" w14:textId="77777777" w:rsidR="009E10A5" w:rsidRPr="00E674F7" w:rsidRDefault="009E10A5" w:rsidP="00712998">
            <w:pPr>
              <w:jc w:val="center"/>
              <w:rPr>
                <w:rFonts w:eastAsia="宋体"/>
                <w:b/>
                <w:sz w:val="21"/>
                <w:szCs w:val="21"/>
              </w:rPr>
            </w:pPr>
            <w:r w:rsidRPr="00E674F7">
              <w:rPr>
                <w:rFonts w:eastAsia="宋体"/>
                <w:b/>
                <w:sz w:val="21"/>
                <w:szCs w:val="21"/>
              </w:rPr>
              <w:t>Taxon</w:t>
            </w:r>
          </w:p>
        </w:tc>
        <w:tc>
          <w:tcPr>
            <w:tcW w:w="916"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1932B1FC" w14:textId="77777777" w:rsidR="009E10A5" w:rsidRPr="00E674F7" w:rsidRDefault="009E10A5" w:rsidP="00712998">
            <w:pPr>
              <w:jc w:val="center"/>
              <w:rPr>
                <w:rFonts w:eastAsia="宋体"/>
                <w:b/>
                <w:bCs/>
                <w:sz w:val="21"/>
                <w:szCs w:val="21"/>
              </w:rPr>
            </w:pPr>
            <w:r w:rsidRPr="00E674F7">
              <w:rPr>
                <w:rFonts w:eastAsia="宋体"/>
                <w:b/>
                <w:bCs/>
                <w:sz w:val="21"/>
                <w:szCs w:val="21"/>
              </w:rPr>
              <w:t>TL</w:t>
            </w:r>
          </w:p>
        </w:tc>
        <w:tc>
          <w:tcPr>
            <w:tcW w:w="1077"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14:paraId="48E2D362" w14:textId="77777777" w:rsidR="009E10A5" w:rsidRPr="00E674F7" w:rsidRDefault="009E10A5" w:rsidP="00712998">
            <w:pPr>
              <w:jc w:val="center"/>
              <w:rPr>
                <w:rFonts w:eastAsia="宋体"/>
                <w:b/>
                <w:bCs/>
                <w:sz w:val="21"/>
                <w:szCs w:val="21"/>
              </w:rPr>
            </w:pPr>
            <w:r w:rsidRPr="00E674F7">
              <w:rPr>
                <w:rFonts w:eastAsia="宋体"/>
                <w:b/>
                <w:bCs/>
                <w:sz w:val="21"/>
                <w:szCs w:val="21"/>
              </w:rPr>
              <w:t>BD/TL</w:t>
            </w:r>
            <w:r w:rsidRPr="00E674F7">
              <w:rPr>
                <w:rFonts w:eastAsia="宋体"/>
                <w:b/>
                <w:bCs/>
                <w:sz w:val="21"/>
                <w:szCs w:val="21"/>
              </w:rPr>
              <w:t>（</w:t>
            </w:r>
            <w:r w:rsidRPr="00E674F7">
              <w:rPr>
                <w:rFonts w:eastAsia="宋体"/>
                <w:b/>
                <w:bCs/>
                <w:sz w:val="21"/>
                <w:szCs w:val="21"/>
              </w:rPr>
              <w:t>%</w:t>
            </w:r>
            <w:r w:rsidRPr="00E674F7">
              <w:rPr>
                <w:rFonts w:eastAsia="宋体"/>
                <w:b/>
                <w:bCs/>
                <w:sz w:val="21"/>
                <w:szCs w:val="21"/>
              </w:rPr>
              <w:t>）</w:t>
            </w:r>
          </w:p>
        </w:tc>
        <w:tc>
          <w:tcPr>
            <w:tcW w:w="1027"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40D43157" w14:textId="77777777" w:rsidR="009E10A5" w:rsidRPr="00E674F7" w:rsidRDefault="009E10A5" w:rsidP="00712998">
            <w:pPr>
              <w:jc w:val="center"/>
              <w:rPr>
                <w:rFonts w:eastAsia="宋体"/>
                <w:b/>
                <w:bCs/>
                <w:sz w:val="21"/>
                <w:szCs w:val="21"/>
              </w:rPr>
            </w:pPr>
            <w:r w:rsidRPr="00E674F7">
              <w:rPr>
                <w:rFonts w:eastAsia="宋体"/>
                <w:b/>
                <w:bCs/>
                <w:sz w:val="21"/>
                <w:szCs w:val="21"/>
              </w:rPr>
              <w:t>oa</w:t>
            </w:r>
          </w:p>
        </w:tc>
        <w:tc>
          <w:tcPr>
            <w:tcW w:w="811"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2775AF2C" w14:textId="77777777" w:rsidR="009E10A5" w:rsidRPr="00E674F7" w:rsidRDefault="009E10A5" w:rsidP="00712998">
            <w:pPr>
              <w:jc w:val="center"/>
              <w:rPr>
                <w:rFonts w:eastAsia="宋体"/>
                <w:b/>
                <w:bCs/>
                <w:sz w:val="21"/>
                <w:szCs w:val="21"/>
              </w:rPr>
            </w:pPr>
            <w:r w:rsidRPr="00E674F7">
              <w:rPr>
                <w:rFonts w:eastAsia="宋体"/>
                <w:b/>
                <w:bCs/>
                <w:sz w:val="21"/>
                <w:szCs w:val="21"/>
              </w:rPr>
              <w:t>B7-a</w:t>
            </w:r>
          </w:p>
        </w:tc>
        <w:tc>
          <w:tcPr>
            <w:tcW w:w="1371"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68CDF948" w14:textId="77777777" w:rsidR="009E10A5" w:rsidRPr="00E674F7" w:rsidRDefault="009E10A5" w:rsidP="00712998">
            <w:pPr>
              <w:jc w:val="center"/>
              <w:rPr>
                <w:rFonts w:eastAsia="宋体"/>
                <w:b/>
                <w:bCs/>
                <w:sz w:val="21"/>
                <w:szCs w:val="21"/>
              </w:rPr>
            </w:pPr>
            <w:r w:rsidRPr="00E674F7">
              <w:rPr>
                <w:rFonts w:eastAsia="宋体"/>
                <w:b/>
                <w:bCs/>
                <w:sz w:val="21"/>
                <w:szCs w:val="21"/>
              </w:rPr>
              <w:t>a-C</w:t>
            </w:r>
          </w:p>
        </w:tc>
        <w:tc>
          <w:tcPr>
            <w:tcW w:w="706"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40E1383E" w14:textId="77777777" w:rsidR="009E10A5" w:rsidRPr="00E674F7" w:rsidRDefault="009E10A5" w:rsidP="00712998">
            <w:pPr>
              <w:jc w:val="center"/>
              <w:rPr>
                <w:rFonts w:eastAsia="宋体"/>
                <w:b/>
                <w:bCs/>
                <w:sz w:val="21"/>
                <w:szCs w:val="21"/>
              </w:rPr>
            </w:pPr>
            <w:r w:rsidRPr="00E674F7">
              <w:rPr>
                <w:rFonts w:eastAsia="宋体"/>
                <w:b/>
                <w:bCs/>
                <w:sz w:val="21"/>
                <w:szCs w:val="21"/>
              </w:rPr>
              <w:t>d-n</w:t>
            </w:r>
          </w:p>
        </w:tc>
        <w:tc>
          <w:tcPr>
            <w:tcW w:w="654"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1B376A62" w14:textId="77777777" w:rsidR="009E10A5" w:rsidRPr="00E674F7" w:rsidRDefault="009E10A5" w:rsidP="00712998">
            <w:pPr>
              <w:jc w:val="center"/>
              <w:rPr>
                <w:rFonts w:eastAsia="宋体"/>
                <w:b/>
                <w:bCs/>
                <w:sz w:val="21"/>
                <w:szCs w:val="21"/>
              </w:rPr>
            </w:pPr>
            <w:r w:rsidRPr="00E674F7">
              <w:rPr>
                <w:rFonts w:eastAsia="宋体"/>
                <w:b/>
                <w:bCs/>
                <w:sz w:val="21"/>
                <w:szCs w:val="21"/>
              </w:rPr>
              <w:t>O</w:t>
            </w:r>
          </w:p>
        </w:tc>
        <w:tc>
          <w:tcPr>
            <w:tcW w:w="660"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37F8EC7F" w14:textId="77777777" w:rsidR="009E10A5" w:rsidRPr="00E674F7" w:rsidRDefault="009E10A5" w:rsidP="00712998">
            <w:pPr>
              <w:jc w:val="center"/>
              <w:rPr>
                <w:rFonts w:eastAsia="宋体"/>
                <w:b/>
                <w:bCs/>
                <w:sz w:val="21"/>
                <w:szCs w:val="21"/>
              </w:rPr>
            </w:pPr>
            <w:r w:rsidRPr="00E674F7">
              <w:rPr>
                <w:rFonts w:eastAsia="宋体"/>
                <w:b/>
                <w:bCs/>
                <w:sz w:val="21"/>
                <w:szCs w:val="21"/>
              </w:rPr>
              <w:t>O-B</w:t>
            </w:r>
            <w:r w:rsidRPr="00E674F7">
              <w:rPr>
                <w:rFonts w:eastAsia="宋体"/>
                <w:b/>
                <w:bCs/>
                <w:sz w:val="21"/>
                <w:szCs w:val="21"/>
                <w:vertAlign w:val="subscript"/>
              </w:rPr>
              <w:t>1</w:t>
            </w:r>
          </w:p>
        </w:tc>
        <w:tc>
          <w:tcPr>
            <w:tcW w:w="777"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63959522" w14:textId="77777777" w:rsidR="009E10A5" w:rsidRPr="00E674F7" w:rsidRDefault="009E10A5" w:rsidP="00712998">
            <w:pPr>
              <w:jc w:val="center"/>
              <w:rPr>
                <w:rFonts w:eastAsia="宋体"/>
                <w:b/>
                <w:bCs/>
                <w:sz w:val="21"/>
                <w:szCs w:val="21"/>
              </w:rPr>
            </w:pPr>
            <w:r w:rsidRPr="00E674F7">
              <w:rPr>
                <w:rFonts w:eastAsia="宋体"/>
                <w:b/>
                <w:bCs/>
                <w:sz w:val="21"/>
                <w:szCs w:val="21"/>
              </w:rPr>
              <w:t>B1-B2</w:t>
            </w:r>
          </w:p>
        </w:tc>
        <w:tc>
          <w:tcPr>
            <w:tcW w:w="759"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7C8720C0" w14:textId="77777777" w:rsidR="009E10A5" w:rsidRPr="00E674F7" w:rsidRDefault="009E10A5" w:rsidP="00712998">
            <w:pPr>
              <w:jc w:val="center"/>
              <w:rPr>
                <w:rFonts w:eastAsia="宋体"/>
                <w:b/>
                <w:bCs/>
                <w:sz w:val="21"/>
                <w:szCs w:val="21"/>
              </w:rPr>
            </w:pPr>
            <w:r w:rsidRPr="00E674F7">
              <w:rPr>
                <w:rFonts w:eastAsia="宋体"/>
                <w:b/>
                <w:bCs/>
                <w:sz w:val="21"/>
                <w:szCs w:val="21"/>
              </w:rPr>
              <w:t>d</w:t>
            </w:r>
          </w:p>
        </w:tc>
        <w:tc>
          <w:tcPr>
            <w:tcW w:w="1021"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67005910" w14:textId="77777777" w:rsidR="009E10A5" w:rsidRPr="00E674F7" w:rsidRDefault="009E10A5" w:rsidP="00712998">
            <w:pPr>
              <w:jc w:val="center"/>
              <w:rPr>
                <w:rFonts w:eastAsia="宋体"/>
                <w:b/>
                <w:bCs/>
                <w:sz w:val="21"/>
                <w:szCs w:val="21"/>
              </w:rPr>
            </w:pPr>
            <w:r w:rsidRPr="00E674F7">
              <w:rPr>
                <w:rFonts w:eastAsia="宋体"/>
                <w:b/>
                <w:bCs/>
                <w:sz w:val="21"/>
                <w:szCs w:val="21"/>
              </w:rPr>
              <w:t>d-O</w:t>
            </w:r>
          </w:p>
        </w:tc>
        <w:tc>
          <w:tcPr>
            <w:tcW w:w="706"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1365A9A2" w14:textId="77777777" w:rsidR="009E10A5" w:rsidRPr="00E674F7" w:rsidRDefault="009E10A5" w:rsidP="00712998">
            <w:pPr>
              <w:jc w:val="center"/>
              <w:rPr>
                <w:rFonts w:eastAsia="宋体"/>
                <w:b/>
                <w:bCs/>
                <w:sz w:val="21"/>
                <w:szCs w:val="21"/>
              </w:rPr>
            </w:pPr>
            <w:r w:rsidRPr="00E674F7">
              <w:rPr>
                <w:rFonts w:eastAsia="宋体"/>
                <w:b/>
                <w:bCs/>
                <w:sz w:val="21"/>
                <w:szCs w:val="21"/>
              </w:rPr>
              <w:t>d-B1</w:t>
            </w:r>
          </w:p>
        </w:tc>
        <w:tc>
          <w:tcPr>
            <w:tcW w:w="777"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3E297821" w14:textId="77777777" w:rsidR="009E10A5" w:rsidRPr="00E674F7" w:rsidRDefault="009E10A5" w:rsidP="00712998">
            <w:pPr>
              <w:jc w:val="center"/>
              <w:rPr>
                <w:rFonts w:eastAsia="宋体"/>
                <w:b/>
                <w:bCs/>
                <w:sz w:val="21"/>
                <w:szCs w:val="21"/>
              </w:rPr>
            </w:pPr>
            <w:r w:rsidRPr="00E674F7">
              <w:rPr>
                <w:rFonts w:eastAsia="宋体"/>
                <w:b/>
                <w:bCs/>
                <w:sz w:val="21"/>
                <w:szCs w:val="21"/>
              </w:rPr>
              <w:t>B1-B7</w:t>
            </w:r>
          </w:p>
        </w:tc>
        <w:tc>
          <w:tcPr>
            <w:tcW w:w="496"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57F26061" w14:textId="77777777" w:rsidR="009E10A5" w:rsidRPr="00E674F7" w:rsidRDefault="009E10A5" w:rsidP="00712998">
            <w:pPr>
              <w:jc w:val="center"/>
              <w:rPr>
                <w:rFonts w:eastAsia="宋体"/>
                <w:b/>
                <w:bCs/>
                <w:sz w:val="21"/>
                <w:szCs w:val="21"/>
              </w:rPr>
            </w:pPr>
            <w:r w:rsidRPr="00E674F7">
              <w:rPr>
                <w:rFonts w:eastAsia="宋体"/>
                <w:b/>
                <w:bCs/>
                <w:sz w:val="21"/>
                <w:szCs w:val="21"/>
              </w:rPr>
              <w:t>a</w:t>
            </w:r>
          </w:p>
        </w:tc>
        <w:tc>
          <w:tcPr>
            <w:tcW w:w="706"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086853A4" w14:textId="77777777" w:rsidR="009E10A5" w:rsidRPr="00E674F7" w:rsidRDefault="009E10A5" w:rsidP="00712998">
            <w:pPr>
              <w:jc w:val="center"/>
              <w:rPr>
                <w:rFonts w:eastAsia="宋体"/>
                <w:b/>
                <w:bCs/>
                <w:sz w:val="21"/>
                <w:szCs w:val="21"/>
              </w:rPr>
            </w:pPr>
            <w:r w:rsidRPr="00E674F7">
              <w:rPr>
                <w:rFonts w:eastAsia="宋体"/>
                <w:b/>
                <w:bCs/>
                <w:sz w:val="21"/>
                <w:szCs w:val="21"/>
              </w:rPr>
              <w:t>mn</w:t>
            </w:r>
          </w:p>
        </w:tc>
        <w:tc>
          <w:tcPr>
            <w:tcW w:w="990"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255D6B5C" w14:textId="77777777" w:rsidR="009E10A5" w:rsidRPr="00E674F7" w:rsidRDefault="009E10A5" w:rsidP="00712998">
            <w:pPr>
              <w:jc w:val="center"/>
              <w:rPr>
                <w:rFonts w:eastAsia="宋体"/>
                <w:b/>
                <w:bCs/>
                <w:sz w:val="21"/>
                <w:szCs w:val="21"/>
              </w:rPr>
            </w:pPr>
            <w:r w:rsidRPr="00E674F7">
              <w:rPr>
                <w:rFonts w:eastAsia="宋体"/>
                <w:b/>
                <w:bCs/>
                <w:sz w:val="21"/>
                <w:szCs w:val="21"/>
              </w:rPr>
              <w:t>od/TL</w:t>
            </w:r>
          </w:p>
          <w:p w14:paraId="0BEC656B" w14:textId="77777777" w:rsidR="009E10A5" w:rsidRPr="00E674F7" w:rsidRDefault="009E10A5" w:rsidP="00712998">
            <w:pPr>
              <w:jc w:val="center"/>
              <w:rPr>
                <w:rFonts w:eastAsia="宋体"/>
                <w:b/>
                <w:bCs/>
                <w:sz w:val="21"/>
                <w:szCs w:val="21"/>
              </w:rPr>
            </w:pPr>
            <w:r w:rsidRPr="00E674F7">
              <w:rPr>
                <w:rFonts w:eastAsia="宋体"/>
                <w:b/>
                <w:bCs/>
                <w:sz w:val="21"/>
                <w:szCs w:val="21"/>
              </w:rPr>
              <w:t>（</w:t>
            </w:r>
            <w:r w:rsidRPr="00E674F7">
              <w:rPr>
                <w:rFonts w:eastAsia="宋体"/>
                <w:b/>
                <w:bCs/>
                <w:sz w:val="21"/>
                <w:szCs w:val="21"/>
              </w:rPr>
              <w:t>%</w:t>
            </w:r>
            <w:r w:rsidRPr="00E674F7">
              <w:rPr>
                <w:rFonts w:eastAsia="宋体"/>
                <w:b/>
                <w:bCs/>
                <w:sz w:val="21"/>
                <w:szCs w:val="21"/>
              </w:rPr>
              <w:t>）</w:t>
            </w:r>
          </w:p>
        </w:tc>
      </w:tr>
      <w:tr w:rsidR="009E10A5" w:rsidRPr="00E674F7" w14:paraId="68782D68" w14:textId="77777777" w:rsidTr="00712998">
        <w:trPr>
          <w:trHeight w:val="333"/>
        </w:trPr>
        <w:tc>
          <w:tcPr>
            <w:tcW w:w="1488" w:type="dxa"/>
            <w:vMerge/>
            <w:tcBorders>
              <w:top w:val="single" w:sz="4" w:space="0" w:color="auto"/>
              <w:left w:val="single" w:sz="4" w:space="0" w:color="auto"/>
              <w:bottom w:val="single" w:sz="4" w:space="0" w:color="auto"/>
              <w:right w:val="single" w:sz="4" w:space="0" w:color="auto"/>
            </w:tcBorders>
            <w:vAlign w:val="center"/>
          </w:tcPr>
          <w:p w14:paraId="75CA0A92" w14:textId="77777777" w:rsidR="009E10A5" w:rsidRPr="00E674F7" w:rsidRDefault="009E10A5" w:rsidP="00712998">
            <w:pPr>
              <w:jc w:val="both"/>
              <w:rPr>
                <w:rFonts w:eastAsia="宋体"/>
                <w:sz w:val="21"/>
                <w:szCs w:val="21"/>
              </w:rPr>
            </w:pPr>
          </w:p>
        </w:tc>
        <w:tc>
          <w:tcPr>
            <w:tcW w:w="916" w:type="dxa"/>
            <w:vMerge/>
            <w:tcBorders>
              <w:top w:val="single" w:sz="4" w:space="0" w:color="auto"/>
              <w:left w:val="single" w:sz="4" w:space="0" w:color="auto"/>
              <w:bottom w:val="single" w:sz="4" w:space="0" w:color="auto"/>
              <w:right w:val="single" w:sz="4" w:space="0" w:color="auto"/>
            </w:tcBorders>
            <w:vAlign w:val="center"/>
          </w:tcPr>
          <w:p w14:paraId="630480D8" w14:textId="77777777" w:rsidR="009E10A5" w:rsidRPr="00E674F7" w:rsidRDefault="009E10A5" w:rsidP="00712998">
            <w:pPr>
              <w:jc w:val="center"/>
              <w:rPr>
                <w:rFonts w:eastAsia="宋体"/>
                <w:b/>
                <w:bCs/>
                <w:sz w:val="21"/>
                <w:szCs w:val="21"/>
              </w:rPr>
            </w:pPr>
          </w:p>
        </w:tc>
        <w:tc>
          <w:tcPr>
            <w:tcW w:w="1077" w:type="dxa"/>
            <w:vMerge/>
            <w:tcBorders>
              <w:top w:val="single" w:sz="4" w:space="0" w:color="auto"/>
              <w:left w:val="single" w:sz="4" w:space="0" w:color="auto"/>
              <w:bottom w:val="single" w:sz="4" w:space="0" w:color="000000"/>
              <w:right w:val="single" w:sz="4" w:space="0" w:color="auto"/>
            </w:tcBorders>
            <w:vAlign w:val="center"/>
          </w:tcPr>
          <w:p w14:paraId="3ECFB769" w14:textId="77777777" w:rsidR="009E10A5" w:rsidRPr="00E674F7" w:rsidRDefault="009E10A5" w:rsidP="00712998">
            <w:pPr>
              <w:jc w:val="center"/>
              <w:rPr>
                <w:rFonts w:eastAsia="宋体"/>
                <w:b/>
                <w:bCs/>
                <w:sz w:val="21"/>
                <w:szCs w:val="21"/>
              </w:rPr>
            </w:pPr>
          </w:p>
        </w:tc>
        <w:tc>
          <w:tcPr>
            <w:tcW w:w="1027" w:type="dxa"/>
            <w:vMerge/>
            <w:tcBorders>
              <w:top w:val="single" w:sz="4" w:space="0" w:color="auto"/>
              <w:left w:val="single" w:sz="4" w:space="0" w:color="auto"/>
              <w:bottom w:val="single" w:sz="4" w:space="0" w:color="auto"/>
              <w:right w:val="single" w:sz="4" w:space="0" w:color="auto"/>
            </w:tcBorders>
            <w:vAlign w:val="center"/>
          </w:tcPr>
          <w:p w14:paraId="41BC01EC" w14:textId="77777777" w:rsidR="009E10A5" w:rsidRPr="00E674F7" w:rsidRDefault="009E10A5" w:rsidP="00712998">
            <w:pPr>
              <w:jc w:val="center"/>
              <w:rPr>
                <w:rFonts w:eastAsia="宋体"/>
                <w:b/>
                <w:bCs/>
                <w:sz w:val="21"/>
                <w:szCs w:val="21"/>
              </w:rPr>
            </w:pPr>
          </w:p>
        </w:tc>
        <w:tc>
          <w:tcPr>
            <w:tcW w:w="811" w:type="dxa"/>
            <w:vMerge/>
            <w:tcBorders>
              <w:top w:val="single" w:sz="4" w:space="0" w:color="auto"/>
              <w:left w:val="single" w:sz="4" w:space="0" w:color="auto"/>
              <w:bottom w:val="single" w:sz="4" w:space="0" w:color="auto"/>
              <w:right w:val="single" w:sz="4" w:space="0" w:color="auto"/>
            </w:tcBorders>
            <w:vAlign w:val="center"/>
          </w:tcPr>
          <w:p w14:paraId="64A29F36" w14:textId="77777777" w:rsidR="009E10A5" w:rsidRPr="00E674F7" w:rsidRDefault="009E10A5" w:rsidP="00712998">
            <w:pPr>
              <w:jc w:val="center"/>
              <w:rPr>
                <w:rFonts w:eastAsia="宋体"/>
                <w:b/>
                <w:bCs/>
                <w:sz w:val="21"/>
                <w:szCs w:val="21"/>
              </w:rPr>
            </w:pPr>
          </w:p>
        </w:tc>
        <w:tc>
          <w:tcPr>
            <w:tcW w:w="1371" w:type="dxa"/>
            <w:vMerge/>
            <w:tcBorders>
              <w:top w:val="single" w:sz="4" w:space="0" w:color="auto"/>
              <w:left w:val="single" w:sz="4" w:space="0" w:color="auto"/>
              <w:bottom w:val="single" w:sz="4" w:space="0" w:color="auto"/>
              <w:right w:val="single" w:sz="4" w:space="0" w:color="auto"/>
            </w:tcBorders>
            <w:vAlign w:val="center"/>
          </w:tcPr>
          <w:p w14:paraId="4DC2CAB6" w14:textId="77777777" w:rsidR="009E10A5" w:rsidRPr="00E674F7" w:rsidRDefault="009E10A5" w:rsidP="00712998">
            <w:pPr>
              <w:jc w:val="center"/>
              <w:rPr>
                <w:rFonts w:eastAsia="宋体"/>
                <w:b/>
                <w:bCs/>
                <w:sz w:val="21"/>
                <w:szCs w:val="21"/>
              </w:rPr>
            </w:pPr>
          </w:p>
        </w:tc>
        <w:tc>
          <w:tcPr>
            <w:tcW w:w="706" w:type="dxa"/>
            <w:vMerge/>
            <w:tcBorders>
              <w:top w:val="single" w:sz="4" w:space="0" w:color="auto"/>
              <w:left w:val="single" w:sz="4" w:space="0" w:color="auto"/>
              <w:bottom w:val="single" w:sz="4" w:space="0" w:color="auto"/>
              <w:right w:val="single" w:sz="4" w:space="0" w:color="auto"/>
            </w:tcBorders>
            <w:vAlign w:val="center"/>
          </w:tcPr>
          <w:p w14:paraId="44E777C4" w14:textId="77777777" w:rsidR="009E10A5" w:rsidRPr="00E674F7" w:rsidRDefault="009E10A5" w:rsidP="00712998">
            <w:pPr>
              <w:jc w:val="center"/>
              <w:rPr>
                <w:rFonts w:eastAsia="宋体"/>
                <w:b/>
                <w:bCs/>
                <w:sz w:val="21"/>
                <w:szCs w:val="21"/>
              </w:rPr>
            </w:pPr>
          </w:p>
        </w:tc>
        <w:tc>
          <w:tcPr>
            <w:tcW w:w="654" w:type="dxa"/>
            <w:vMerge/>
            <w:tcBorders>
              <w:top w:val="single" w:sz="4" w:space="0" w:color="auto"/>
              <w:left w:val="single" w:sz="4" w:space="0" w:color="auto"/>
              <w:bottom w:val="single" w:sz="4" w:space="0" w:color="auto"/>
              <w:right w:val="single" w:sz="4" w:space="0" w:color="auto"/>
            </w:tcBorders>
            <w:vAlign w:val="center"/>
          </w:tcPr>
          <w:p w14:paraId="7EEA7743" w14:textId="77777777" w:rsidR="009E10A5" w:rsidRPr="00E674F7" w:rsidRDefault="009E10A5" w:rsidP="00712998">
            <w:pPr>
              <w:jc w:val="center"/>
              <w:rPr>
                <w:rFonts w:eastAsia="宋体"/>
                <w:b/>
                <w:bCs/>
                <w:sz w:val="21"/>
                <w:szCs w:val="21"/>
              </w:rPr>
            </w:pPr>
          </w:p>
        </w:tc>
        <w:tc>
          <w:tcPr>
            <w:tcW w:w="660" w:type="dxa"/>
            <w:vMerge/>
            <w:tcBorders>
              <w:top w:val="single" w:sz="4" w:space="0" w:color="auto"/>
              <w:left w:val="single" w:sz="4" w:space="0" w:color="auto"/>
              <w:bottom w:val="single" w:sz="4" w:space="0" w:color="auto"/>
              <w:right w:val="single" w:sz="4" w:space="0" w:color="auto"/>
            </w:tcBorders>
            <w:vAlign w:val="center"/>
          </w:tcPr>
          <w:p w14:paraId="03EE361C" w14:textId="77777777" w:rsidR="009E10A5" w:rsidRPr="00E674F7" w:rsidRDefault="009E10A5" w:rsidP="00712998">
            <w:pPr>
              <w:jc w:val="center"/>
              <w:rPr>
                <w:rFonts w:eastAsia="宋体"/>
                <w:b/>
                <w:bCs/>
                <w:sz w:val="21"/>
                <w:szCs w:val="21"/>
              </w:rPr>
            </w:pPr>
          </w:p>
        </w:tc>
        <w:tc>
          <w:tcPr>
            <w:tcW w:w="777" w:type="dxa"/>
            <w:vMerge/>
            <w:tcBorders>
              <w:top w:val="single" w:sz="4" w:space="0" w:color="auto"/>
              <w:left w:val="single" w:sz="4" w:space="0" w:color="auto"/>
              <w:bottom w:val="single" w:sz="4" w:space="0" w:color="auto"/>
              <w:right w:val="single" w:sz="4" w:space="0" w:color="auto"/>
            </w:tcBorders>
            <w:vAlign w:val="center"/>
          </w:tcPr>
          <w:p w14:paraId="649E91E2" w14:textId="77777777" w:rsidR="009E10A5" w:rsidRPr="00E674F7" w:rsidRDefault="009E10A5" w:rsidP="00712998">
            <w:pPr>
              <w:jc w:val="center"/>
              <w:rPr>
                <w:rFonts w:eastAsia="宋体"/>
                <w:b/>
                <w:bCs/>
                <w:sz w:val="21"/>
                <w:szCs w:val="21"/>
              </w:rPr>
            </w:pPr>
          </w:p>
        </w:tc>
        <w:tc>
          <w:tcPr>
            <w:tcW w:w="759" w:type="dxa"/>
            <w:vMerge/>
            <w:tcBorders>
              <w:top w:val="single" w:sz="4" w:space="0" w:color="auto"/>
              <w:left w:val="single" w:sz="4" w:space="0" w:color="auto"/>
              <w:bottom w:val="single" w:sz="4" w:space="0" w:color="auto"/>
              <w:right w:val="single" w:sz="4" w:space="0" w:color="auto"/>
            </w:tcBorders>
            <w:vAlign w:val="center"/>
          </w:tcPr>
          <w:p w14:paraId="324F7068" w14:textId="77777777" w:rsidR="009E10A5" w:rsidRPr="00E674F7" w:rsidRDefault="009E10A5" w:rsidP="00712998">
            <w:pPr>
              <w:jc w:val="center"/>
              <w:rPr>
                <w:rFonts w:eastAsia="宋体"/>
                <w:b/>
                <w:bCs/>
                <w:sz w:val="21"/>
                <w:szCs w:val="21"/>
              </w:rPr>
            </w:pPr>
          </w:p>
        </w:tc>
        <w:tc>
          <w:tcPr>
            <w:tcW w:w="1021" w:type="dxa"/>
            <w:vMerge/>
            <w:tcBorders>
              <w:top w:val="single" w:sz="4" w:space="0" w:color="auto"/>
              <w:left w:val="single" w:sz="4" w:space="0" w:color="auto"/>
              <w:bottom w:val="single" w:sz="4" w:space="0" w:color="auto"/>
              <w:right w:val="single" w:sz="4" w:space="0" w:color="auto"/>
            </w:tcBorders>
            <w:vAlign w:val="center"/>
          </w:tcPr>
          <w:p w14:paraId="2C980F70" w14:textId="77777777" w:rsidR="009E10A5" w:rsidRPr="00E674F7" w:rsidRDefault="009E10A5" w:rsidP="00712998">
            <w:pPr>
              <w:jc w:val="center"/>
              <w:rPr>
                <w:rFonts w:eastAsia="宋体"/>
                <w:b/>
                <w:bCs/>
                <w:sz w:val="21"/>
                <w:szCs w:val="21"/>
              </w:rPr>
            </w:pPr>
          </w:p>
        </w:tc>
        <w:tc>
          <w:tcPr>
            <w:tcW w:w="706" w:type="dxa"/>
            <w:vMerge/>
            <w:tcBorders>
              <w:top w:val="single" w:sz="4" w:space="0" w:color="auto"/>
              <w:left w:val="single" w:sz="4" w:space="0" w:color="auto"/>
              <w:bottom w:val="single" w:sz="4" w:space="0" w:color="auto"/>
              <w:right w:val="single" w:sz="4" w:space="0" w:color="auto"/>
            </w:tcBorders>
            <w:vAlign w:val="center"/>
          </w:tcPr>
          <w:p w14:paraId="6095045E" w14:textId="77777777" w:rsidR="009E10A5" w:rsidRPr="00E674F7" w:rsidRDefault="009E10A5" w:rsidP="00712998">
            <w:pPr>
              <w:jc w:val="center"/>
              <w:rPr>
                <w:rFonts w:eastAsia="宋体"/>
                <w:b/>
                <w:bCs/>
                <w:sz w:val="21"/>
                <w:szCs w:val="21"/>
              </w:rPr>
            </w:pPr>
          </w:p>
        </w:tc>
        <w:tc>
          <w:tcPr>
            <w:tcW w:w="777" w:type="dxa"/>
            <w:vMerge/>
            <w:tcBorders>
              <w:top w:val="single" w:sz="4" w:space="0" w:color="auto"/>
              <w:left w:val="single" w:sz="4" w:space="0" w:color="auto"/>
              <w:bottom w:val="single" w:sz="4" w:space="0" w:color="auto"/>
              <w:right w:val="single" w:sz="4" w:space="0" w:color="auto"/>
            </w:tcBorders>
            <w:vAlign w:val="center"/>
          </w:tcPr>
          <w:p w14:paraId="4FD56B54" w14:textId="77777777" w:rsidR="009E10A5" w:rsidRPr="00E674F7" w:rsidRDefault="009E10A5" w:rsidP="00712998">
            <w:pPr>
              <w:jc w:val="center"/>
              <w:rPr>
                <w:rFonts w:eastAsia="宋体"/>
                <w:b/>
                <w:bCs/>
                <w:sz w:val="21"/>
                <w:szCs w:val="21"/>
              </w:rPr>
            </w:pPr>
          </w:p>
        </w:tc>
        <w:tc>
          <w:tcPr>
            <w:tcW w:w="496" w:type="dxa"/>
            <w:vMerge/>
            <w:tcBorders>
              <w:top w:val="single" w:sz="4" w:space="0" w:color="auto"/>
              <w:left w:val="single" w:sz="4" w:space="0" w:color="auto"/>
              <w:bottom w:val="single" w:sz="4" w:space="0" w:color="auto"/>
              <w:right w:val="single" w:sz="4" w:space="0" w:color="auto"/>
            </w:tcBorders>
            <w:vAlign w:val="center"/>
          </w:tcPr>
          <w:p w14:paraId="498365E8" w14:textId="77777777" w:rsidR="009E10A5" w:rsidRPr="00E674F7" w:rsidRDefault="009E10A5" w:rsidP="00712998">
            <w:pPr>
              <w:jc w:val="center"/>
              <w:rPr>
                <w:rFonts w:eastAsia="宋体"/>
                <w:b/>
                <w:bCs/>
                <w:sz w:val="21"/>
                <w:szCs w:val="21"/>
              </w:rPr>
            </w:pPr>
          </w:p>
        </w:tc>
        <w:tc>
          <w:tcPr>
            <w:tcW w:w="706" w:type="dxa"/>
            <w:vMerge/>
            <w:tcBorders>
              <w:top w:val="single" w:sz="4" w:space="0" w:color="auto"/>
              <w:left w:val="single" w:sz="4" w:space="0" w:color="auto"/>
              <w:bottom w:val="single" w:sz="4" w:space="0" w:color="auto"/>
              <w:right w:val="single" w:sz="4" w:space="0" w:color="auto"/>
            </w:tcBorders>
            <w:vAlign w:val="center"/>
          </w:tcPr>
          <w:p w14:paraId="50E960CD" w14:textId="77777777" w:rsidR="009E10A5" w:rsidRPr="00E674F7" w:rsidRDefault="009E10A5" w:rsidP="00712998">
            <w:pPr>
              <w:jc w:val="center"/>
              <w:rPr>
                <w:rFonts w:eastAsia="宋体"/>
                <w:b/>
                <w:bCs/>
                <w:sz w:val="21"/>
                <w:szCs w:val="21"/>
              </w:rPr>
            </w:pPr>
          </w:p>
        </w:tc>
        <w:tc>
          <w:tcPr>
            <w:tcW w:w="990" w:type="dxa"/>
            <w:vMerge/>
            <w:tcBorders>
              <w:top w:val="single" w:sz="4" w:space="0" w:color="auto"/>
              <w:left w:val="single" w:sz="4" w:space="0" w:color="auto"/>
              <w:bottom w:val="single" w:sz="4" w:space="0" w:color="auto"/>
              <w:right w:val="single" w:sz="4" w:space="0" w:color="auto"/>
            </w:tcBorders>
            <w:vAlign w:val="center"/>
          </w:tcPr>
          <w:p w14:paraId="24338B6A" w14:textId="77777777" w:rsidR="009E10A5" w:rsidRPr="00E674F7" w:rsidRDefault="009E10A5" w:rsidP="00712998">
            <w:pPr>
              <w:jc w:val="center"/>
              <w:rPr>
                <w:rFonts w:eastAsia="宋体"/>
                <w:b/>
                <w:bCs/>
                <w:sz w:val="21"/>
                <w:szCs w:val="21"/>
              </w:rPr>
            </w:pPr>
          </w:p>
        </w:tc>
      </w:tr>
      <w:tr w:rsidR="009E10A5" w:rsidRPr="00E674F7" w14:paraId="1A1010B7" w14:textId="77777777" w:rsidTr="00712998">
        <w:trPr>
          <w:trHeight w:val="765"/>
        </w:trPr>
        <w:tc>
          <w:tcPr>
            <w:tcW w:w="1488" w:type="dxa"/>
            <w:tcBorders>
              <w:top w:val="nil"/>
              <w:left w:val="single" w:sz="4" w:space="0" w:color="auto"/>
              <w:bottom w:val="single" w:sz="4" w:space="0" w:color="auto"/>
              <w:right w:val="single" w:sz="4" w:space="0" w:color="auto"/>
            </w:tcBorders>
            <w:shd w:val="clear" w:color="auto" w:fill="auto"/>
            <w:vAlign w:val="center"/>
          </w:tcPr>
          <w:p w14:paraId="6572EF0E" w14:textId="77777777" w:rsidR="009E10A5" w:rsidRPr="00E674F7" w:rsidRDefault="009E10A5" w:rsidP="00712998">
            <w:pPr>
              <w:jc w:val="both"/>
              <w:rPr>
                <w:rFonts w:eastAsia="宋体"/>
                <w:i/>
                <w:iCs/>
                <w:sz w:val="21"/>
                <w:szCs w:val="21"/>
              </w:rPr>
            </w:pPr>
            <w:r w:rsidRPr="00E674F7">
              <w:rPr>
                <w:rFonts w:eastAsia="宋体"/>
                <w:i/>
                <w:iCs/>
                <w:sz w:val="21"/>
                <w:szCs w:val="21"/>
              </w:rPr>
              <w:t>Yanliaomyzon occisor</w:t>
            </w:r>
          </w:p>
        </w:tc>
        <w:tc>
          <w:tcPr>
            <w:tcW w:w="916" w:type="dxa"/>
            <w:tcBorders>
              <w:top w:val="nil"/>
              <w:left w:val="nil"/>
              <w:bottom w:val="single" w:sz="4" w:space="0" w:color="auto"/>
              <w:right w:val="single" w:sz="4" w:space="0" w:color="auto"/>
            </w:tcBorders>
            <w:shd w:val="clear" w:color="auto" w:fill="auto"/>
            <w:vAlign w:val="center"/>
          </w:tcPr>
          <w:p w14:paraId="0549EB18" w14:textId="77777777" w:rsidR="009E10A5" w:rsidRPr="00E674F7" w:rsidRDefault="009E10A5" w:rsidP="00712998">
            <w:pPr>
              <w:jc w:val="center"/>
              <w:rPr>
                <w:rFonts w:eastAsia="宋体"/>
                <w:sz w:val="21"/>
                <w:szCs w:val="21"/>
              </w:rPr>
            </w:pPr>
            <w:r w:rsidRPr="00E674F7">
              <w:rPr>
                <w:rFonts w:eastAsia="宋体"/>
                <w:sz w:val="21"/>
                <w:szCs w:val="21"/>
              </w:rPr>
              <w:t>700</w:t>
            </w:r>
          </w:p>
        </w:tc>
        <w:tc>
          <w:tcPr>
            <w:tcW w:w="1077" w:type="dxa"/>
            <w:tcBorders>
              <w:top w:val="nil"/>
              <w:left w:val="nil"/>
              <w:bottom w:val="single" w:sz="4" w:space="0" w:color="auto"/>
              <w:right w:val="single" w:sz="4" w:space="0" w:color="auto"/>
            </w:tcBorders>
            <w:shd w:val="clear" w:color="auto" w:fill="auto"/>
            <w:vAlign w:val="center"/>
          </w:tcPr>
          <w:p w14:paraId="7FCCA69F" w14:textId="77777777" w:rsidR="009E10A5" w:rsidRPr="00E674F7" w:rsidRDefault="009E10A5" w:rsidP="00712998">
            <w:pPr>
              <w:jc w:val="center"/>
              <w:rPr>
                <w:rFonts w:eastAsia="DengXian"/>
                <w:sz w:val="21"/>
                <w:szCs w:val="21"/>
              </w:rPr>
            </w:pPr>
            <w:r w:rsidRPr="00E674F7">
              <w:rPr>
                <w:rFonts w:eastAsia="DengXian"/>
                <w:sz w:val="21"/>
                <w:szCs w:val="21"/>
              </w:rPr>
              <w:t>4.6</w:t>
            </w:r>
          </w:p>
        </w:tc>
        <w:tc>
          <w:tcPr>
            <w:tcW w:w="1027" w:type="dxa"/>
            <w:tcBorders>
              <w:top w:val="nil"/>
              <w:left w:val="nil"/>
              <w:bottom w:val="single" w:sz="4" w:space="0" w:color="auto"/>
              <w:right w:val="single" w:sz="4" w:space="0" w:color="auto"/>
            </w:tcBorders>
            <w:shd w:val="clear" w:color="auto" w:fill="auto"/>
            <w:vAlign w:val="center"/>
          </w:tcPr>
          <w:p w14:paraId="692116B9" w14:textId="77777777" w:rsidR="009E10A5" w:rsidRPr="00E674F7" w:rsidRDefault="009E10A5" w:rsidP="00712998">
            <w:pPr>
              <w:jc w:val="center"/>
              <w:rPr>
                <w:rFonts w:eastAsia="宋体"/>
                <w:sz w:val="21"/>
                <w:szCs w:val="21"/>
              </w:rPr>
            </w:pPr>
            <w:r w:rsidRPr="00E674F7">
              <w:rPr>
                <w:rFonts w:eastAsia="宋体"/>
                <w:sz w:val="21"/>
                <w:szCs w:val="21"/>
              </w:rPr>
              <w:t>459.3</w:t>
            </w:r>
          </w:p>
        </w:tc>
        <w:tc>
          <w:tcPr>
            <w:tcW w:w="811" w:type="dxa"/>
            <w:tcBorders>
              <w:top w:val="nil"/>
              <w:left w:val="nil"/>
              <w:bottom w:val="single" w:sz="4" w:space="0" w:color="auto"/>
              <w:right w:val="single" w:sz="4" w:space="0" w:color="auto"/>
            </w:tcBorders>
            <w:shd w:val="clear" w:color="auto" w:fill="auto"/>
            <w:vAlign w:val="center"/>
          </w:tcPr>
          <w:p w14:paraId="3571A5E1" w14:textId="77777777" w:rsidR="009E10A5" w:rsidRPr="00E674F7" w:rsidRDefault="009E10A5" w:rsidP="00712998">
            <w:pPr>
              <w:jc w:val="center"/>
              <w:rPr>
                <w:rFonts w:eastAsia="宋体"/>
                <w:sz w:val="21"/>
                <w:szCs w:val="21"/>
              </w:rPr>
            </w:pPr>
            <w:r w:rsidRPr="00E674F7">
              <w:rPr>
                <w:rFonts w:eastAsia="宋体"/>
                <w:sz w:val="21"/>
                <w:szCs w:val="21"/>
              </w:rPr>
              <w:t>?</w:t>
            </w:r>
          </w:p>
        </w:tc>
        <w:tc>
          <w:tcPr>
            <w:tcW w:w="1371" w:type="dxa"/>
            <w:tcBorders>
              <w:top w:val="nil"/>
              <w:left w:val="nil"/>
              <w:bottom w:val="single" w:sz="4" w:space="0" w:color="auto"/>
              <w:right w:val="single" w:sz="4" w:space="0" w:color="auto"/>
            </w:tcBorders>
            <w:shd w:val="clear" w:color="auto" w:fill="auto"/>
            <w:vAlign w:val="center"/>
          </w:tcPr>
          <w:p w14:paraId="63F56714" w14:textId="77777777" w:rsidR="009E10A5" w:rsidRPr="00E674F7" w:rsidRDefault="009E10A5" w:rsidP="00712998">
            <w:pPr>
              <w:jc w:val="center"/>
              <w:rPr>
                <w:rFonts w:eastAsia="宋体"/>
                <w:sz w:val="21"/>
                <w:szCs w:val="21"/>
              </w:rPr>
            </w:pPr>
            <w:r w:rsidRPr="00E674F7">
              <w:rPr>
                <w:rFonts w:eastAsia="宋体"/>
                <w:sz w:val="21"/>
                <w:szCs w:val="21"/>
              </w:rPr>
              <w:t>270.7</w:t>
            </w:r>
          </w:p>
        </w:tc>
        <w:tc>
          <w:tcPr>
            <w:tcW w:w="706" w:type="dxa"/>
            <w:tcBorders>
              <w:top w:val="nil"/>
              <w:left w:val="nil"/>
              <w:bottom w:val="single" w:sz="4" w:space="0" w:color="auto"/>
              <w:right w:val="single" w:sz="4" w:space="0" w:color="auto"/>
            </w:tcBorders>
            <w:shd w:val="clear" w:color="auto" w:fill="auto"/>
            <w:vAlign w:val="center"/>
          </w:tcPr>
          <w:p w14:paraId="588048E6" w14:textId="77777777" w:rsidR="009E10A5" w:rsidRPr="00E674F7" w:rsidRDefault="009E10A5" w:rsidP="00712998">
            <w:pPr>
              <w:jc w:val="center"/>
              <w:rPr>
                <w:rFonts w:eastAsia="宋体"/>
                <w:sz w:val="21"/>
                <w:szCs w:val="21"/>
              </w:rPr>
            </w:pPr>
            <w:r w:rsidRPr="00E674F7">
              <w:rPr>
                <w:rFonts w:eastAsia="宋体"/>
                <w:sz w:val="21"/>
                <w:szCs w:val="21"/>
              </w:rPr>
              <w:t>?</w:t>
            </w:r>
          </w:p>
        </w:tc>
        <w:tc>
          <w:tcPr>
            <w:tcW w:w="654" w:type="dxa"/>
            <w:tcBorders>
              <w:top w:val="nil"/>
              <w:left w:val="nil"/>
              <w:bottom w:val="single" w:sz="4" w:space="0" w:color="auto"/>
              <w:right w:val="single" w:sz="4" w:space="0" w:color="auto"/>
            </w:tcBorders>
            <w:shd w:val="clear" w:color="auto" w:fill="auto"/>
            <w:vAlign w:val="center"/>
          </w:tcPr>
          <w:p w14:paraId="4C798934" w14:textId="77777777" w:rsidR="009E10A5" w:rsidRPr="00E674F7" w:rsidRDefault="009E10A5" w:rsidP="00712998">
            <w:pPr>
              <w:jc w:val="center"/>
              <w:rPr>
                <w:rFonts w:eastAsia="宋体"/>
                <w:sz w:val="21"/>
                <w:szCs w:val="21"/>
              </w:rPr>
            </w:pPr>
            <w:r w:rsidRPr="00E674F7">
              <w:rPr>
                <w:rFonts w:eastAsia="宋体"/>
                <w:sz w:val="21"/>
                <w:szCs w:val="21"/>
              </w:rPr>
              <w:t>?</w:t>
            </w:r>
          </w:p>
        </w:tc>
        <w:tc>
          <w:tcPr>
            <w:tcW w:w="660" w:type="dxa"/>
            <w:tcBorders>
              <w:top w:val="nil"/>
              <w:left w:val="nil"/>
              <w:bottom w:val="single" w:sz="4" w:space="0" w:color="auto"/>
              <w:right w:val="single" w:sz="4" w:space="0" w:color="auto"/>
            </w:tcBorders>
            <w:shd w:val="clear" w:color="auto" w:fill="auto"/>
            <w:vAlign w:val="center"/>
          </w:tcPr>
          <w:p w14:paraId="6D916E13" w14:textId="77777777" w:rsidR="009E10A5" w:rsidRPr="00E674F7" w:rsidRDefault="009E10A5" w:rsidP="00712998">
            <w:pPr>
              <w:jc w:val="center"/>
              <w:rPr>
                <w:rFonts w:eastAsia="宋体"/>
                <w:sz w:val="21"/>
                <w:szCs w:val="21"/>
              </w:rPr>
            </w:pPr>
            <w:r w:rsidRPr="00E674F7">
              <w:rPr>
                <w:rFonts w:eastAsia="宋体"/>
                <w:sz w:val="21"/>
                <w:szCs w:val="21"/>
              </w:rPr>
              <w:t>?</w:t>
            </w:r>
          </w:p>
        </w:tc>
        <w:tc>
          <w:tcPr>
            <w:tcW w:w="777" w:type="dxa"/>
            <w:tcBorders>
              <w:top w:val="nil"/>
              <w:left w:val="nil"/>
              <w:bottom w:val="single" w:sz="4" w:space="0" w:color="auto"/>
              <w:right w:val="single" w:sz="4" w:space="0" w:color="auto"/>
            </w:tcBorders>
            <w:shd w:val="clear" w:color="auto" w:fill="auto"/>
            <w:vAlign w:val="center"/>
          </w:tcPr>
          <w:p w14:paraId="7F38B51A" w14:textId="77777777" w:rsidR="009E10A5" w:rsidRPr="00E674F7" w:rsidRDefault="009E10A5" w:rsidP="00712998">
            <w:pPr>
              <w:jc w:val="center"/>
              <w:rPr>
                <w:rFonts w:eastAsia="宋体"/>
                <w:sz w:val="21"/>
                <w:szCs w:val="21"/>
              </w:rPr>
            </w:pPr>
            <w:r w:rsidRPr="00E674F7">
              <w:rPr>
                <w:rFonts w:eastAsia="宋体"/>
                <w:sz w:val="21"/>
                <w:szCs w:val="21"/>
              </w:rPr>
              <w:t>?</w:t>
            </w:r>
          </w:p>
        </w:tc>
        <w:tc>
          <w:tcPr>
            <w:tcW w:w="759" w:type="dxa"/>
            <w:tcBorders>
              <w:top w:val="nil"/>
              <w:left w:val="nil"/>
              <w:bottom w:val="single" w:sz="4" w:space="0" w:color="auto"/>
              <w:right w:val="single" w:sz="4" w:space="0" w:color="auto"/>
            </w:tcBorders>
            <w:shd w:val="clear" w:color="auto" w:fill="auto"/>
            <w:vAlign w:val="center"/>
          </w:tcPr>
          <w:p w14:paraId="3D889D5B" w14:textId="77777777" w:rsidR="009E10A5" w:rsidRPr="00E674F7" w:rsidRDefault="009E10A5" w:rsidP="00712998">
            <w:pPr>
              <w:jc w:val="center"/>
              <w:rPr>
                <w:rFonts w:eastAsia="宋体"/>
                <w:sz w:val="21"/>
                <w:szCs w:val="21"/>
              </w:rPr>
            </w:pPr>
            <w:r w:rsidRPr="00E674F7">
              <w:rPr>
                <w:rFonts w:eastAsia="宋体"/>
                <w:sz w:val="21"/>
                <w:szCs w:val="21"/>
              </w:rPr>
              <w:t>33</w:t>
            </w:r>
          </w:p>
        </w:tc>
        <w:tc>
          <w:tcPr>
            <w:tcW w:w="1021" w:type="dxa"/>
            <w:tcBorders>
              <w:top w:val="nil"/>
              <w:left w:val="nil"/>
              <w:bottom w:val="single" w:sz="4" w:space="0" w:color="auto"/>
              <w:right w:val="single" w:sz="4" w:space="0" w:color="auto"/>
            </w:tcBorders>
            <w:shd w:val="clear" w:color="auto" w:fill="auto"/>
            <w:vAlign w:val="center"/>
          </w:tcPr>
          <w:p w14:paraId="3D099017" w14:textId="77777777" w:rsidR="009E10A5" w:rsidRPr="00E674F7" w:rsidRDefault="009E10A5" w:rsidP="00712998">
            <w:pPr>
              <w:jc w:val="center"/>
              <w:rPr>
                <w:rFonts w:eastAsia="宋体"/>
                <w:sz w:val="21"/>
                <w:szCs w:val="21"/>
              </w:rPr>
            </w:pPr>
            <w:r w:rsidRPr="00E674F7">
              <w:rPr>
                <w:rFonts w:eastAsia="宋体"/>
                <w:sz w:val="21"/>
                <w:szCs w:val="21"/>
              </w:rPr>
              <w:t>?</w:t>
            </w:r>
          </w:p>
        </w:tc>
        <w:tc>
          <w:tcPr>
            <w:tcW w:w="706" w:type="dxa"/>
            <w:tcBorders>
              <w:top w:val="nil"/>
              <w:left w:val="nil"/>
              <w:bottom w:val="single" w:sz="4" w:space="0" w:color="auto"/>
              <w:right w:val="single" w:sz="4" w:space="0" w:color="auto"/>
            </w:tcBorders>
            <w:shd w:val="clear" w:color="auto" w:fill="auto"/>
            <w:vAlign w:val="center"/>
          </w:tcPr>
          <w:p w14:paraId="32E988A4" w14:textId="77777777" w:rsidR="009E10A5" w:rsidRPr="00E674F7" w:rsidRDefault="009E10A5" w:rsidP="00712998">
            <w:pPr>
              <w:jc w:val="center"/>
              <w:rPr>
                <w:rFonts w:eastAsia="宋体"/>
                <w:sz w:val="21"/>
                <w:szCs w:val="21"/>
              </w:rPr>
            </w:pPr>
            <w:r w:rsidRPr="00E674F7">
              <w:rPr>
                <w:rFonts w:eastAsia="宋体"/>
                <w:sz w:val="21"/>
                <w:szCs w:val="21"/>
              </w:rPr>
              <w:t>?</w:t>
            </w:r>
          </w:p>
        </w:tc>
        <w:tc>
          <w:tcPr>
            <w:tcW w:w="777" w:type="dxa"/>
            <w:tcBorders>
              <w:top w:val="nil"/>
              <w:left w:val="nil"/>
              <w:bottom w:val="single" w:sz="4" w:space="0" w:color="auto"/>
              <w:right w:val="single" w:sz="4" w:space="0" w:color="auto"/>
            </w:tcBorders>
            <w:shd w:val="clear" w:color="auto" w:fill="auto"/>
            <w:vAlign w:val="center"/>
          </w:tcPr>
          <w:p w14:paraId="442BBD97" w14:textId="77777777" w:rsidR="009E10A5" w:rsidRPr="00E674F7" w:rsidRDefault="009E10A5" w:rsidP="00712998">
            <w:pPr>
              <w:jc w:val="center"/>
              <w:rPr>
                <w:rFonts w:eastAsia="宋体"/>
                <w:sz w:val="21"/>
                <w:szCs w:val="21"/>
              </w:rPr>
            </w:pPr>
            <w:r w:rsidRPr="00E674F7">
              <w:rPr>
                <w:rFonts w:eastAsia="宋体"/>
                <w:sz w:val="21"/>
                <w:szCs w:val="21"/>
              </w:rPr>
              <w:t>?</w:t>
            </w:r>
          </w:p>
        </w:tc>
        <w:tc>
          <w:tcPr>
            <w:tcW w:w="496" w:type="dxa"/>
            <w:tcBorders>
              <w:top w:val="nil"/>
              <w:left w:val="nil"/>
              <w:bottom w:val="single" w:sz="4" w:space="0" w:color="auto"/>
              <w:right w:val="single" w:sz="4" w:space="0" w:color="auto"/>
            </w:tcBorders>
            <w:shd w:val="clear" w:color="auto" w:fill="auto"/>
            <w:vAlign w:val="center"/>
          </w:tcPr>
          <w:p w14:paraId="5D1524AB" w14:textId="77777777" w:rsidR="009E10A5" w:rsidRPr="00E674F7" w:rsidRDefault="009E10A5" w:rsidP="00712998">
            <w:pPr>
              <w:jc w:val="center"/>
              <w:rPr>
                <w:rFonts w:eastAsia="宋体"/>
                <w:sz w:val="21"/>
                <w:szCs w:val="21"/>
              </w:rPr>
            </w:pPr>
            <w:r w:rsidRPr="00E674F7">
              <w:rPr>
                <w:rFonts w:eastAsia="宋体"/>
                <w:sz w:val="21"/>
                <w:szCs w:val="21"/>
              </w:rPr>
              <w:t>?</w:t>
            </w:r>
          </w:p>
        </w:tc>
        <w:tc>
          <w:tcPr>
            <w:tcW w:w="706" w:type="dxa"/>
            <w:tcBorders>
              <w:top w:val="nil"/>
              <w:left w:val="nil"/>
              <w:bottom w:val="single" w:sz="4" w:space="0" w:color="auto"/>
              <w:right w:val="single" w:sz="4" w:space="0" w:color="auto"/>
            </w:tcBorders>
            <w:shd w:val="clear" w:color="auto" w:fill="auto"/>
            <w:vAlign w:val="center"/>
          </w:tcPr>
          <w:p w14:paraId="0F2C93A8" w14:textId="77777777" w:rsidR="009E10A5" w:rsidRPr="00E674F7" w:rsidRDefault="009E10A5" w:rsidP="00712998">
            <w:pPr>
              <w:jc w:val="center"/>
              <w:rPr>
                <w:rFonts w:eastAsia="宋体"/>
                <w:sz w:val="21"/>
                <w:szCs w:val="21"/>
              </w:rPr>
            </w:pPr>
            <w:r w:rsidRPr="00E674F7">
              <w:rPr>
                <w:rFonts w:eastAsia="宋体"/>
                <w:sz w:val="21"/>
                <w:szCs w:val="21"/>
              </w:rPr>
              <w:t>?</w:t>
            </w:r>
          </w:p>
        </w:tc>
        <w:tc>
          <w:tcPr>
            <w:tcW w:w="990" w:type="dxa"/>
            <w:tcBorders>
              <w:top w:val="nil"/>
              <w:left w:val="nil"/>
              <w:bottom w:val="single" w:sz="4" w:space="0" w:color="auto"/>
              <w:right w:val="single" w:sz="4" w:space="0" w:color="auto"/>
            </w:tcBorders>
            <w:shd w:val="clear" w:color="auto" w:fill="auto"/>
            <w:vAlign w:val="center"/>
          </w:tcPr>
          <w:p w14:paraId="3C295E36" w14:textId="77777777" w:rsidR="009E10A5" w:rsidRPr="00E674F7" w:rsidRDefault="009E10A5" w:rsidP="00712998">
            <w:pPr>
              <w:jc w:val="center"/>
              <w:rPr>
                <w:rFonts w:eastAsia="宋体"/>
                <w:sz w:val="21"/>
                <w:szCs w:val="21"/>
              </w:rPr>
            </w:pPr>
            <w:r w:rsidRPr="00E674F7">
              <w:rPr>
                <w:rFonts w:eastAsia="宋体"/>
                <w:sz w:val="21"/>
                <w:szCs w:val="21"/>
              </w:rPr>
              <w:t>4.4</w:t>
            </w:r>
          </w:p>
        </w:tc>
      </w:tr>
      <w:tr w:rsidR="009E10A5" w:rsidRPr="00E674F7" w14:paraId="44E33E8D" w14:textId="77777777" w:rsidTr="00712998">
        <w:trPr>
          <w:trHeight w:val="765"/>
        </w:trPr>
        <w:tc>
          <w:tcPr>
            <w:tcW w:w="1488" w:type="dxa"/>
            <w:tcBorders>
              <w:top w:val="nil"/>
              <w:left w:val="single" w:sz="4" w:space="0" w:color="auto"/>
              <w:bottom w:val="single" w:sz="4" w:space="0" w:color="auto"/>
              <w:right w:val="single" w:sz="4" w:space="0" w:color="auto"/>
            </w:tcBorders>
            <w:shd w:val="clear" w:color="auto" w:fill="auto"/>
            <w:vAlign w:val="center"/>
          </w:tcPr>
          <w:p w14:paraId="755E00D0" w14:textId="77777777" w:rsidR="009E10A5" w:rsidRPr="00E674F7" w:rsidRDefault="009E10A5" w:rsidP="00712998">
            <w:pPr>
              <w:jc w:val="both"/>
              <w:rPr>
                <w:rFonts w:eastAsia="宋体"/>
                <w:i/>
                <w:iCs/>
                <w:sz w:val="21"/>
                <w:szCs w:val="21"/>
              </w:rPr>
            </w:pPr>
            <w:r w:rsidRPr="00E674F7">
              <w:rPr>
                <w:rFonts w:eastAsia="宋体"/>
                <w:i/>
                <w:iCs/>
                <w:sz w:val="21"/>
                <w:szCs w:val="21"/>
              </w:rPr>
              <w:t>Yanliaomyzon ingensdentes</w:t>
            </w:r>
          </w:p>
        </w:tc>
        <w:tc>
          <w:tcPr>
            <w:tcW w:w="916" w:type="dxa"/>
            <w:tcBorders>
              <w:top w:val="nil"/>
              <w:left w:val="nil"/>
              <w:bottom w:val="single" w:sz="4" w:space="0" w:color="auto"/>
              <w:right w:val="single" w:sz="4" w:space="0" w:color="auto"/>
            </w:tcBorders>
            <w:shd w:val="clear" w:color="auto" w:fill="auto"/>
            <w:vAlign w:val="center"/>
          </w:tcPr>
          <w:p w14:paraId="32521E94" w14:textId="77777777" w:rsidR="009E10A5" w:rsidRPr="00E674F7" w:rsidRDefault="009E10A5" w:rsidP="00712998">
            <w:pPr>
              <w:jc w:val="center"/>
              <w:rPr>
                <w:rFonts w:eastAsia="宋体"/>
                <w:sz w:val="21"/>
                <w:szCs w:val="21"/>
              </w:rPr>
            </w:pPr>
            <w:r w:rsidRPr="00E674F7">
              <w:rPr>
                <w:rFonts w:eastAsia="宋体"/>
                <w:sz w:val="21"/>
                <w:szCs w:val="21"/>
              </w:rPr>
              <w:t>310</w:t>
            </w:r>
          </w:p>
        </w:tc>
        <w:tc>
          <w:tcPr>
            <w:tcW w:w="1077" w:type="dxa"/>
            <w:tcBorders>
              <w:top w:val="nil"/>
              <w:left w:val="nil"/>
              <w:bottom w:val="single" w:sz="4" w:space="0" w:color="auto"/>
              <w:right w:val="single" w:sz="4" w:space="0" w:color="auto"/>
            </w:tcBorders>
            <w:shd w:val="clear" w:color="auto" w:fill="auto"/>
            <w:vAlign w:val="center"/>
          </w:tcPr>
          <w:p w14:paraId="136BE6B7" w14:textId="77777777" w:rsidR="009E10A5" w:rsidRPr="00E674F7" w:rsidRDefault="009E10A5" w:rsidP="00712998">
            <w:pPr>
              <w:jc w:val="center"/>
              <w:rPr>
                <w:rFonts w:eastAsia="宋体"/>
                <w:sz w:val="21"/>
                <w:szCs w:val="21"/>
              </w:rPr>
            </w:pPr>
            <w:r w:rsidRPr="00E674F7">
              <w:rPr>
                <w:rFonts w:eastAsia="宋体"/>
                <w:sz w:val="21"/>
                <w:szCs w:val="21"/>
              </w:rPr>
              <w:t>7.2</w:t>
            </w:r>
          </w:p>
        </w:tc>
        <w:tc>
          <w:tcPr>
            <w:tcW w:w="1027" w:type="dxa"/>
            <w:tcBorders>
              <w:top w:val="nil"/>
              <w:left w:val="nil"/>
              <w:bottom w:val="single" w:sz="4" w:space="0" w:color="auto"/>
              <w:right w:val="single" w:sz="4" w:space="0" w:color="auto"/>
            </w:tcBorders>
            <w:shd w:val="clear" w:color="auto" w:fill="auto"/>
            <w:vAlign w:val="center"/>
          </w:tcPr>
          <w:p w14:paraId="2D7EB0E1" w14:textId="77777777" w:rsidR="009E10A5" w:rsidRPr="00E674F7" w:rsidRDefault="009E10A5" w:rsidP="00712998">
            <w:pPr>
              <w:jc w:val="center"/>
              <w:rPr>
                <w:rFonts w:eastAsia="宋体"/>
                <w:sz w:val="21"/>
                <w:szCs w:val="21"/>
              </w:rPr>
            </w:pPr>
            <w:r w:rsidRPr="00E674F7">
              <w:rPr>
                <w:rFonts w:eastAsia="宋体"/>
                <w:sz w:val="21"/>
                <w:szCs w:val="21"/>
              </w:rPr>
              <w:t>178</w:t>
            </w:r>
          </w:p>
        </w:tc>
        <w:tc>
          <w:tcPr>
            <w:tcW w:w="811" w:type="dxa"/>
            <w:tcBorders>
              <w:top w:val="nil"/>
              <w:left w:val="nil"/>
              <w:bottom w:val="single" w:sz="4" w:space="0" w:color="auto"/>
              <w:right w:val="single" w:sz="4" w:space="0" w:color="auto"/>
            </w:tcBorders>
            <w:shd w:val="clear" w:color="auto" w:fill="auto"/>
            <w:vAlign w:val="center"/>
          </w:tcPr>
          <w:p w14:paraId="70547CA1" w14:textId="77777777" w:rsidR="009E10A5" w:rsidRPr="00E674F7" w:rsidRDefault="009E10A5" w:rsidP="00712998">
            <w:pPr>
              <w:jc w:val="center"/>
              <w:rPr>
                <w:rFonts w:eastAsia="宋体"/>
                <w:sz w:val="21"/>
                <w:szCs w:val="21"/>
              </w:rPr>
            </w:pPr>
            <w:r w:rsidRPr="00E674F7">
              <w:rPr>
                <w:rFonts w:eastAsia="宋体"/>
                <w:sz w:val="21"/>
                <w:szCs w:val="21"/>
              </w:rPr>
              <w:t>116</w:t>
            </w:r>
          </w:p>
        </w:tc>
        <w:tc>
          <w:tcPr>
            <w:tcW w:w="1371" w:type="dxa"/>
            <w:tcBorders>
              <w:top w:val="nil"/>
              <w:left w:val="nil"/>
              <w:bottom w:val="single" w:sz="4" w:space="0" w:color="auto"/>
              <w:right w:val="single" w:sz="4" w:space="0" w:color="auto"/>
            </w:tcBorders>
            <w:shd w:val="clear" w:color="auto" w:fill="auto"/>
            <w:vAlign w:val="center"/>
          </w:tcPr>
          <w:p w14:paraId="743E24F8" w14:textId="77777777" w:rsidR="009E10A5" w:rsidRPr="00E674F7" w:rsidRDefault="009E10A5" w:rsidP="00712998">
            <w:pPr>
              <w:jc w:val="center"/>
              <w:rPr>
                <w:rFonts w:eastAsia="宋体"/>
                <w:sz w:val="21"/>
                <w:szCs w:val="21"/>
              </w:rPr>
            </w:pPr>
            <w:r w:rsidRPr="00E674F7">
              <w:rPr>
                <w:rFonts w:eastAsia="宋体"/>
                <w:sz w:val="21"/>
                <w:szCs w:val="21"/>
              </w:rPr>
              <w:t>127.8</w:t>
            </w:r>
          </w:p>
        </w:tc>
        <w:tc>
          <w:tcPr>
            <w:tcW w:w="706" w:type="dxa"/>
            <w:tcBorders>
              <w:top w:val="nil"/>
              <w:left w:val="nil"/>
              <w:bottom w:val="single" w:sz="4" w:space="0" w:color="auto"/>
              <w:right w:val="single" w:sz="4" w:space="0" w:color="auto"/>
            </w:tcBorders>
            <w:shd w:val="clear" w:color="auto" w:fill="auto"/>
            <w:vAlign w:val="center"/>
          </w:tcPr>
          <w:p w14:paraId="0F1D414C" w14:textId="77777777" w:rsidR="009E10A5" w:rsidRPr="00E674F7" w:rsidRDefault="009E10A5" w:rsidP="00712998">
            <w:pPr>
              <w:jc w:val="center"/>
              <w:rPr>
                <w:rFonts w:eastAsia="宋体"/>
                <w:sz w:val="21"/>
                <w:szCs w:val="21"/>
              </w:rPr>
            </w:pPr>
            <w:r w:rsidRPr="00E674F7">
              <w:rPr>
                <w:rFonts w:eastAsia="宋体"/>
                <w:sz w:val="21"/>
                <w:szCs w:val="21"/>
              </w:rPr>
              <w:t>29</w:t>
            </w:r>
          </w:p>
        </w:tc>
        <w:tc>
          <w:tcPr>
            <w:tcW w:w="654" w:type="dxa"/>
            <w:tcBorders>
              <w:top w:val="nil"/>
              <w:left w:val="nil"/>
              <w:bottom w:val="single" w:sz="4" w:space="0" w:color="auto"/>
              <w:right w:val="single" w:sz="4" w:space="0" w:color="auto"/>
            </w:tcBorders>
            <w:shd w:val="clear" w:color="auto" w:fill="auto"/>
            <w:vAlign w:val="center"/>
          </w:tcPr>
          <w:p w14:paraId="705EB62E" w14:textId="77777777" w:rsidR="009E10A5" w:rsidRPr="00E674F7" w:rsidRDefault="009E10A5" w:rsidP="00712998">
            <w:pPr>
              <w:jc w:val="center"/>
              <w:rPr>
                <w:rFonts w:eastAsia="宋体"/>
                <w:sz w:val="21"/>
                <w:szCs w:val="21"/>
              </w:rPr>
            </w:pPr>
            <w:r w:rsidRPr="00E674F7">
              <w:rPr>
                <w:rFonts w:eastAsia="宋体"/>
                <w:sz w:val="21"/>
                <w:szCs w:val="21"/>
              </w:rPr>
              <w:t>4</w:t>
            </w:r>
          </w:p>
        </w:tc>
        <w:tc>
          <w:tcPr>
            <w:tcW w:w="660" w:type="dxa"/>
            <w:tcBorders>
              <w:top w:val="nil"/>
              <w:left w:val="nil"/>
              <w:bottom w:val="single" w:sz="4" w:space="0" w:color="auto"/>
              <w:right w:val="single" w:sz="4" w:space="0" w:color="auto"/>
            </w:tcBorders>
            <w:shd w:val="clear" w:color="auto" w:fill="auto"/>
            <w:vAlign w:val="center"/>
          </w:tcPr>
          <w:p w14:paraId="7C7FFE0A" w14:textId="77777777" w:rsidR="009E10A5" w:rsidRPr="00E674F7" w:rsidRDefault="009E10A5" w:rsidP="00712998">
            <w:pPr>
              <w:jc w:val="center"/>
              <w:rPr>
                <w:rFonts w:eastAsia="宋体"/>
                <w:sz w:val="21"/>
                <w:szCs w:val="21"/>
              </w:rPr>
            </w:pPr>
            <w:r w:rsidRPr="00E674F7">
              <w:rPr>
                <w:rFonts w:eastAsia="宋体"/>
                <w:sz w:val="21"/>
                <w:szCs w:val="21"/>
              </w:rPr>
              <w:t>6.5</w:t>
            </w:r>
          </w:p>
        </w:tc>
        <w:tc>
          <w:tcPr>
            <w:tcW w:w="777" w:type="dxa"/>
            <w:tcBorders>
              <w:top w:val="nil"/>
              <w:left w:val="nil"/>
              <w:bottom w:val="single" w:sz="4" w:space="0" w:color="auto"/>
              <w:right w:val="single" w:sz="4" w:space="0" w:color="auto"/>
            </w:tcBorders>
            <w:shd w:val="clear" w:color="auto" w:fill="auto"/>
            <w:vAlign w:val="center"/>
          </w:tcPr>
          <w:p w14:paraId="5541C53C" w14:textId="77777777" w:rsidR="009E10A5" w:rsidRPr="00E674F7" w:rsidRDefault="009E10A5" w:rsidP="00712998">
            <w:pPr>
              <w:jc w:val="center"/>
              <w:rPr>
                <w:rFonts w:eastAsia="宋体"/>
                <w:sz w:val="21"/>
                <w:szCs w:val="21"/>
              </w:rPr>
            </w:pPr>
            <w:r w:rsidRPr="00E674F7">
              <w:rPr>
                <w:rFonts w:eastAsia="宋体"/>
                <w:sz w:val="21"/>
                <w:szCs w:val="21"/>
              </w:rPr>
              <w:t>?</w:t>
            </w:r>
          </w:p>
        </w:tc>
        <w:tc>
          <w:tcPr>
            <w:tcW w:w="759" w:type="dxa"/>
            <w:tcBorders>
              <w:top w:val="nil"/>
              <w:left w:val="nil"/>
              <w:bottom w:val="single" w:sz="4" w:space="0" w:color="auto"/>
              <w:right w:val="single" w:sz="4" w:space="0" w:color="auto"/>
            </w:tcBorders>
            <w:shd w:val="clear" w:color="auto" w:fill="auto"/>
            <w:vAlign w:val="center"/>
          </w:tcPr>
          <w:p w14:paraId="57387586" w14:textId="77777777" w:rsidR="009E10A5" w:rsidRPr="00E674F7" w:rsidRDefault="009E10A5" w:rsidP="00712998">
            <w:pPr>
              <w:jc w:val="center"/>
              <w:rPr>
                <w:rFonts w:eastAsia="宋体"/>
                <w:sz w:val="21"/>
                <w:szCs w:val="21"/>
              </w:rPr>
            </w:pPr>
            <w:r w:rsidRPr="00E674F7">
              <w:rPr>
                <w:rFonts w:eastAsia="宋体"/>
                <w:sz w:val="21"/>
                <w:szCs w:val="21"/>
              </w:rPr>
              <w:t>?</w:t>
            </w:r>
          </w:p>
        </w:tc>
        <w:tc>
          <w:tcPr>
            <w:tcW w:w="1021" w:type="dxa"/>
            <w:tcBorders>
              <w:top w:val="nil"/>
              <w:left w:val="nil"/>
              <w:bottom w:val="single" w:sz="4" w:space="0" w:color="auto"/>
              <w:right w:val="single" w:sz="4" w:space="0" w:color="auto"/>
            </w:tcBorders>
            <w:shd w:val="clear" w:color="auto" w:fill="auto"/>
            <w:vAlign w:val="center"/>
          </w:tcPr>
          <w:p w14:paraId="2C0170A5" w14:textId="77777777" w:rsidR="009E10A5" w:rsidRPr="00E674F7" w:rsidRDefault="009E10A5" w:rsidP="00712998">
            <w:pPr>
              <w:jc w:val="center"/>
              <w:rPr>
                <w:rFonts w:eastAsia="宋体"/>
                <w:sz w:val="21"/>
                <w:szCs w:val="21"/>
              </w:rPr>
            </w:pPr>
            <w:r w:rsidRPr="00E674F7">
              <w:rPr>
                <w:rFonts w:eastAsia="宋体"/>
                <w:sz w:val="21"/>
                <w:szCs w:val="21"/>
              </w:rPr>
              <w:t>33</w:t>
            </w:r>
          </w:p>
        </w:tc>
        <w:tc>
          <w:tcPr>
            <w:tcW w:w="706" w:type="dxa"/>
            <w:tcBorders>
              <w:top w:val="nil"/>
              <w:left w:val="nil"/>
              <w:bottom w:val="single" w:sz="4" w:space="0" w:color="auto"/>
              <w:right w:val="single" w:sz="4" w:space="0" w:color="auto"/>
            </w:tcBorders>
            <w:shd w:val="clear" w:color="auto" w:fill="auto"/>
            <w:vAlign w:val="center"/>
          </w:tcPr>
          <w:p w14:paraId="4E4B310C" w14:textId="77777777" w:rsidR="009E10A5" w:rsidRPr="00E674F7" w:rsidRDefault="009E10A5" w:rsidP="00712998">
            <w:pPr>
              <w:jc w:val="center"/>
              <w:rPr>
                <w:rFonts w:eastAsia="宋体"/>
                <w:sz w:val="21"/>
                <w:szCs w:val="21"/>
              </w:rPr>
            </w:pPr>
            <w:r w:rsidRPr="00E674F7">
              <w:rPr>
                <w:rFonts w:eastAsia="宋体"/>
                <w:sz w:val="21"/>
                <w:szCs w:val="21"/>
              </w:rPr>
              <w:t>42</w:t>
            </w:r>
          </w:p>
        </w:tc>
        <w:tc>
          <w:tcPr>
            <w:tcW w:w="777" w:type="dxa"/>
            <w:tcBorders>
              <w:top w:val="nil"/>
              <w:left w:val="nil"/>
              <w:bottom w:val="single" w:sz="4" w:space="0" w:color="auto"/>
              <w:right w:val="single" w:sz="4" w:space="0" w:color="auto"/>
            </w:tcBorders>
            <w:shd w:val="clear" w:color="auto" w:fill="auto"/>
            <w:vAlign w:val="center"/>
          </w:tcPr>
          <w:p w14:paraId="35A581A9" w14:textId="77777777" w:rsidR="009E10A5" w:rsidRPr="00E674F7" w:rsidRDefault="009E10A5" w:rsidP="00712998">
            <w:pPr>
              <w:jc w:val="center"/>
              <w:rPr>
                <w:rFonts w:eastAsia="宋体"/>
                <w:sz w:val="21"/>
                <w:szCs w:val="21"/>
              </w:rPr>
            </w:pPr>
            <w:r w:rsidRPr="00E674F7">
              <w:rPr>
                <w:rFonts w:eastAsia="宋体"/>
                <w:sz w:val="21"/>
                <w:szCs w:val="21"/>
              </w:rPr>
              <w:t>12</w:t>
            </w:r>
          </w:p>
        </w:tc>
        <w:tc>
          <w:tcPr>
            <w:tcW w:w="496" w:type="dxa"/>
            <w:tcBorders>
              <w:top w:val="nil"/>
              <w:left w:val="nil"/>
              <w:bottom w:val="single" w:sz="4" w:space="0" w:color="auto"/>
              <w:right w:val="single" w:sz="4" w:space="0" w:color="auto"/>
            </w:tcBorders>
            <w:shd w:val="clear" w:color="auto" w:fill="auto"/>
            <w:vAlign w:val="center"/>
          </w:tcPr>
          <w:p w14:paraId="296C043E" w14:textId="77777777" w:rsidR="009E10A5" w:rsidRPr="00E674F7" w:rsidRDefault="009E10A5" w:rsidP="00712998">
            <w:pPr>
              <w:jc w:val="center"/>
              <w:rPr>
                <w:rFonts w:eastAsia="宋体"/>
                <w:sz w:val="21"/>
                <w:szCs w:val="21"/>
              </w:rPr>
            </w:pPr>
            <w:r w:rsidRPr="00E674F7">
              <w:rPr>
                <w:rFonts w:eastAsia="宋体"/>
                <w:sz w:val="21"/>
                <w:szCs w:val="21"/>
              </w:rPr>
              <w:t>?</w:t>
            </w:r>
          </w:p>
        </w:tc>
        <w:tc>
          <w:tcPr>
            <w:tcW w:w="706" w:type="dxa"/>
            <w:tcBorders>
              <w:top w:val="nil"/>
              <w:left w:val="nil"/>
              <w:bottom w:val="single" w:sz="4" w:space="0" w:color="auto"/>
              <w:right w:val="single" w:sz="4" w:space="0" w:color="auto"/>
            </w:tcBorders>
            <w:shd w:val="clear" w:color="auto" w:fill="auto"/>
            <w:vAlign w:val="center"/>
          </w:tcPr>
          <w:p w14:paraId="2FEB7BD1" w14:textId="77777777" w:rsidR="009E10A5" w:rsidRPr="00E674F7" w:rsidRDefault="009E10A5" w:rsidP="00712998">
            <w:pPr>
              <w:jc w:val="center"/>
              <w:rPr>
                <w:rFonts w:eastAsia="宋体"/>
                <w:sz w:val="21"/>
                <w:szCs w:val="21"/>
              </w:rPr>
            </w:pPr>
            <w:r w:rsidRPr="00E674F7">
              <w:rPr>
                <w:rFonts w:eastAsia="宋体"/>
                <w:sz w:val="21"/>
                <w:szCs w:val="21"/>
              </w:rPr>
              <w:t>?</w:t>
            </w:r>
          </w:p>
        </w:tc>
        <w:tc>
          <w:tcPr>
            <w:tcW w:w="990" w:type="dxa"/>
            <w:tcBorders>
              <w:top w:val="nil"/>
              <w:left w:val="nil"/>
              <w:bottom w:val="single" w:sz="4" w:space="0" w:color="auto"/>
              <w:right w:val="single" w:sz="4" w:space="0" w:color="auto"/>
            </w:tcBorders>
            <w:shd w:val="clear" w:color="auto" w:fill="auto"/>
            <w:vAlign w:val="center"/>
          </w:tcPr>
          <w:p w14:paraId="77F9CABA" w14:textId="77777777" w:rsidR="009E10A5" w:rsidRPr="00E674F7" w:rsidRDefault="009E10A5" w:rsidP="00712998">
            <w:pPr>
              <w:jc w:val="center"/>
              <w:rPr>
                <w:rFonts w:eastAsia="宋体"/>
                <w:sz w:val="21"/>
                <w:szCs w:val="21"/>
              </w:rPr>
            </w:pPr>
            <w:r w:rsidRPr="00E674F7">
              <w:rPr>
                <w:rFonts w:eastAsia="宋体"/>
                <w:sz w:val="21"/>
                <w:szCs w:val="21"/>
              </w:rPr>
              <w:t>5.3</w:t>
            </w:r>
          </w:p>
        </w:tc>
      </w:tr>
      <w:tr w:rsidR="009E10A5" w:rsidRPr="00E674F7" w14:paraId="18F7E84C" w14:textId="77777777" w:rsidTr="00712998">
        <w:trPr>
          <w:trHeight w:val="250"/>
        </w:trPr>
        <w:tc>
          <w:tcPr>
            <w:tcW w:w="1488" w:type="dxa"/>
            <w:tcBorders>
              <w:top w:val="nil"/>
              <w:left w:val="single" w:sz="4" w:space="0" w:color="auto"/>
              <w:bottom w:val="single" w:sz="4" w:space="0" w:color="auto"/>
              <w:right w:val="single" w:sz="4" w:space="0" w:color="auto"/>
            </w:tcBorders>
            <w:shd w:val="clear" w:color="auto" w:fill="auto"/>
            <w:vAlign w:val="center"/>
          </w:tcPr>
          <w:p w14:paraId="5CE38029" w14:textId="77777777" w:rsidR="009E10A5" w:rsidRPr="00E674F7" w:rsidRDefault="009E10A5" w:rsidP="00712998">
            <w:pPr>
              <w:jc w:val="both"/>
              <w:rPr>
                <w:rFonts w:eastAsia="宋体"/>
                <w:i/>
                <w:iCs/>
                <w:sz w:val="21"/>
                <w:szCs w:val="21"/>
              </w:rPr>
            </w:pPr>
            <w:r w:rsidRPr="00E674F7">
              <w:rPr>
                <w:rFonts w:eastAsia="宋体"/>
                <w:i/>
                <w:iCs/>
                <w:sz w:val="21"/>
                <w:szCs w:val="21"/>
              </w:rPr>
              <w:t>Mesomyzon</w:t>
            </w:r>
            <w:r>
              <w:rPr>
                <w:rFonts w:eastAsia="宋体"/>
                <w:i/>
                <w:iCs/>
                <w:sz w:val="21"/>
                <w:szCs w:val="21"/>
              </w:rPr>
              <w:t xml:space="preserve"> mengae</w:t>
            </w:r>
          </w:p>
        </w:tc>
        <w:tc>
          <w:tcPr>
            <w:tcW w:w="916" w:type="dxa"/>
            <w:tcBorders>
              <w:top w:val="nil"/>
              <w:left w:val="nil"/>
              <w:bottom w:val="single" w:sz="4" w:space="0" w:color="auto"/>
              <w:right w:val="single" w:sz="4" w:space="0" w:color="auto"/>
            </w:tcBorders>
            <w:shd w:val="clear" w:color="auto" w:fill="auto"/>
            <w:vAlign w:val="center"/>
          </w:tcPr>
          <w:p w14:paraId="1EB8960A" w14:textId="77777777" w:rsidR="009E10A5" w:rsidRPr="00E674F7" w:rsidRDefault="009E10A5" w:rsidP="00712998">
            <w:pPr>
              <w:jc w:val="center"/>
              <w:rPr>
                <w:rFonts w:eastAsia="宋体"/>
                <w:sz w:val="21"/>
                <w:szCs w:val="21"/>
              </w:rPr>
            </w:pPr>
            <w:r w:rsidRPr="00E674F7">
              <w:rPr>
                <w:rFonts w:eastAsia="宋体"/>
                <w:sz w:val="21"/>
                <w:szCs w:val="21"/>
              </w:rPr>
              <w:t>150-217</w:t>
            </w:r>
          </w:p>
        </w:tc>
        <w:tc>
          <w:tcPr>
            <w:tcW w:w="1077" w:type="dxa"/>
            <w:tcBorders>
              <w:top w:val="nil"/>
              <w:left w:val="nil"/>
              <w:bottom w:val="single" w:sz="4" w:space="0" w:color="auto"/>
              <w:right w:val="single" w:sz="4" w:space="0" w:color="auto"/>
            </w:tcBorders>
            <w:shd w:val="clear" w:color="auto" w:fill="auto"/>
            <w:vAlign w:val="center"/>
          </w:tcPr>
          <w:p w14:paraId="2A60BBC0" w14:textId="77777777" w:rsidR="009E10A5" w:rsidRPr="00E674F7" w:rsidRDefault="009E10A5" w:rsidP="00712998">
            <w:pPr>
              <w:jc w:val="center"/>
              <w:rPr>
                <w:rFonts w:eastAsia="DengXian"/>
                <w:sz w:val="21"/>
                <w:szCs w:val="21"/>
              </w:rPr>
            </w:pPr>
            <w:r w:rsidRPr="00E674F7">
              <w:rPr>
                <w:rFonts w:eastAsia="DengXian"/>
                <w:sz w:val="21"/>
                <w:szCs w:val="21"/>
              </w:rPr>
              <w:t>11.1-12.5</w:t>
            </w:r>
          </w:p>
        </w:tc>
        <w:tc>
          <w:tcPr>
            <w:tcW w:w="1027" w:type="dxa"/>
            <w:tcBorders>
              <w:top w:val="nil"/>
              <w:left w:val="nil"/>
              <w:bottom w:val="single" w:sz="4" w:space="0" w:color="000000" w:themeColor="text1"/>
              <w:right w:val="single" w:sz="4" w:space="0" w:color="auto"/>
            </w:tcBorders>
            <w:shd w:val="clear" w:color="auto" w:fill="auto"/>
            <w:vAlign w:val="center"/>
          </w:tcPr>
          <w:p w14:paraId="5C0F7E7A" w14:textId="77777777" w:rsidR="009E10A5" w:rsidRPr="00E674F7" w:rsidRDefault="009E10A5" w:rsidP="00712998">
            <w:pPr>
              <w:jc w:val="center"/>
              <w:rPr>
                <w:rFonts w:eastAsia="宋体"/>
                <w:sz w:val="21"/>
                <w:szCs w:val="21"/>
              </w:rPr>
            </w:pPr>
            <w:r w:rsidRPr="00E674F7">
              <w:rPr>
                <w:rFonts w:eastAsia="宋体"/>
                <w:sz w:val="21"/>
                <w:szCs w:val="21"/>
              </w:rPr>
              <w:t>113-166</w:t>
            </w:r>
          </w:p>
        </w:tc>
        <w:tc>
          <w:tcPr>
            <w:tcW w:w="811" w:type="dxa"/>
            <w:tcBorders>
              <w:top w:val="nil"/>
              <w:left w:val="nil"/>
              <w:bottom w:val="single" w:sz="4" w:space="0" w:color="auto"/>
              <w:right w:val="single" w:sz="4" w:space="0" w:color="auto"/>
            </w:tcBorders>
            <w:shd w:val="clear" w:color="auto" w:fill="auto"/>
            <w:vAlign w:val="center"/>
          </w:tcPr>
          <w:p w14:paraId="59740455" w14:textId="77777777" w:rsidR="009E10A5" w:rsidRPr="00E674F7" w:rsidRDefault="009E10A5" w:rsidP="00712998">
            <w:pPr>
              <w:jc w:val="center"/>
              <w:rPr>
                <w:rFonts w:eastAsia="宋体"/>
                <w:sz w:val="21"/>
                <w:szCs w:val="21"/>
              </w:rPr>
            </w:pPr>
            <w:r w:rsidRPr="00E674F7">
              <w:rPr>
                <w:rFonts w:eastAsia="宋体"/>
                <w:sz w:val="21"/>
                <w:szCs w:val="21"/>
              </w:rPr>
              <w:t>74-107</w:t>
            </w:r>
          </w:p>
        </w:tc>
        <w:tc>
          <w:tcPr>
            <w:tcW w:w="1371" w:type="dxa"/>
            <w:tcBorders>
              <w:top w:val="nil"/>
              <w:left w:val="nil"/>
              <w:bottom w:val="single" w:sz="4" w:space="0" w:color="auto"/>
              <w:right w:val="single" w:sz="4" w:space="0" w:color="auto"/>
            </w:tcBorders>
            <w:shd w:val="clear" w:color="auto" w:fill="auto"/>
            <w:vAlign w:val="center"/>
          </w:tcPr>
          <w:p w14:paraId="52D70DF0" w14:textId="77777777" w:rsidR="009E10A5" w:rsidRPr="00E674F7" w:rsidRDefault="009E10A5" w:rsidP="00712998">
            <w:pPr>
              <w:jc w:val="center"/>
              <w:rPr>
                <w:rFonts w:eastAsia="宋体"/>
                <w:sz w:val="21"/>
                <w:szCs w:val="21"/>
              </w:rPr>
            </w:pPr>
            <w:r w:rsidRPr="00E674F7">
              <w:rPr>
                <w:rFonts w:eastAsia="宋体"/>
                <w:sz w:val="21"/>
                <w:szCs w:val="21"/>
              </w:rPr>
              <w:t>37-51</w:t>
            </w:r>
          </w:p>
        </w:tc>
        <w:tc>
          <w:tcPr>
            <w:tcW w:w="706" w:type="dxa"/>
            <w:tcBorders>
              <w:top w:val="nil"/>
              <w:left w:val="nil"/>
              <w:bottom w:val="single" w:sz="4" w:space="0" w:color="auto"/>
              <w:right w:val="single" w:sz="4" w:space="0" w:color="auto"/>
            </w:tcBorders>
            <w:shd w:val="clear" w:color="auto" w:fill="auto"/>
            <w:vAlign w:val="center"/>
          </w:tcPr>
          <w:p w14:paraId="1F3EA0F5" w14:textId="77777777" w:rsidR="009E10A5" w:rsidRPr="00E674F7" w:rsidRDefault="009E10A5" w:rsidP="00712998">
            <w:pPr>
              <w:jc w:val="center"/>
              <w:rPr>
                <w:rFonts w:eastAsia="宋体"/>
                <w:sz w:val="21"/>
                <w:szCs w:val="21"/>
              </w:rPr>
            </w:pPr>
            <w:r w:rsidRPr="00E674F7">
              <w:rPr>
                <w:rFonts w:eastAsia="宋体"/>
                <w:sz w:val="21"/>
                <w:szCs w:val="21"/>
              </w:rPr>
              <w:t>13-20</w:t>
            </w:r>
          </w:p>
        </w:tc>
        <w:tc>
          <w:tcPr>
            <w:tcW w:w="654" w:type="dxa"/>
            <w:tcBorders>
              <w:top w:val="nil"/>
              <w:left w:val="nil"/>
              <w:bottom w:val="single" w:sz="4" w:space="0" w:color="auto"/>
              <w:right w:val="single" w:sz="4" w:space="0" w:color="auto"/>
            </w:tcBorders>
            <w:shd w:val="clear" w:color="auto" w:fill="auto"/>
            <w:vAlign w:val="center"/>
          </w:tcPr>
          <w:p w14:paraId="40B198A4" w14:textId="77777777" w:rsidR="009E10A5" w:rsidRPr="00E674F7" w:rsidRDefault="009E10A5" w:rsidP="00712998">
            <w:pPr>
              <w:jc w:val="center"/>
              <w:rPr>
                <w:rFonts w:eastAsia="宋体"/>
                <w:sz w:val="21"/>
                <w:szCs w:val="21"/>
              </w:rPr>
            </w:pPr>
            <w:r w:rsidRPr="00E674F7">
              <w:rPr>
                <w:rFonts w:eastAsia="宋体"/>
                <w:sz w:val="21"/>
                <w:szCs w:val="21"/>
              </w:rPr>
              <w:t>2-2.5</w:t>
            </w:r>
          </w:p>
        </w:tc>
        <w:tc>
          <w:tcPr>
            <w:tcW w:w="660" w:type="dxa"/>
            <w:tcBorders>
              <w:top w:val="nil"/>
              <w:left w:val="nil"/>
              <w:bottom w:val="single" w:sz="4" w:space="0" w:color="auto"/>
              <w:right w:val="single" w:sz="4" w:space="0" w:color="auto"/>
            </w:tcBorders>
            <w:shd w:val="clear" w:color="auto" w:fill="auto"/>
            <w:vAlign w:val="center"/>
          </w:tcPr>
          <w:p w14:paraId="7839A9E9" w14:textId="77777777" w:rsidR="009E10A5" w:rsidRPr="00E674F7" w:rsidRDefault="009E10A5" w:rsidP="00712998">
            <w:pPr>
              <w:jc w:val="center"/>
              <w:rPr>
                <w:rFonts w:eastAsia="宋体"/>
                <w:sz w:val="21"/>
                <w:szCs w:val="21"/>
              </w:rPr>
            </w:pPr>
            <w:r w:rsidRPr="00E674F7">
              <w:rPr>
                <w:rFonts w:eastAsia="宋体"/>
                <w:sz w:val="21"/>
                <w:szCs w:val="21"/>
              </w:rPr>
              <w:t>6.5-8</w:t>
            </w:r>
          </w:p>
        </w:tc>
        <w:tc>
          <w:tcPr>
            <w:tcW w:w="777" w:type="dxa"/>
            <w:tcBorders>
              <w:top w:val="nil"/>
              <w:left w:val="nil"/>
              <w:bottom w:val="single" w:sz="4" w:space="0" w:color="auto"/>
              <w:right w:val="single" w:sz="4" w:space="0" w:color="auto"/>
            </w:tcBorders>
            <w:shd w:val="clear" w:color="auto" w:fill="auto"/>
            <w:vAlign w:val="center"/>
          </w:tcPr>
          <w:p w14:paraId="573843C8" w14:textId="77777777" w:rsidR="009E10A5" w:rsidRPr="00E674F7" w:rsidRDefault="009E10A5" w:rsidP="00712998">
            <w:pPr>
              <w:jc w:val="center"/>
              <w:rPr>
                <w:rFonts w:eastAsia="宋体"/>
                <w:sz w:val="21"/>
                <w:szCs w:val="21"/>
              </w:rPr>
            </w:pPr>
            <w:r w:rsidRPr="00E674F7">
              <w:rPr>
                <w:rFonts w:eastAsia="宋体"/>
                <w:sz w:val="21"/>
                <w:szCs w:val="21"/>
              </w:rPr>
              <w:t>2-3</w:t>
            </w:r>
          </w:p>
        </w:tc>
        <w:tc>
          <w:tcPr>
            <w:tcW w:w="759" w:type="dxa"/>
            <w:tcBorders>
              <w:top w:val="nil"/>
              <w:left w:val="nil"/>
              <w:bottom w:val="single" w:sz="4" w:space="0" w:color="auto"/>
              <w:right w:val="single" w:sz="4" w:space="0" w:color="auto"/>
            </w:tcBorders>
            <w:shd w:val="clear" w:color="auto" w:fill="auto"/>
            <w:vAlign w:val="center"/>
          </w:tcPr>
          <w:p w14:paraId="248D3E7A" w14:textId="77777777" w:rsidR="009E10A5" w:rsidRPr="00E674F7" w:rsidRDefault="009E10A5" w:rsidP="00712998">
            <w:pPr>
              <w:jc w:val="center"/>
              <w:rPr>
                <w:rFonts w:eastAsia="宋体"/>
                <w:sz w:val="21"/>
                <w:szCs w:val="21"/>
              </w:rPr>
            </w:pPr>
            <w:r w:rsidRPr="00E674F7">
              <w:rPr>
                <w:rFonts w:eastAsia="宋体"/>
                <w:sz w:val="21"/>
                <w:szCs w:val="21"/>
              </w:rPr>
              <w:t>7.5-13</w:t>
            </w:r>
          </w:p>
        </w:tc>
        <w:tc>
          <w:tcPr>
            <w:tcW w:w="1021" w:type="dxa"/>
            <w:tcBorders>
              <w:top w:val="nil"/>
              <w:left w:val="nil"/>
              <w:bottom w:val="single" w:sz="4" w:space="0" w:color="auto"/>
              <w:right w:val="single" w:sz="4" w:space="0" w:color="auto"/>
            </w:tcBorders>
            <w:shd w:val="clear" w:color="auto" w:fill="auto"/>
            <w:vAlign w:val="center"/>
          </w:tcPr>
          <w:p w14:paraId="59A29A99" w14:textId="77777777" w:rsidR="009E10A5" w:rsidRPr="00E674F7" w:rsidRDefault="009E10A5" w:rsidP="00712998">
            <w:pPr>
              <w:jc w:val="center"/>
              <w:rPr>
                <w:rFonts w:eastAsia="宋体"/>
                <w:sz w:val="21"/>
                <w:szCs w:val="21"/>
              </w:rPr>
            </w:pPr>
            <w:r w:rsidRPr="00E674F7">
              <w:rPr>
                <w:rFonts w:eastAsia="宋体"/>
                <w:sz w:val="21"/>
                <w:szCs w:val="21"/>
              </w:rPr>
              <w:t>15.5-17.5</w:t>
            </w:r>
          </w:p>
        </w:tc>
        <w:tc>
          <w:tcPr>
            <w:tcW w:w="706" w:type="dxa"/>
            <w:tcBorders>
              <w:top w:val="nil"/>
              <w:left w:val="nil"/>
              <w:bottom w:val="single" w:sz="4" w:space="0" w:color="auto"/>
              <w:right w:val="single" w:sz="4" w:space="0" w:color="auto"/>
            </w:tcBorders>
            <w:shd w:val="clear" w:color="auto" w:fill="auto"/>
            <w:vAlign w:val="center"/>
          </w:tcPr>
          <w:p w14:paraId="4E11B5F9" w14:textId="77777777" w:rsidR="009E10A5" w:rsidRPr="00E674F7" w:rsidRDefault="009E10A5" w:rsidP="00712998">
            <w:pPr>
              <w:jc w:val="center"/>
              <w:rPr>
                <w:rFonts w:eastAsia="宋体"/>
                <w:sz w:val="21"/>
                <w:szCs w:val="21"/>
              </w:rPr>
            </w:pPr>
            <w:r w:rsidRPr="00E674F7">
              <w:rPr>
                <w:rFonts w:eastAsia="宋体"/>
                <w:sz w:val="21"/>
                <w:szCs w:val="21"/>
              </w:rPr>
              <w:t>20-32</w:t>
            </w:r>
          </w:p>
        </w:tc>
        <w:tc>
          <w:tcPr>
            <w:tcW w:w="777" w:type="dxa"/>
            <w:tcBorders>
              <w:top w:val="nil"/>
              <w:left w:val="nil"/>
              <w:bottom w:val="single" w:sz="4" w:space="0" w:color="auto"/>
              <w:right w:val="single" w:sz="4" w:space="0" w:color="auto"/>
            </w:tcBorders>
            <w:shd w:val="clear" w:color="auto" w:fill="auto"/>
            <w:vAlign w:val="center"/>
          </w:tcPr>
          <w:p w14:paraId="187EFBDC" w14:textId="77777777" w:rsidR="009E10A5" w:rsidRPr="00E674F7" w:rsidRDefault="009E10A5" w:rsidP="00712998">
            <w:pPr>
              <w:jc w:val="center"/>
              <w:rPr>
                <w:rFonts w:eastAsia="宋体"/>
                <w:sz w:val="21"/>
                <w:szCs w:val="21"/>
              </w:rPr>
            </w:pPr>
            <w:r w:rsidRPr="00E674F7">
              <w:rPr>
                <w:rFonts w:eastAsia="宋体"/>
                <w:sz w:val="21"/>
                <w:szCs w:val="21"/>
              </w:rPr>
              <w:t>13-21</w:t>
            </w:r>
          </w:p>
        </w:tc>
        <w:tc>
          <w:tcPr>
            <w:tcW w:w="496" w:type="dxa"/>
            <w:tcBorders>
              <w:top w:val="nil"/>
              <w:left w:val="nil"/>
              <w:bottom w:val="single" w:sz="4" w:space="0" w:color="auto"/>
              <w:right w:val="single" w:sz="4" w:space="0" w:color="auto"/>
            </w:tcBorders>
            <w:shd w:val="clear" w:color="auto" w:fill="auto"/>
            <w:vAlign w:val="center"/>
          </w:tcPr>
          <w:p w14:paraId="5A90D7B3" w14:textId="77777777" w:rsidR="009E10A5" w:rsidRPr="00E674F7" w:rsidRDefault="009E10A5" w:rsidP="00712998">
            <w:pPr>
              <w:jc w:val="center"/>
              <w:rPr>
                <w:rFonts w:eastAsia="宋体"/>
                <w:sz w:val="21"/>
                <w:szCs w:val="21"/>
              </w:rPr>
            </w:pPr>
            <w:r w:rsidRPr="00E674F7">
              <w:rPr>
                <w:rFonts w:eastAsia="宋体"/>
                <w:sz w:val="21"/>
                <w:szCs w:val="21"/>
              </w:rPr>
              <w:t>2-3</w:t>
            </w:r>
          </w:p>
        </w:tc>
        <w:tc>
          <w:tcPr>
            <w:tcW w:w="706" w:type="dxa"/>
            <w:tcBorders>
              <w:top w:val="nil"/>
              <w:left w:val="nil"/>
              <w:bottom w:val="single" w:sz="4" w:space="0" w:color="auto"/>
              <w:right w:val="single" w:sz="4" w:space="0" w:color="auto"/>
            </w:tcBorders>
            <w:shd w:val="clear" w:color="auto" w:fill="auto"/>
            <w:vAlign w:val="center"/>
          </w:tcPr>
          <w:p w14:paraId="01AFD163" w14:textId="77777777" w:rsidR="009E10A5" w:rsidRPr="00E674F7" w:rsidRDefault="009E10A5" w:rsidP="00712998">
            <w:pPr>
              <w:jc w:val="center"/>
              <w:rPr>
                <w:rFonts w:eastAsia="宋体"/>
                <w:sz w:val="21"/>
                <w:szCs w:val="21"/>
              </w:rPr>
            </w:pPr>
            <w:r w:rsidRPr="00E674F7">
              <w:rPr>
                <w:rFonts w:eastAsia="宋体"/>
                <w:sz w:val="21"/>
                <w:szCs w:val="21"/>
              </w:rPr>
              <w:t>70-80</w:t>
            </w:r>
          </w:p>
        </w:tc>
        <w:tc>
          <w:tcPr>
            <w:tcW w:w="990" w:type="dxa"/>
            <w:tcBorders>
              <w:top w:val="nil"/>
              <w:left w:val="nil"/>
              <w:bottom w:val="single" w:sz="4" w:space="0" w:color="auto"/>
              <w:right w:val="single" w:sz="4" w:space="0" w:color="auto"/>
            </w:tcBorders>
            <w:shd w:val="clear" w:color="auto" w:fill="auto"/>
            <w:vAlign w:val="center"/>
          </w:tcPr>
          <w:p w14:paraId="510070E5" w14:textId="77777777" w:rsidR="009E10A5" w:rsidRPr="00E674F7" w:rsidRDefault="009E10A5" w:rsidP="00712998">
            <w:pPr>
              <w:jc w:val="center"/>
              <w:rPr>
                <w:rFonts w:eastAsia="宋体"/>
                <w:sz w:val="21"/>
                <w:szCs w:val="21"/>
              </w:rPr>
            </w:pPr>
            <w:r w:rsidRPr="00E674F7">
              <w:rPr>
                <w:rFonts w:eastAsia="宋体"/>
                <w:sz w:val="21"/>
                <w:szCs w:val="21"/>
              </w:rPr>
              <w:t>4.4</w:t>
            </w:r>
          </w:p>
        </w:tc>
      </w:tr>
      <w:tr w:rsidR="009E10A5" w:rsidRPr="00E674F7" w14:paraId="26BADF16" w14:textId="77777777" w:rsidTr="00712998">
        <w:trPr>
          <w:trHeight w:val="250"/>
        </w:trPr>
        <w:tc>
          <w:tcPr>
            <w:tcW w:w="1488" w:type="dxa"/>
            <w:tcBorders>
              <w:top w:val="nil"/>
              <w:left w:val="single" w:sz="4" w:space="0" w:color="auto"/>
              <w:bottom w:val="single" w:sz="4" w:space="0" w:color="auto"/>
              <w:right w:val="single" w:sz="4" w:space="0" w:color="auto"/>
            </w:tcBorders>
            <w:shd w:val="clear" w:color="auto" w:fill="auto"/>
            <w:vAlign w:val="center"/>
          </w:tcPr>
          <w:p w14:paraId="799773B0" w14:textId="77777777" w:rsidR="009E10A5" w:rsidRPr="00E674F7" w:rsidRDefault="009E10A5" w:rsidP="00712998">
            <w:pPr>
              <w:jc w:val="both"/>
              <w:rPr>
                <w:rFonts w:eastAsia="宋体"/>
                <w:i/>
                <w:iCs/>
                <w:sz w:val="21"/>
                <w:szCs w:val="21"/>
              </w:rPr>
            </w:pPr>
            <w:r w:rsidRPr="00E674F7">
              <w:rPr>
                <w:rFonts w:eastAsia="宋体"/>
                <w:i/>
                <w:iCs/>
                <w:sz w:val="21"/>
                <w:szCs w:val="21"/>
              </w:rPr>
              <w:t>Mayomyzon</w:t>
            </w:r>
          </w:p>
        </w:tc>
        <w:tc>
          <w:tcPr>
            <w:tcW w:w="916" w:type="dxa"/>
            <w:tcBorders>
              <w:top w:val="nil"/>
              <w:left w:val="nil"/>
              <w:bottom w:val="single" w:sz="4" w:space="0" w:color="auto"/>
              <w:right w:val="single" w:sz="4" w:space="0" w:color="auto"/>
            </w:tcBorders>
            <w:shd w:val="clear" w:color="auto" w:fill="auto"/>
            <w:vAlign w:val="center"/>
          </w:tcPr>
          <w:p w14:paraId="423E1D1A" w14:textId="77777777" w:rsidR="009E10A5" w:rsidRPr="00E674F7" w:rsidRDefault="009E10A5" w:rsidP="00712998">
            <w:pPr>
              <w:jc w:val="center"/>
              <w:rPr>
                <w:rFonts w:eastAsia="宋体"/>
                <w:sz w:val="21"/>
                <w:szCs w:val="21"/>
              </w:rPr>
            </w:pPr>
            <w:r w:rsidRPr="00E674F7">
              <w:rPr>
                <w:rFonts w:eastAsia="宋体"/>
                <w:sz w:val="21"/>
                <w:szCs w:val="21"/>
              </w:rPr>
              <w:t>33-61</w:t>
            </w:r>
          </w:p>
        </w:tc>
        <w:tc>
          <w:tcPr>
            <w:tcW w:w="1077" w:type="dxa"/>
            <w:tcBorders>
              <w:top w:val="single" w:sz="4" w:space="0" w:color="auto"/>
              <w:left w:val="nil"/>
              <w:bottom w:val="single" w:sz="4" w:space="0" w:color="auto"/>
              <w:right w:val="single" w:sz="4" w:space="0" w:color="000000" w:themeColor="text1"/>
            </w:tcBorders>
            <w:shd w:val="clear" w:color="auto" w:fill="auto"/>
            <w:vAlign w:val="center"/>
          </w:tcPr>
          <w:p w14:paraId="63EF3327" w14:textId="77777777" w:rsidR="009E10A5" w:rsidRPr="00E674F7" w:rsidRDefault="009E10A5" w:rsidP="00712998">
            <w:pPr>
              <w:jc w:val="center"/>
              <w:rPr>
                <w:rFonts w:eastAsia="DengXian"/>
                <w:sz w:val="21"/>
                <w:szCs w:val="21"/>
              </w:rPr>
            </w:pPr>
            <w:r w:rsidRPr="00E674F7">
              <w:rPr>
                <w:rFonts w:eastAsia="DengXian"/>
                <w:sz w:val="21"/>
                <w:szCs w:val="21"/>
              </w:rPr>
              <w:t>10.5</w:t>
            </w:r>
          </w:p>
        </w:tc>
        <w:tc>
          <w:tcPr>
            <w:tcW w:w="1027"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tcPr>
          <w:p w14:paraId="6A8A4EA9" w14:textId="77777777" w:rsidR="009E10A5" w:rsidRPr="00E674F7" w:rsidRDefault="009E10A5" w:rsidP="00712998">
            <w:pPr>
              <w:jc w:val="center"/>
              <w:rPr>
                <w:rFonts w:eastAsia="宋体"/>
                <w:sz w:val="21"/>
                <w:szCs w:val="21"/>
              </w:rPr>
            </w:pPr>
            <w:r w:rsidRPr="00E674F7">
              <w:rPr>
                <w:rFonts w:eastAsia="宋体"/>
                <w:sz w:val="21"/>
                <w:szCs w:val="21"/>
              </w:rPr>
              <w:t>？</w:t>
            </w:r>
          </w:p>
        </w:tc>
        <w:tc>
          <w:tcPr>
            <w:tcW w:w="811" w:type="dxa"/>
            <w:tcBorders>
              <w:top w:val="single" w:sz="4" w:space="0" w:color="auto"/>
              <w:left w:val="single" w:sz="4" w:space="0" w:color="000000" w:themeColor="text1"/>
              <w:bottom w:val="single" w:sz="4" w:space="0" w:color="auto"/>
              <w:right w:val="single" w:sz="4" w:space="0" w:color="auto"/>
            </w:tcBorders>
            <w:shd w:val="clear" w:color="auto" w:fill="auto"/>
            <w:vAlign w:val="center"/>
          </w:tcPr>
          <w:p w14:paraId="56F88E06" w14:textId="77777777" w:rsidR="009E10A5" w:rsidRPr="00E674F7" w:rsidRDefault="009E10A5" w:rsidP="00712998">
            <w:pPr>
              <w:jc w:val="center"/>
              <w:rPr>
                <w:rFonts w:eastAsia="宋体"/>
                <w:sz w:val="21"/>
                <w:szCs w:val="21"/>
              </w:rPr>
            </w:pPr>
            <w:r w:rsidRPr="00E674F7">
              <w:rPr>
                <w:rFonts w:eastAsia="宋体"/>
                <w:sz w:val="21"/>
                <w:szCs w:val="21"/>
              </w:rPr>
              <w:t>?</w:t>
            </w:r>
          </w:p>
        </w:tc>
        <w:tc>
          <w:tcPr>
            <w:tcW w:w="1371" w:type="dxa"/>
            <w:tcBorders>
              <w:top w:val="nil"/>
              <w:left w:val="nil"/>
              <w:bottom w:val="single" w:sz="4" w:space="0" w:color="auto"/>
              <w:right w:val="single" w:sz="4" w:space="0" w:color="auto"/>
            </w:tcBorders>
            <w:shd w:val="clear" w:color="auto" w:fill="auto"/>
            <w:vAlign w:val="center"/>
          </w:tcPr>
          <w:p w14:paraId="186D53D9" w14:textId="77777777" w:rsidR="009E10A5" w:rsidRPr="00E674F7" w:rsidRDefault="009E10A5" w:rsidP="00712998">
            <w:pPr>
              <w:jc w:val="center"/>
              <w:rPr>
                <w:rFonts w:eastAsia="宋体"/>
                <w:sz w:val="21"/>
                <w:szCs w:val="21"/>
              </w:rPr>
            </w:pPr>
            <w:r w:rsidRPr="00E674F7">
              <w:rPr>
                <w:rFonts w:eastAsia="宋体"/>
                <w:sz w:val="21"/>
                <w:szCs w:val="21"/>
              </w:rPr>
              <w:t>？</w:t>
            </w:r>
          </w:p>
        </w:tc>
        <w:tc>
          <w:tcPr>
            <w:tcW w:w="706" w:type="dxa"/>
            <w:tcBorders>
              <w:top w:val="nil"/>
              <w:left w:val="nil"/>
              <w:bottom w:val="single" w:sz="4" w:space="0" w:color="auto"/>
              <w:right w:val="single" w:sz="4" w:space="0" w:color="auto"/>
            </w:tcBorders>
            <w:shd w:val="clear" w:color="auto" w:fill="auto"/>
            <w:vAlign w:val="center"/>
          </w:tcPr>
          <w:p w14:paraId="3536733D" w14:textId="77777777" w:rsidR="009E10A5" w:rsidRPr="00E674F7" w:rsidRDefault="009E10A5" w:rsidP="00712998">
            <w:pPr>
              <w:jc w:val="center"/>
              <w:rPr>
                <w:rFonts w:eastAsia="宋体"/>
                <w:sz w:val="21"/>
                <w:szCs w:val="21"/>
              </w:rPr>
            </w:pPr>
            <w:r w:rsidRPr="00E674F7">
              <w:rPr>
                <w:rFonts w:eastAsia="宋体"/>
                <w:sz w:val="21"/>
                <w:szCs w:val="21"/>
              </w:rPr>
              <w:t>？</w:t>
            </w:r>
          </w:p>
        </w:tc>
        <w:tc>
          <w:tcPr>
            <w:tcW w:w="654" w:type="dxa"/>
            <w:tcBorders>
              <w:top w:val="nil"/>
              <w:left w:val="nil"/>
              <w:bottom w:val="single" w:sz="4" w:space="0" w:color="auto"/>
              <w:right w:val="single" w:sz="4" w:space="0" w:color="auto"/>
            </w:tcBorders>
            <w:shd w:val="clear" w:color="auto" w:fill="auto"/>
            <w:vAlign w:val="center"/>
          </w:tcPr>
          <w:p w14:paraId="04EFC8F9" w14:textId="77777777" w:rsidR="009E10A5" w:rsidRPr="00E674F7" w:rsidRDefault="009E10A5" w:rsidP="00712998">
            <w:pPr>
              <w:jc w:val="center"/>
              <w:rPr>
                <w:rFonts w:eastAsia="宋体"/>
                <w:sz w:val="21"/>
                <w:szCs w:val="21"/>
              </w:rPr>
            </w:pPr>
            <w:r w:rsidRPr="00E674F7">
              <w:rPr>
                <w:rFonts w:eastAsia="宋体"/>
                <w:sz w:val="21"/>
                <w:szCs w:val="21"/>
              </w:rPr>
              <w:t>?</w:t>
            </w:r>
          </w:p>
        </w:tc>
        <w:tc>
          <w:tcPr>
            <w:tcW w:w="660" w:type="dxa"/>
            <w:tcBorders>
              <w:top w:val="nil"/>
              <w:left w:val="nil"/>
              <w:bottom w:val="single" w:sz="4" w:space="0" w:color="auto"/>
              <w:right w:val="single" w:sz="4" w:space="0" w:color="auto"/>
            </w:tcBorders>
            <w:shd w:val="clear" w:color="auto" w:fill="auto"/>
            <w:vAlign w:val="center"/>
          </w:tcPr>
          <w:p w14:paraId="7DFDBBD0" w14:textId="77777777" w:rsidR="009E10A5" w:rsidRPr="00E674F7" w:rsidRDefault="009E10A5" w:rsidP="00712998">
            <w:pPr>
              <w:jc w:val="center"/>
              <w:rPr>
                <w:rFonts w:eastAsia="宋体"/>
                <w:sz w:val="21"/>
                <w:szCs w:val="21"/>
              </w:rPr>
            </w:pPr>
            <w:r w:rsidRPr="00E674F7">
              <w:rPr>
                <w:rFonts w:eastAsia="宋体"/>
                <w:sz w:val="21"/>
                <w:szCs w:val="21"/>
              </w:rPr>
              <w:t>?</w:t>
            </w:r>
          </w:p>
        </w:tc>
        <w:tc>
          <w:tcPr>
            <w:tcW w:w="777" w:type="dxa"/>
            <w:tcBorders>
              <w:top w:val="nil"/>
              <w:left w:val="nil"/>
              <w:bottom w:val="single" w:sz="4" w:space="0" w:color="auto"/>
              <w:right w:val="single" w:sz="4" w:space="0" w:color="auto"/>
            </w:tcBorders>
            <w:shd w:val="clear" w:color="auto" w:fill="auto"/>
            <w:vAlign w:val="center"/>
          </w:tcPr>
          <w:p w14:paraId="0A1B2615" w14:textId="77777777" w:rsidR="009E10A5" w:rsidRPr="00E674F7" w:rsidRDefault="009E10A5" w:rsidP="00712998">
            <w:pPr>
              <w:jc w:val="center"/>
              <w:rPr>
                <w:rFonts w:eastAsia="宋体"/>
                <w:sz w:val="21"/>
                <w:szCs w:val="21"/>
              </w:rPr>
            </w:pPr>
            <w:r w:rsidRPr="00E674F7">
              <w:rPr>
                <w:rFonts w:eastAsia="宋体"/>
                <w:sz w:val="21"/>
                <w:szCs w:val="21"/>
              </w:rPr>
              <w:t>?</w:t>
            </w:r>
          </w:p>
        </w:tc>
        <w:tc>
          <w:tcPr>
            <w:tcW w:w="759" w:type="dxa"/>
            <w:tcBorders>
              <w:top w:val="nil"/>
              <w:left w:val="nil"/>
              <w:bottom w:val="single" w:sz="4" w:space="0" w:color="auto"/>
              <w:right w:val="single" w:sz="4" w:space="0" w:color="auto"/>
            </w:tcBorders>
            <w:shd w:val="clear" w:color="auto" w:fill="auto"/>
            <w:vAlign w:val="center"/>
          </w:tcPr>
          <w:p w14:paraId="4E90AF7F" w14:textId="77777777" w:rsidR="009E10A5" w:rsidRPr="00E674F7" w:rsidRDefault="009E10A5" w:rsidP="00712998">
            <w:pPr>
              <w:jc w:val="center"/>
              <w:rPr>
                <w:rFonts w:eastAsia="宋体"/>
                <w:sz w:val="21"/>
                <w:szCs w:val="21"/>
              </w:rPr>
            </w:pPr>
            <w:r w:rsidRPr="00E674F7">
              <w:rPr>
                <w:rFonts w:eastAsia="宋体"/>
                <w:sz w:val="21"/>
                <w:szCs w:val="21"/>
              </w:rPr>
              <w:t>?</w:t>
            </w:r>
          </w:p>
        </w:tc>
        <w:tc>
          <w:tcPr>
            <w:tcW w:w="1021" w:type="dxa"/>
            <w:tcBorders>
              <w:top w:val="nil"/>
              <w:left w:val="nil"/>
              <w:bottom w:val="single" w:sz="4" w:space="0" w:color="auto"/>
              <w:right w:val="single" w:sz="4" w:space="0" w:color="auto"/>
            </w:tcBorders>
            <w:shd w:val="clear" w:color="auto" w:fill="auto"/>
            <w:vAlign w:val="center"/>
          </w:tcPr>
          <w:p w14:paraId="1FA97A00" w14:textId="77777777" w:rsidR="009E10A5" w:rsidRPr="00E674F7" w:rsidRDefault="009E10A5" w:rsidP="00712998">
            <w:pPr>
              <w:jc w:val="center"/>
              <w:rPr>
                <w:rFonts w:eastAsia="宋体"/>
                <w:sz w:val="21"/>
                <w:szCs w:val="21"/>
              </w:rPr>
            </w:pPr>
            <w:r w:rsidRPr="00E674F7">
              <w:rPr>
                <w:rFonts w:eastAsia="宋体"/>
                <w:sz w:val="21"/>
                <w:szCs w:val="21"/>
              </w:rPr>
              <w:t>?</w:t>
            </w:r>
          </w:p>
        </w:tc>
        <w:tc>
          <w:tcPr>
            <w:tcW w:w="706" w:type="dxa"/>
            <w:tcBorders>
              <w:top w:val="nil"/>
              <w:left w:val="nil"/>
              <w:bottom w:val="single" w:sz="4" w:space="0" w:color="auto"/>
              <w:right w:val="single" w:sz="4" w:space="0" w:color="auto"/>
            </w:tcBorders>
            <w:shd w:val="clear" w:color="auto" w:fill="auto"/>
            <w:vAlign w:val="center"/>
          </w:tcPr>
          <w:p w14:paraId="43BA03D4" w14:textId="77777777" w:rsidR="009E10A5" w:rsidRPr="00E674F7" w:rsidRDefault="009E10A5" w:rsidP="00712998">
            <w:pPr>
              <w:jc w:val="center"/>
              <w:rPr>
                <w:rFonts w:eastAsia="宋体"/>
                <w:sz w:val="21"/>
                <w:szCs w:val="21"/>
              </w:rPr>
            </w:pPr>
            <w:r w:rsidRPr="00E674F7">
              <w:rPr>
                <w:rFonts w:eastAsia="宋体"/>
                <w:sz w:val="21"/>
                <w:szCs w:val="21"/>
              </w:rPr>
              <w:t>7.8</w:t>
            </w:r>
          </w:p>
        </w:tc>
        <w:tc>
          <w:tcPr>
            <w:tcW w:w="777" w:type="dxa"/>
            <w:tcBorders>
              <w:top w:val="nil"/>
              <w:left w:val="nil"/>
              <w:bottom w:val="single" w:sz="4" w:space="0" w:color="auto"/>
              <w:right w:val="single" w:sz="4" w:space="0" w:color="auto"/>
            </w:tcBorders>
            <w:shd w:val="clear" w:color="auto" w:fill="auto"/>
            <w:vAlign w:val="center"/>
          </w:tcPr>
          <w:p w14:paraId="5231ADD6" w14:textId="77777777" w:rsidR="009E10A5" w:rsidRPr="00E674F7" w:rsidRDefault="009E10A5" w:rsidP="00712998">
            <w:pPr>
              <w:jc w:val="center"/>
              <w:rPr>
                <w:rFonts w:eastAsia="宋体"/>
                <w:sz w:val="21"/>
                <w:szCs w:val="21"/>
              </w:rPr>
            </w:pPr>
            <w:r w:rsidRPr="00E674F7">
              <w:rPr>
                <w:rFonts w:eastAsia="宋体"/>
                <w:sz w:val="21"/>
                <w:szCs w:val="21"/>
              </w:rPr>
              <w:t>？</w:t>
            </w:r>
          </w:p>
        </w:tc>
        <w:tc>
          <w:tcPr>
            <w:tcW w:w="496" w:type="dxa"/>
            <w:tcBorders>
              <w:top w:val="nil"/>
              <w:left w:val="nil"/>
              <w:bottom w:val="single" w:sz="4" w:space="0" w:color="auto"/>
              <w:right w:val="single" w:sz="4" w:space="0" w:color="auto"/>
            </w:tcBorders>
            <w:shd w:val="clear" w:color="auto" w:fill="auto"/>
            <w:vAlign w:val="center"/>
          </w:tcPr>
          <w:p w14:paraId="56E6D211" w14:textId="77777777" w:rsidR="009E10A5" w:rsidRPr="00E674F7" w:rsidRDefault="009E10A5" w:rsidP="00712998">
            <w:pPr>
              <w:jc w:val="center"/>
              <w:rPr>
                <w:rFonts w:eastAsia="宋体"/>
                <w:sz w:val="21"/>
                <w:szCs w:val="21"/>
              </w:rPr>
            </w:pPr>
            <w:r w:rsidRPr="00E674F7">
              <w:rPr>
                <w:rFonts w:eastAsia="宋体"/>
                <w:sz w:val="21"/>
                <w:szCs w:val="21"/>
              </w:rPr>
              <w:t>？</w:t>
            </w:r>
          </w:p>
        </w:tc>
        <w:tc>
          <w:tcPr>
            <w:tcW w:w="706" w:type="dxa"/>
            <w:tcBorders>
              <w:top w:val="nil"/>
              <w:left w:val="nil"/>
              <w:bottom w:val="single" w:sz="4" w:space="0" w:color="auto"/>
              <w:right w:val="single" w:sz="4" w:space="0" w:color="auto"/>
            </w:tcBorders>
            <w:shd w:val="clear" w:color="auto" w:fill="auto"/>
            <w:vAlign w:val="center"/>
          </w:tcPr>
          <w:p w14:paraId="7015C285" w14:textId="77777777" w:rsidR="009E10A5" w:rsidRPr="00E674F7" w:rsidRDefault="009E10A5" w:rsidP="00712998">
            <w:pPr>
              <w:jc w:val="center"/>
              <w:rPr>
                <w:rFonts w:eastAsia="宋体"/>
                <w:sz w:val="21"/>
                <w:szCs w:val="21"/>
              </w:rPr>
            </w:pPr>
            <w:r w:rsidRPr="00E674F7">
              <w:rPr>
                <w:rFonts w:eastAsia="宋体"/>
                <w:sz w:val="21"/>
                <w:szCs w:val="21"/>
              </w:rPr>
              <w:t>?</w:t>
            </w:r>
          </w:p>
        </w:tc>
        <w:tc>
          <w:tcPr>
            <w:tcW w:w="990" w:type="dxa"/>
            <w:tcBorders>
              <w:top w:val="nil"/>
              <w:left w:val="nil"/>
              <w:bottom w:val="single" w:sz="4" w:space="0" w:color="auto"/>
              <w:right w:val="single" w:sz="4" w:space="0" w:color="auto"/>
            </w:tcBorders>
            <w:shd w:val="clear" w:color="auto" w:fill="auto"/>
            <w:vAlign w:val="center"/>
          </w:tcPr>
          <w:p w14:paraId="0DD45B2F" w14:textId="77777777" w:rsidR="009E10A5" w:rsidRPr="00E674F7" w:rsidRDefault="009E10A5" w:rsidP="00712998">
            <w:pPr>
              <w:jc w:val="center"/>
              <w:rPr>
                <w:rFonts w:eastAsia="宋体"/>
                <w:sz w:val="21"/>
                <w:szCs w:val="21"/>
              </w:rPr>
            </w:pPr>
            <w:r w:rsidRPr="00E674F7">
              <w:rPr>
                <w:rFonts w:eastAsia="宋体"/>
                <w:sz w:val="21"/>
                <w:szCs w:val="21"/>
              </w:rPr>
              <w:t>3.5</w:t>
            </w:r>
          </w:p>
        </w:tc>
      </w:tr>
      <w:tr w:rsidR="009E10A5" w:rsidRPr="00E674F7" w14:paraId="58DC7AA3" w14:textId="77777777" w:rsidTr="00712998">
        <w:trPr>
          <w:trHeight w:val="250"/>
        </w:trPr>
        <w:tc>
          <w:tcPr>
            <w:tcW w:w="1488" w:type="dxa"/>
            <w:tcBorders>
              <w:top w:val="nil"/>
              <w:left w:val="single" w:sz="4" w:space="0" w:color="auto"/>
              <w:bottom w:val="single" w:sz="4" w:space="0" w:color="auto"/>
              <w:right w:val="single" w:sz="4" w:space="0" w:color="auto"/>
            </w:tcBorders>
            <w:shd w:val="clear" w:color="auto" w:fill="auto"/>
            <w:vAlign w:val="center"/>
          </w:tcPr>
          <w:p w14:paraId="6A0D0DA1" w14:textId="77777777" w:rsidR="009E10A5" w:rsidRPr="00E674F7" w:rsidRDefault="009E10A5" w:rsidP="00712998">
            <w:pPr>
              <w:jc w:val="both"/>
              <w:rPr>
                <w:rFonts w:eastAsia="宋体"/>
                <w:i/>
                <w:iCs/>
                <w:sz w:val="21"/>
                <w:szCs w:val="21"/>
              </w:rPr>
            </w:pPr>
            <w:r w:rsidRPr="00E674F7">
              <w:rPr>
                <w:rFonts w:eastAsia="宋体"/>
                <w:i/>
                <w:iCs/>
                <w:sz w:val="21"/>
                <w:szCs w:val="21"/>
              </w:rPr>
              <w:t>Hardistiella</w:t>
            </w:r>
          </w:p>
        </w:tc>
        <w:tc>
          <w:tcPr>
            <w:tcW w:w="916" w:type="dxa"/>
            <w:tcBorders>
              <w:top w:val="nil"/>
              <w:left w:val="nil"/>
              <w:bottom w:val="single" w:sz="4" w:space="0" w:color="auto"/>
              <w:right w:val="single" w:sz="4" w:space="0" w:color="auto"/>
            </w:tcBorders>
            <w:shd w:val="clear" w:color="auto" w:fill="auto"/>
            <w:vAlign w:val="center"/>
          </w:tcPr>
          <w:p w14:paraId="11D0D400" w14:textId="77777777" w:rsidR="009E10A5" w:rsidRPr="00E674F7" w:rsidRDefault="009E10A5" w:rsidP="00712998">
            <w:pPr>
              <w:jc w:val="center"/>
              <w:rPr>
                <w:rFonts w:eastAsia="宋体"/>
                <w:sz w:val="21"/>
                <w:szCs w:val="21"/>
              </w:rPr>
            </w:pPr>
            <w:r w:rsidRPr="00E674F7">
              <w:rPr>
                <w:rFonts w:eastAsia="宋体"/>
                <w:sz w:val="21"/>
                <w:szCs w:val="21"/>
              </w:rPr>
              <w:t>&lt;117</w:t>
            </w:r>
          </w:p>
        </w:tc>
        <w:tc>
          <w:tcPr>
            <w:tcW w:w="1077" w:type="dxa"/>
            <w:tcBorders>
              <w:top w:val="nil"/>
              <w:left w:val="nil"/>
              <w:bottom w:val="single" w:sz="4" w:space="0" w:color="auto"/>
              <w:right w:val="single" w:sz="4" w:space="0" w:color="000000" w:themeColor="text1"/>
            </w:tcBorders>
            <w:shd w:val="clear" w:color="auto" w:fill="auto"/>
            <w:vAlign w:val="center"/>
          </w:tcPr>
          <w:p w14:paraId="1361B6CE" w14:textId="77777777" w:rsidR="009E10A5" w:rsidRPr="00E674F7" w:rsidRDefault="009E10A5" w:rsidP="00712998">
            <w:pPr>
              <w:jc w:val="center"/>
              <w:rPr>
                <w:rFonts w:eastAsia="DengXian"/>
                <w:sz w:val="21"/>
                <w:szCs w:val="21"/>
              </w:rPr>
            </w:pPr>
            <w:r w:rsidRPr="00E674F7">
              <w:rPr>
                <w:rFonts w:eastAsia="DengXian"/>
                <w:sz w:val="21"/>
                <w:szCs w:val="21"/>
              </w:rPr>
              <w:t>9.1</w:t>
            </w:r>
          </w:p>
        </w:tc>
        <w:tc>
          <w:tcPr>
            <w:tcW w:w="1027"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noWrap/>
            <w:vAlign w:val="center"/>
          </w:tcPr>
          <w:p w14:paraId="26AEB628" w14:textId="77777777" w:rsidR="009E10A5" w:rsidRPr="00E674F7" w:rsidRDefault="009E10A5" w:rsidP="00712998">
            <w:pPr>
              <w:jc w:val="center"/>
              <w:rPr>
                <w:rFonts w:eastAsia="宋体"/>
                <w:sz w:val="21"/>
                <w:szCs w:val="21"/>
              </w:rPr>
            </w:pPr>
            <w:r w:rsidRPr="00E674F7">
              <w:rPr>
                <w:rFonts w:eastAsia="宋体"/>
                <w:sz w:val="21"/>
                <w:szCs w:val="21"/>
              </w:rPr>
              <w:t>ca. 76</w:t>
            </w:r>
          </w:p>
        </w:tc>
        <w:tc>
          <w:tcPr>
            <w:tcW w:w="811" w:type="dxa"/>
            <w:tcBorders>
              <w:top w:val="nil"/>
              <w:left w:val="single" w:sz="4" w:space="0" w:color="000000" w:themeColor="text1"/>
              <w:bottom w:val="single" w:sz="4" w:space="0" w:color="auto"/>
              <w:right w:val="single" w:sz="4" w:space="0" w:color="auto"/>
            </w:tcBorders>
            <w:shd w:val="clear" w:color="auto" w:fill="auto"/>
            <w:vAlign w:val="center"/>
          </w:tcPr>
          <w:p w14:paraId="178EF4A6" w14:textId="77777777" w:rsidR="009E10A5" w:rsidRPr="00E674F7" w:rsidRDefault="009E10A5" w:rsidP="00712998">
            <w:pPr>
              <w:jc w:val="center"/>
              <w:rPr>
                <w:rFonts w:eastAsia="宋体"/>
                <w:sz w:val="21"/>
                <w:szCs w:val="21"/>
              </w:rPr>
            </w:pPr>
            <w:r w:rsidRPr="00E674F7">
              <w:rPr>
                <w:rFonts w:eastAsia="宋体"/>
                <w:sz w:val="21"/>
                <w:szCs w:val="21"/>
              </w:rPr>
              <w:t>?</w:t>
            </w:r>
          </w:p>
        </w:tc>
        <w:tc>
          <w:tcPr>
            <w:tcW w:w="1371" w:type="dxa"/>
            <w:tcBorders>
              <w:top w:val="nil"/>
              <w:left w:val="nil"/>
              <w:bottom w:val="single" w:sz="4" w:space="0" w:color="auto"/>
              <w:right w:val="single" w:sz="4" w:space="0" w:color="auto"/>
            </w:tcBorders>
            <w:shd w:val="clear" w:color="auto" w:fill="auto"/>
            <w:vAlign w:val="center"/>
          </w:tcPr>
          <w:p w14:paraId="624C4F28" w14:textId="77777777" w:rsidR="009E10A5" w:rsidRPr="00E674F7" w:rsidRDefault="009E10A5" w:rsidP="00712998">
            <w:pPr>
              <w:jc w:val="center"/>
              <w:rPr>
                <w:rFonts w:eastAsia="宋体"/>
                <w:sz w:val="21"/>
                <w:szCs w:val="21"/>
              </w:rPr>
            </w:pPr>
            <w:r w:rsidRPr="00E674F7">
              <w:rPr>
                <w:rFonts w:eastAsia="宋体"/>
                <w:sz w:val="21"/>
                <w:szCs w:val="21"/>
              </w:rPr>
              <w:t>36.9</w:t>
            </w:r>
          </w:p>
        </w:tc>
        <w:tc>
          <w:tcPr>
            <w:tcW w:w="706" w:type="dxa"/>
            <w:tcBorders>
              <w:top w:val="nil"/>
              <w:left w:val="nil"/>
              <w:bottom w:val="single" w:sz="4" w:space="0" w:color="auto"/>
              <w:right w:val="single" w:sz="4" w:space="0" w:color="auto"/>
            </w:tcBorders>
            <w:shd w:val="clear" w:color="auto" w:fill="auto"/>
            <w:vAlign w:val="center"/>
          </w:tcPr>
          <w:p w14:paraId="24859CFB" w14:textId="77777777" w:rsidR="009E10A5" w:rsidRPr="00E674F7" w:rsidRDefault="009E10A5" w:rsidP="00712998">
            <w:pPr>
              <w:jc w:val="center"/>
              <w:rPr>
                <w:rFonts w:eastAsia="宋体"/>
                <w:sz w:val="21"/>
                <w:szCs w:val="21"/>
              </w:rPr>
            </w:pPr>
            <w:r w:rsidRPr="00E674F7">
              <w:rPr>
                <w:rFonts w:eastAsia="宋体"/>
                <w:sz w:val="21"/>
                <w:szCs w:val="21"/>
              </w:rPr>
              <w:t>？</w:t>
            </w:r>
          </w:p>
        </w:tc>
        <w:tc>
          <w:tcPr>
            <w:tcW w:w="654" w:type="dxa"/>
            <w:tcBorders>
              <w:top w:val="nil"/>
              <w:left w:val="nil"/>
              <w:bottom w:val="single" w:sz="4" w:space="0" w:color="auto"/>
              <w:right w:val="single" w:sz="4" w:space="0" w:color="auto"/>
            </w:tcBorders>
            <w:shd w:val="clear" w:color="auto" w:fill="auto"/>
            <w:vAlign w:val="center"/>
          </w:tcPr>
          <w:p w14:paraId="34E40ECB" w14:textId="77777777" w:rsidR="009E10A5" w:rsidRPr="00E674F7" w:rsidRDefault="009E10A5" w:rsidP="00712998">
            <w:pPr>
              <w:jc w:val="center"/>
              <w:rPr>
                <w:rFonts w:eastAsia="宋体"/>
                <w:sz w:val="21"/>
                <w:szCs w:val="21"/>
              </w:rPr>
            </w:pPr>
            <w:r w:rsidRPr="00E674F7">
              <w:rPr>
                <w:rFonts w:eastAsia="宋体"/>
                <w:sz w:val="21"/>
                <w:szCs w:val="21"/>
              </w:rPr>
              <w:t>?</w:t>
            </w:r>
          </w:p>
        </w:tc>
        <w:tc>
          <w:tcPr>
            <w:tcW w:w="660" w:type="dxa"/>
            <w:tcBorders>
              <w:top w:val="nil"/>
              <w:left w:val="nil"/>
              <w:bottom w:val="single" w:sz="4" w:space="0" w:color="auto"/>
              <w:right w:val="single" w:sz="4" w:space="0" w:color="auto"/>
            </w:tcBorders>
            <w:shd w:val="clear" w:color="auto" w:fill="auto"/>
            <w:vAlign w:val="center"/>
          </w:tcPr>
          <w:p w14:paraId="2C1851C5" w14:textId="77777777" w:rsidR="009E10A5" w:rsidRPr="00E674F7" w:rsidRDefault="009E10A5" w:rsidP="00712998">
            <w:pPr>
              <w:jc w:val="center"/>
              <w:rPr>
                <w:rFonts w:eastAsia="宋体"/>
                <w:sz w:val="21"/>
                <w:szCs w:val="21"/>
              </w:rPr>
            </w:pPr>
            <w:r w:rsidRPr="00E674F7">
              <w:rPr>
                <w:rFonts w:eastAsia="宋体"/>
                <w:sz w:val="21"/>
                <w:szCs w:val="21"/>
              </w:rPr>
              <w:t>?</w:t>
            </w:r>
          </w:p>
        </w:tc>
        <w:tc>
          <w:tcPr>
            <w:tcW w:w="777" w:type="dxa"/>
            <w:tcBorders>
              <w:top w:val="nil"/>
              <w:left w:val="nil"/>
              <w:bottom w:val="single" w:sz="4" w:space="0" w:color="auto"/>
              <w:right w:val="single" w:sz="4" w:space="0" w:color="auto"/>
            </w:tcBorders>
            <w:shd w:val="clear" w:color="auto" w:fill="auto"/>
            <w:vAlign w:val="center"/>
          </w:tcPr>
          <w:p w14:paraId="3C05CC1B" w14:textId="77777777" w:rsidR="009E10A5" w:rsidRPr="00E674F7" w:rsidRDefault="009E10A5" w:rsidP="00712998">
            <w:pPr>
              <w:jc w:val="center"/>
              <w:rPr>
                <w:rFonts w:eastAsia="宋体"/>
                <w:sz w:val="21"/>
                <w:szCs w:val="21"/>
              </w:rPr>
            </w:pPr>
            <w:r w:rsidRPr="00E674F7">
              <w:rPr>
                <w:rFonts w:eastAsia="宋体"/>
                <w:sz w:val="21"/>
                <w:szCs w:val="21"/>
              </w:rPr>
              <w:t>?</w:t>
            </w:r>
          </w:p>
        </w:tc>
        <w:tc>
          <w:tcPr>
            <w:tcW w:w="759" w:type="dxa"/>
            <w:tcBorders>
              <w:top w:val="nil"/>
              <w:left w:val="nil"/>
              <w:bottom w:val="single" w:sz="4" w:space="0" w:color="auto"/>
              <w:right w:val="single" w:sz="4" w:space="0" w:color="auto"/>
            </w:tcBorders>
            <w:shd w:val="clear" w:color="auto" w:fill="auto"/>
            <w:vAlign w:val="center"/>
          </w:tcPr>
          <w:p w14:paraId="457403F8" w14:textId="77777777" w:rsidR="009E10A5" w:rsidRPr="00E674F7" w:rsidRDefault="009E10A5" w:rsidP="00712998">
            <w:pPr>
              <w:jc w:val="center"/>
              <w:rPr>
                <w:rFonts w:eastAsia="宋体"/>
                <w:sz w:val="21"/>
                <w:szCs w:val="21"/>
              </w:rPr>
            </w:pPr>
            <w:r w:rsidRPr="00E674F7">
              <w:rPr>
                <w:rFonts w:eastAsia="宋体"/>
                <w:sz w:val="21"/>
                <w:szCs w:val="21"/>
              </w:rPr>
              <w:t>5</w:t>
            </w:r>
          </w:p>
        </w:tc>
        <w:tc>
          <w:tcPr>
            <w:tcW w:w="1021" w:type="dxa"/>
            <w:tcBorders>
              <w:top w:val="nil"/>
              <w:left w:val="nil"/>
              <w:bottom w:val="single" w:sz="4" w:space="0" w:color="auto"/>
              <w:right w:val="single" w:sz="4" w:space="0" w:color="auto"/>
            </w:tcBorders>
            <w:shd w:val="clear" w:color="auto" w:fill="auto"/>
            <w:vAlign w:val="center"/>
          </w:tcPr>
          <w:p w14:paraId="0EC92AF9" w14:textId="77777777" w:rsidR="009E10A5" w:rsidRPr="00E674F7" w:rsidRDefault="009E10A5" w:rsidP="00712998">
            <w:pPr>
              <w:jc w:val="center"/>
              <w:rPr>
                <w:rFonts w:eastAsia="宋体"/>
                <w:sz w:val="21"/>
                <w:szCs w:val="21"/>
              </w:rPr>
            </w:pPr>
            <w:r w:rsidRPr="00E674F7">
              <w:rPr>
                <w:rFonts w:eastAsia="宋体"/>
                <w:sz w:val="21"/>
                <w:szCs w:val="21"/>
              </w:rPr>
              <w:t>?</w:t>
            </w:r>
          </w:p>
        </w:tc>
        <w:tc>
          <w:tcPr>
            <w:tcW w:w="706" w:type="dxa"/>
            <w:tcBorders>
              <w:top w:val="nil"/>
              <w:left w:val="nil"/>
              <w:bottom w:val="single" w:sz="4" w:space="0" w:color="auto"/>
              <w:right w:val="single" w:sz="4" w:space="0" w:color="auto"/>
            </w:tcBorders>
            <w:shd w:val="clear" w:color="auto" w:fill="auto"/>
            <w:vAlign w:val="center"/>
          </w:tcPr>
          <w:p w14:paraId="568238D2" w14:textId="77777777" w:rsidR="009E10A5" w:rsidRPr="00E674F7" w:rsidRDefault="009E10A5" w:rsidP="00712998">
            <w:pPr>
              <w:jc w:val="center"/>
              <w:rPr>
                <w:rFonts w:eastAsia="宋体"/>
                <w:sz w:val="21"/>
                <w:szCs w:val="21"/>
              </w:rPr>
            </w:pPr>
            <w:r w:rsidRPr="00E674F7">
              <w:rPr>
                <w:rFonts w:eastAsia="宋体"/>
                <w:sz w:val="21"/>
                <w:szCs w:val="21"/>
              </w:rPr>
              <w:t>13.5</w:t>
            </w:r>
          </w:p>
        </w:tc>
        <w:tc>
          <w:tcPr>
            <w:tcW w:w="777" w:type="dxa"/>
            <w:tcBorders>
              <w:top w:val="nil"/>
              <w:left w:val="nil"/>
              <w:bottom w:val="single" w:sz="4" w:space="0" w:color="auto"/>
              <w:right w:val="single" w:sz="4" w:space="0" w:color="auto"/>
            </w:tcBorders>
            <w:shd w:val="clear" w:color="auto" w:fill="auto"/>
            <w:vAlign w:val="center"/>
          </w:tcPr>
          <w:p w14:paraId="5CCAAA20" w14:textId="77777777" w:rsidR="009E10A5" w:rsidRPr="00E674F7" w:rsidRDefault="009E10A5" w:rsidP="00712998">
            <w:pPr>
              <w:jc w:val="center"/>
              <w:rPr>
                <w:rFonts w:eastAsia="宋体"/>
                <w:sz w:val="21"/>
                <w:szCs w:val="21"/>
              </w:rPr>
            </w:pPr>
            <w:r w:rsidRPr="00E674F7">
              <w:rPr>
                <w:rFonts w:eastAsia="宋体"/>
                <w:sz w:val="21"/>
                <w:szCs w:val="21"/>
              </w:rPr>
              <w:t>？</w:t>
            </w:r>
          </w:p>
        </w:tc>
        <w:tc>
          <w:tcPr>
            <w:tcW w:w="496" w:type="dxa"/>
            <w:tcBorders>
              <w:top w:val="nil"/>
              <w:left w:val="nil"/>
              <w:bottom w:val="single" w:sz="4" w:space="0" w:color="auto"/>
              <w:right w:val="single" w:sz="4" w:space="0" w:color="auto"/>
            </w:tcBorders>
            <w:shd w:val="clear" w:color="auto" w:fill="auto"/>
            <w:vAlign w:val="center"/>
          </w:tcPr>
          <w:p w14:paraId="65ED85A8" w14:textId="77777777" w:rsidR="009E10A5" w:rsidRPr="00E674F7" w:rsidRDefault="009E10A5" w:rsidP="00712998">
            <w:pPr>
              <w:jc w:val="center"/>
              <w:rPr>
                <w:rFonts w:eastAsia="宋体"/>
                <w:sz w:val="21"/>
                <w:szCs w:val="21"/>
              </w:rPr>
            </w:pPr>
            <w:r w:rsidRPr="00E674F7">
              <w:rPr>
                <w:rFonts w:eastAsia="宋体"/>
                <w:sz w:val="21"/>
                <w:szCs w:val="21"/>
              </w:rPr>
              <w:t>？</w:t>
            </w:r>
          </w:p>
        </w:tc>
        <w:tc>
          <w:tcPr>
            <w:tcW w:w="706" w:type="dxa"/>
            <w:tcBorders>
              <w:top w:val="nil"/>
              <w:left w:val="nil"/>
              <w:bottom w:val="single" w:sz="4" w:space="0" w:color="auto"/>
              <w:right w:val="single" w:sz="4" w:space="0" w:color="auto"/>
            </w:tcBorders>
            <w:shd w:val="clear" w:color="auto" w:fill="auto"/>
            <w:vAlign w:val="center"/>
          </w:tcPr>
          <w:p w14:paraId="642D7DC8" w14:textId="77777777" w:rsidR="009E10A5" w:rsidRPr="00E674F7" w:rsidRDefault="009E10A5" w:rsidP="00712998">
            <w:pPr>
              <w:jc w:val="center"/>
              <w:rPr>
                <w:rFonts w:eastAsia="宋体"/>
                <w:sz w:val="21"/>
                <w:szCs w:val="21"/>
              </w:rPr>
            </w:pPr>
            <w:r w:rsidRPr="00E674F7">
              <w:rPr>
                <w:rFonts w:eastAsia="宋体"/>
                <w:sz w:val="21"/>
                <w:szCs w:val="21"/>
              </w:rPr>
              <w:t>？</w:t>
            </w:r>
          </w:p>
        </w:tc>
        <w:tc>
          <w:tcPr>
            <w:tcW w:w="990" w:type="dxa"/>
            <w:tcBorders>
              <w:top w:val="nil"/>
              <w:left w:val="nil"/>
              <w:bottom w:val="single" w:sz="4" w:space="0" w:color="auto"/>
              <w:right w:val="single" w:sz="4" w:space="0" w:color="auto"/>
            </w:tcBorders>
            <w:shd w:val="clear" w:color="auto" w:fill="auto"/>
            <w:vAlign w:val="center"/>
          </w:tcPr>
          <w:p w14:paraId="403F563F" w14:textId="77777777" w:rsidR="009E10A5" w:rsidRPr="00E674F7" w:rsidRDefault="009E10A5" w:rsidP="00712998">
            <w:pPr>
              <w:jc w:val="center"/>
              <w:rPr>
                <w:rFonts w:eastAsia="宋体"/>
                <w:sz w:val="21"/>
                <w:szCs w:val="21"/>
              </w:rPr>
            </w:pPr>
            <w:r w:rsidRPr="00E674F7">
              <w:rPr>
                <w:rFonts w:eastAsia="宋体"/>
                <w:sz w:val="21"/>
                <w:szCs w:val="21"/>
              </w:rPr>
              <w:t>6.1</w:t>
            </w:r>
          </w:p>
        </w:tc>
      </w:tr>
      <w:tr w:rsidR="009E10A5" w:rsidRPr="00E674F7" w14:paraId="67D55B7A" w14:textId="77777777" w:rsidTr="00712998">
        <w:trPr>
          <w:trHeight w:val="250"/>
        </w:trPr>
        <w:tc>
          <w:tcPr>
            <w:tcW w:w="1488" w:type="dxa"/>
            <w:tcBorders>
              <w:top w:val="nil"/>
              <w:left w:val="single" w:sz="4" w:space="0" w:color="auto"/>
              <w:bottom w:val="single" w:sz="4" w:space="0" w:color="auto"/>
              <w:right w:val="single" w:sz="4" w:space="0" w:color="auto"/>
            </w:tcBorders>
            <w:shd w:val="clear" w:color="auto" w:fill="auto"/>
            <w:vAlign w:val="center"/>
          </w:tcPr>
          <w:p w14:paraId="1D59B18F" w14:textId="77777777" w:rsidR="009E10A5" w:rsidRPr="00E674F7" w:rsidRDefault="009E10A5" w:rsidP="00712998">
            <w:pPr>
              <w:jc w:val="both"/>
              <w:rPr>
                <w:rFonts w:eastAsia="宋体"/>
                <w:i/>
                <w:iCs/>
                <w:sz w:val="21"/>
                <w:szCs w:val="21"/>
              </w:rPr>
            </w:pPr>
            <w:r w:rsidRPr="00E674F7">
              <w:rPr>
                <w:rFonts w:eastAsia="宋体"/>
                <w:i/>
                <w:iCs/>
                <w:sz w:val="21"/>
                <w:szCs w:val="21"/>
              </w:rPr>
              <w:t>Pipiscius</w:t>
            </w:r>
          </w:p>
        </w:tc>
        <w:tc>
          <w:tcPr>
            <w:tcW w:w="916" w:type="dxa"/>
            <w:tcBorders>
              <w:top w:val="nil"/>
              <w:left w:val="nil"/>
              <w:bottom w:val="single" w:sz="4" w:space="0" w:color="auto"/>
              <w:right w:val="single" w:sz="4" w:space="0" w:color="auto"/>
            </w:tcBorders>
            <w:shd w:val="clear" w:color="auto" w:fill="auto"/>
            <w:vAlign w:val="center"/>
          </w:tcPr>
          <w:p w14:paraId="14FD7579" w14:textId="77777777" w:rsidR="009E10A5" w:rsidRPr="00E674F7" w:rsidRDefault="009E10A5" w:rsidP="00712998">
            <w:pPr>
              <w:jc w:val="center"/>
              <w:rPr>
                <w:rFonts w:eastAsia="宋体"/>
                <w:sz w:val="21"/>
                <w:szCs w:val="21"/>
              </w:rPr>
            </w:pPr>
            <w:r w:rsidRPr="00E674F7">
              <w:rPr>
                <w:rFonts w:eastAsia="宋体"/>
                <w:sz w:val="21"/>
                <w:szCs w:val="21"/>
              </w:rPr>
              <w:t>40-65</w:t>
            </w:r>
          </w:p>
        </w:tc>
        <w:tc>
          <w:tcPr>
            <w:tcW w:w="1077" w:type="dxa"/>
            <w:tcBorders>
              <w:top w:val="single" w:sz="4" w:space="0" w:color="auto"/>
              <w:left w:val="nil"/>
              <w:bottom w:val="single" w:sz="4" w:space="0" w:color="auto"/>
              <w:right w:val="single" w:sz="4" w:space="0" w:color="auto"/>
            </w:tcBorders>
            <w:shd w:val="clear" w:color="auto" w:fill="auto"/>
            <w:vAlign w:val="center"/>
          </w:tcPr>
          <w:p w14:paraId="5A90511D" w14:textId="77777777" w:rsidR="009E10A5" w:rsidRPr="00E674F7" w:rsidRDefault="009E10A5" w:rsidP="00712998">
            <w:pPr>
              <w:jc w:val="center"/>
              <w:rPr>
                <w:rFonts w:eastAsia="DengXian"/>
                <w:sz w:val="21"/>
                <w:szCs w:val="21"/>
              </w:rPr>
            </w:pPr>
            <w:r w:rsidRPr="00E674F7">
              <w:rPr>
                <w:rFonts w:eastAsia="DengXian"/>
                <w:sz w:val="21"/>
                <w:szCs w:val="21"/>
              </w:rPr>
              <w:t>11.3</w:t>
            </w:r>
          </w:p>
        </w:tc>
        <w:tc>
          <w:tcPr>
            <w:tcW w:w="1027" w:type="dxa"/>
            <w:tcBorders>
              <w:top w:val="single" w:sz="4" w:space="0" w:color="000000" w:themeColor="text1"/>
              <w:left w:val="nil"/>
              <w:bottom w:val="single" w:sz="4" w:space="0" w:color="auto"/>
              <w:right w:val="single" w:sz="4" w:space="0" w:color="auto"/>
            </w:tcBorders>
            <w:shd w:val="clear" w:color="auto" w:fill="auto"/>
            <w:vAlign w:val="center"/>
          </w:tcPr>
          <w:p w14:paraId="6D849B2D" w14:textId="77777777" w:rsidR="009E10A5" w:rsidRPr="00E674F7" w:rsidRDefault="009E10A5" w:rsidP="00712998">
            <w:pPr>
              <w:jc w:val="center"/>
              <w:rPr>
                <w:rFonts w:eastAsia="宋体"/>
                <w:sz w:val="21"/>
                <w:szCs w:val="21"/>
              </w:rPr>
            </w:pPr>
            <w:r w:rsidRPr="00E674F7">
              <w:rPr>
                <w:rFonts w:eastAsia="宋体"/>
                <w:sz w:val="21"/>
                <w:szCs w:val="21"/>
              </w:rPr>
              <w:t>?</w:t>
            </w:r>
          </w:p>
        </w:tc>
        <w:tc>
          <w:tcPr>
            <w:tcW w:w="811" w:type="dxa"/>
            <w:tcBorders>
              <w:top w:val="single" w:sz="4" w:space="0" w:color="auto"/>
              <w:left w:val="nil"/>
              <w:bottom w:val="single" w:sz="4" w:space="0" w:color="auto"/>
              <w:right w:val="single" w:sz="4" w:space="0" w:color="auto"/>
            </w:tcBorders>
            <w:shd w:val="clear" w:color="auto" w:fill="auto"/>
            <w:vAlign w:val="center"/>
          </w:tcPr>
          <w:p w14:paraId="1341FECB" w14:textId="77777777" w:rsidR="009E10A5" w:rsidRPr="00E674F7" w:rsidRDefault="009E10A5" w:rsidP="00712998">
            <w:pPr>
              <w:jc w:val="center"/>
              <w:rPr>
                <w:rFonts w:eastAsia="宋体"/>
                <w:sz w:val="21"/>
                <w:szCs w:val="21"/>
              </w:rPr>
            </w:pPr>
            <w:r w:rsidRPr="00E674F7">
              <w:rPr>
                <w:rFonts w:eastAsia="宋体"/>
                <w:sz w:val="21"/>
                <w:szCs w:val="21"/>
              </w:rPr>
              <w:t>?</w:t>
            </w:r>
          </w:p>
        </w:tc>
        <w:tc>
          <w:tcPr>
            <w:tcW w:w="1371" w:type="dxa"/>
            <w:tcBorders>
              <w:top w:val="nil"/>
              <w:left w:val="nil"/>
              <w:bottom w:val="single" w:sz="4" w:space="0" w:color="auto"/>
              <w:right w:val="single" w:sz="4" w:space="0" w:color="auto"/>
            </w:tcBorders>
            <w:shd w:val="clear" w:color="auto" w:fill="auto"/>
            <w:vAlign w:val="center"/>
          </w:tcPr>
          <w:p w14:paraId="65D86585" w14:textId="77777777" w:rsidR="009E10A5" w:rsidRPr="00E674F7" w:rsidRDefault="009E10A5" w:rsidP="00712998">
            <w:pPr>
              <w:jc w:val="center"/>
              <w:rPr>
                <w:rFonts w:eastAsia="宋体"/>
                <w:sz w:val="21"/>
                <w:szCs w:val="21"/>
              </w:rPr>
            </w:pPr>
            <w:r w:rsidRPr="00E674F7">
              <w:rPr>
                <w:rFonts w:eastAsia="宋体"/>
                <w:sz w:val="21"/>
                <w:szCs w:val="21"/>
              </w:rPr>
              <w:t>?</w:t>
            </w:r>
          </w:p>
        </w:tc>
        <w:tc>
          <w:tcPr>
            <w:tcW w:w="706" w:type="dxa"/>
            <w:tcBorders>
              <w:top w:val="nil"/>
              <w:left w:val="nil"/>
              <w:bottom w:val="single" w:sz="4" w:space="0" w:color="auto"/>
              <w:right w:val="single" w:sz="4" w:space="0" w:color="auto"/>
            </w:tcBorders>
            <w:shd w:val="clear" w:color="auto" w:fill="auto"/>
            <w:vAlign w:val="center"/>
          </w:tcPr>
          <w:p w14:paraId="39BB8CDD" w14:textId="77777777" w:rsidR="009E10A5" w:rsidRPr="00E674F7" w:rsidRDefault="009E10A5" w:rsidP="00712998">
            <w:pPr>
              <w:jc w:val="center"/>
              <w:rPr>
                <w:rFonts w:eastAsia="宋体"/>
                <w:sz w:val="21"/>
                <w:szCs w:val="21"/>
              </w:rPr>
            </w:pPr>
            <w:r w:rsidRPr="00E674F7">
              <w:rPr>
                <w:rFonts w:eastAsia="宋体"/>
                <w:sz w:val="21"/>
                <w:szCs w:val="21"/>
              </w:rPr>
              <w:t>？</w:t>
            </w:r>
          </w:p>
        </w:tc>
        <w:tc>
          <w:tcPr>
            <w:tcW w:w="654" w:type="dxa"/>
            <w:tcBorders>
              <w:top w:val="nil"/>
              <w:left w:val="nil"/>
              <w:bottom w:val="single" w:sz="4" w:space="0" w:color="auto"/>
              <w:right w:val="single" w:sz="4" w:space="0" w:color="auto"/>
            </w:tcBorders>
            <w:shd w:val="clear" w:color="auto" w:fill="auto"/>
            <w:vAlign w:val="center"/>
          </w:tcPr>
          <w:p w14:paraId="6B17C330" w14:textId="77777777" w:rsidR="009E10A5" w:rsidRPr="00E674F7" w:rsidRDefault="009E10A5" w:rsidP="00712998">
            <w:pPr>
              <w:jc w:val="center"/>
              <w:rPr>
                <w:rFonts w:eastAsia="宋体"/>
                <w:sz w:val="21"/>
                <w:szCs w:val="21"/>
              </w:rPr>
            </w:pPr>
            <w:r w:rsidRPr="00E674F7">
              <w:rPr>
                <w:rFonts w:eastAsia="宋体"/>
                <w:sz w:val="21"/>
                <w:szCs w:val="21"/>
              </w:rPr>
              <w:t>?</w:t>
            </w:r>
          </w:p>
        </w:tc>
        <w:tc>
          <w:tcPr>
            <w:tcW w:w="660" w:type="dxa"/>
            <w:tcBorders>
              <w:top w:val="nil"/>
              <w:left w:val="nil"/>
              <w:bottom w:val="single" w:sz="4" w:space="0" w:color="auto"/>
              <w:right w:val="single" w:sz="4" w:space="0" w:color="auto"/>
            </w:tcBorders>
            <w:shd w:val="clear" w:color="auto" w:fill="auto"/>
            <w:vAlign w:val="center"/>
          </w:tcPr>
          <w:p w14:paraId="09A7FE87" w14:textId="77777777" w:rsidR="009E10A5" w:rsidRPr="00E674F7" w:rsidRDefault="009E10A5" w:rsidP="00712998">
            <w:pPr>
              <w:jc w:val="center"/>
              <w:rPr>
                <w:rFonts w:eastAsia="宋体"/>
                <w:sz w:val="21"/>
                <w:szCs w:val="21"/>
              </w:rPr>
            </w:pPr>
            <w:r w:rsidRPr="00E674F7">
              <w:rPr>
                <w:rFonts w:eastAsia="宋体"/>
                <w:sz w:val="21"/>
                <w:szCs w:val="21"/>
              </w:rPr>
              <w:t>?</w:t>
            </w:r>
          </w:p>
        </w:tc>
        <w:tc>
          <w:tcPr>
            <w:tcW w:w="777" w:type="dxa"/>
            <w:tcBorders>
              <w:top w:val="nil"/>
              <w:left w:val="nil"/>
              <w:bottom w:val="single" w:sz="4" w:space="0" w:color="auto"/>
              <w:right w:val="single" w:sz="4" w:space="0" w:color="auto"/>
            </w:tcBorders>
            <w:shd w:val="clear" w:color="auto" w:fill="auto"/>
            <w:vAlign w:val="center"/>
          </w:tcPr>
          <w:p w14:paraId="0CDC3EB6" w14:textId="77777777" w:rsidR="009E10A5" w:rsidRPr="00E674F7" w:rsidRDefault="009E10A5" w:rsidP="00712998">
            <w:pPr>
              <w:jc w:val="center"/>
              <w:rPr>
                <w:rFonts w:eastAsia="宋体"/>
                <w:sz w:val="21"/>
                <w:szCs w:val="21"/>
              </w:rPr>
            </w:pPr>
            <w:r w:rsidRPr="00E674F7">
              <w:rPr>
                <w:rFonts w:eastAsia="宋体"/>
                <w:sz w:val="21"/>
                <w:szCs w:val="21"/>
              </w:rPr>
              <w:t>?</w:t>
            </w:r>
          </w:p>
        </w:tc>
        <w:tc>
          <w:tcPr>
            <w:tcW w:w="759" w:type="dxa"/>
            <w:tcBorders>
              <w:top w:val="nil"/>
              <w:left w:val="nil"/>
              <w:bottom w:val="single" w:sz="4" w:space="0" w:color="auto"/>
              <w:right w:val="single" w:sz="4" w:space="0" w:color="auto"/>
            </w:tcBorders>
            <w:shd w:val="clear" w:color="auto" w:fill="auto"/>
            <w:vAlign w:val="center"/>
          </w:tcPr>
          <w:p w14:paraId="785E9266" w14:textId="77777777" w:rsidR="009E10A5" w:rsidRPr="00E674F7" w:rsidRDefault="009E10A5" w:rsidP="00712998">
            <w:pPr>
              <w:jc w:val="center"/>
              <w:rPr>
                <w:rFonts w:eastAsia="宋体"/>
                <w:sz w:val="21"/>
                <w:szCs w:val="21"/>
              </w:rPr>
            </w:pPr>
            <w:r w:rsidRPr="00E674F7">
              <w:rPr>
                <w:rFonts w:eastAsia="宋体"/>
                <w:sz w:val="21"/>
                <w:szCs w:val="21"/>
              </w:rPr>
              <w:t>?</w:t>
            </w:r>
          </w:p>
        </w:tc>
        <w:tc>
          <w:tcPr>
            <w:tcW w:w="1021" w:type="dxa"/>
            <w:tcBorders>
              <w:top w:val="nil"/>
              <w:left w:val="nil"/>
              <w:bottom w:val="single" w:sz="4" w:space="0" w:color="auto"/>
              <w:right w:val="single" w:sz="4" w:space="0" w:color="auto"/>
            </w:tcBorders>
            <w:shd w:val="clear" w:color="auto" w:fill="auto"/>
            <w:vAlign w:val="center"/>
          </w:tcPr>
          <w:p w14:paraId="5F233B6E" w14:textId="77777777" w:rsidR="009E10A5" w:rsidRPr="00E674F7" w:rsidRDefault="009E10A5" w:rsidP="00712998">
            <w:pPr>
              <w:jc w:val="center"/>
              <w:rPr>
                <w:rFonts w:eastAsia="宋体"/>
                <w:sz w:val="21"/>
                <w:szCs w:val="21"/>
              </w:rPr>
            </w:pPr>
            <w:r w:rsidRPr="00E674F7">
              <w:rPr>
                <w:rFonts w:eastAsia="宋体"/>
                <w:sz w:val="21"/>
                <w:szCs w:val="21"/>
              </w:rPr>
              <w:t>?</w:t>
            </w:r>
          </w:p>
        </w:tc>
        <w:tc>
          <w:tcPr>
            <w:tcW w:w="706" w:type="dxa"/>
            <w:tcBorders>
              <w:top w:val="nil"/>
              <w:left w:val="nil"/>
              <w:bottom w:val="single" w:sz="4" w:space="0" w:color="auto"/>
              <w:right w:val="single" w:sz="4" w:space="0" w:color="auto"/>
            </w:tcBorders>
            <w:shd w:val="clear" w:color="auto" w:fill="auto"/>
            <w:vAlign w:val="center"/>
          </w:tcPr>
          <w:p w14:paraId="65ABC5D9" w14:textId="77777777" w:rsidR="009E10A5" w:rsidRPr="00E674F7" w:rsidRDefault="009E10A5" w:rsidP="00712998">
            <w:pPr>
              <w:jc w:val="center"/>
              <w:rPr>
                <w:rFonts w:eastAsia="宋体"/>
                <w:sz w:val="21"/>
                <w:szCs w:val="21"/>
              </w:rPr>
            </w:pPr>
            <w:r w:rsidRPr="00E674F7">
              <w:rPr>
                <w:rFonts w:eastAsia="宋体"/>
                <w:sz w:val="21"/>
                <w:szCs w:val="21"/>
              </w:rPr>
              <w:t>？</w:t>
            </w:r>
          </w:p>
        </w:tc>
        <w:tc>
          <w:tcPr>
            <w:tcW w:w="777" w:type="dxa"/>
            <w:tcBorders>
              <w:top w:val="nil"/>
              <w:left w:val="nil"/>
              <w:bottom w:val="single" w:sz="4" w:space="0" w:color="auto"/>
              <w:right w:val="single" w:sz="4" w:space="0" w:color="auto"/>
            </w:tcBorders>
            <w:shd w:val="clear" w:color="auto" w:fill="auto"/>
            <w:vAlign w:val="center"/>
          </w:tcPr>
          <w:p w14:paraId="09D1FC56" w14:textId="77777777" w:rsidR="009E10A5" w:rsidRPr="00E674F7" w:rsidRDefault="009E10A5" w:rsidP="00712998">
            <w:pPr>
              <w:jc w:val="center"/>
              <w:rPr>
                <w:rFonts w:eastAsia="宋体"/>
                <w:sz w:val="21"/>
                <w:szCs w:val="21"/>
              </w:rPr>
            </w:pPr>
            <w:r w:rsidRPr="00E674F7">
              <w:rPr>
                <w:rFonts w:eastAsia="宋体"/>
                <w:sz w:val="21"/>
                <w:szCs w:val="21"/>
              </w:rPr>
              <w:t>？</w:t>
            </w:r>
          </w:p>
        </w:tc>
        <w:tc>
          <w:tcPr>
            <w:tcW w:w="496" w:type="dxa"/>
            <w:tcBorders>
              <w:top w:val="nil"/>
              <w:left w:val="nil"/>
              <w:bottom w:val="single" w:sz="4" w:space="0" w:color="auto"/>
              <w:right w:val="single" w:sz="4" w:space="0" w:color="auto"/>
            </w:tcBorders>
            <w:shd w:val="clear" w:color="auto" w:fill="auto"/>
            <w:vAlign w:val="center"/>
          </w:tcPr>
          <w:p w14:paraId="57CA354D" w14:textId="77777777" w:rsidR="009E10A5" w:rsidRPr="00E674F7" w:rsidRDefault="009E10A5" w:rsidP="00712998">
            <w:pPr>
              <w:jc w:val="center"/>
              <w:rPr>
                <w:rFonts w:eastAsia="宋体"/>
                <w:sz w:val="21"/>
                <w:szCs w:val="21"/>
              </w:rPr>
            </w:pPr>
            <w:r w:rsidRPr="00E674F7">
              <w:rPr>
                <w:rFonts w:eastAsia="宋体"/>
                <w:sz w:val="21"/>
                <w:szCs w:val="21"/>
              </w:rPr>
              <w:t>？</w:t>
            </w:r>
          </w:p>
        </w:tc>
        <w:tc>
          <w:tcPr>
            <w:tcW w:w="706" w:type="dxa"/>
            <w:tcBorders>
              <w:top w:val="nil"/>
              <w:left w:val="nil"/>
              <w:bottom w:val="single" w:sz="4" w:space="0" w:color="auto"/>
              <w:right w:val="single" w:sz="4" w:space="0" w:color="auto"/>
            </w:tcBorders>
            <w:shd w:val="clear" w:color="auto" w:fill="auto"/>
            <w:vAlign w:val="center"/>
          </w:tcPr>
          <w:p w14:paraId="036B9E72" w14:textId="77777777" w:rsidR="009E10A5" w:rsidRPr="00E674F7" w:rsidRDefault="009E10A5" w:rsidP="00712998">
            <w:pPr>
              <w:jc w:val="center"/>
              <w:rPr>
                <w:rFonts w:eastAsia="宋体"/>
                <w:sz w:val="21"/>
                <w:szCs w:val="21"/>
              </w:rPr>
            </w:pPr>
            <w:r w:rsidRPr="00E674F7">
              <w:rPr>
                <w:rFonts w:eastAsia="宋体"/>
                <w:sz w:val="21"/>
                <w:szCs w:val="21"/>
              </w:rPr>
              <w:t>？</w:t>
            </w:r>
          </w:p>
        </w:tc>
        <w:tc>
          <w:tcPr>
            <w:tcW w:w="990" w:type="dxa"/>
            <w:tcBorders>
              <w:top w:val="nil"/>
              <w:left w:val="nil"/>
              <w:bottom w:val="single" w:sz="4" w:space="0" w:color="auto"/>
              <w:right w:val="single" w:sz="4" w:space="0" w:color="auto"/>
            </w:tcBorders>
            <w:shd w:val="clear" w:color="auto" w:fill="auto"/>
            <w:vAlign w:val="center"/>
          </w:tcPr>
          <w:p w14:paraId="52AA3C3A" w14:textId="77777777" w:rsidR="009E10A5" w:rsidRPr="00E674F7" w:rsidRDefault="009E10A5" w:rsidP="00712998">
            <w:pPr>
              <w:jc w:val="center"/>
              <w:rPr>
                <w:rFonts w:eastAsia="宋体"/>
                <w:sz w:val="21"/>
                <w:szCs w:val="21"/>
              </w:rPr>
            </w:pPr>
            <w:r w:rsidRPr="00E674F7">
              <w:rPr>
                <w:rFonts w:eastAsia="宋体"/>
                <w:sz w:val="21"/>
                <w:szCs w:val="21"/>
              </w:rPr>
              <w:t>?</w:t>
            </w:r>
          </w:p>
        </w:tc>
      </w:tr>
      <w:tr w:rsidR="009E10A5" w:rsidRPr="00E674F7" w14:paraId="0ACEB3B1" w14:textId="77777777" w:rsidTr="00712998">
        <w:trPr>
          <w:trHeight w:val="250"/>
        </w:trPr>
        <w:tc>
          <w:tcPr>
            <w:tcW w:w="1488" w:type="dxa"/>
            <w:tcBorders>
              <w:top w:val="nil"/>
              <w:left w:val="single" w:sz="4" w:space="0" w:color="auto"/>
              <w:bottom w:val="single" w:sz="4" w:space="0" w:color="auto"/>
              <w:right w:val="single" w:sz="4" w:space="0" w:color="auto"/>
            </w:tcBorders>
            <w:shd w:val="clear" w:color="auto" w:fill="auto"/>
            <w:vAlign w:val="center"/>
          </w:tcPr>
          <w:p w14:paraId="7F23526D" w14:textId="77777777" w:rsidR="009E10A5" w:rsidRPr="00E674F7" w:rsidRDefault="009E10A5" w:rsidP="00712998">
            <w:pPr>
              <w:jc w:val="both"/>
              <w:rPr>
                <w:rFonts w:eastAsia="宋体"/>
                <w:i/>
                <w:iCs/>
                <w:sz w:val="21"/>
                <w:szCs w:val="21"/>
              </w:rPr>
            </w:pPr>
            <w:r w:rsidRPr="00E674F7">
              <w:rPr>
                <w:rFonts w:eastAsia="宋体"/>
                <w:i/>
                <w:iCs/>
                <w:sz w:val="21"/>
                <w:szCs w:val="21"/>
              </w:rPr>
              <w:t>Priscomyzon</w:t>
            </w:r>
          </w:p>
        </w:tc>
        <w:tc>
          <w:tcPr>
            <w:tcW w:w="916" w:type="dxa"/>
            <w:tcBorders>
              <w:top w:val="nil"/>
              <w:left w:val="nil"/>
              <w:bottom w:val="single" w:sz="4" w:space="0" w:color="auto"/>
              <w:right w:val="single" w:sz="4" w:space="0" w:color="auto"/>
            </w:tcBorders>
            <w:shd w:val="clear" w:color="auto" w:fill="auto"/>
            <w:vAlign w:val="center"/>
          </w:tcPr>
          <w:p w14:paraId="091E0A26" w14:textId="77777777" w:rsidR="009E10A5" w:rsidRPr="00E674F7" w:rsidRDefault="009E10A5" w:rsidP="00712998">
            <w:pPr>
              <w:jc w:val="center"/>
              <w:rPr>
                <w:rFonts w:eastAsia="宋体"/>
                <w:sz w:val="21"/>
                <w:szCs w:val="21"/>
              </w:rPr>
            </w:pPr>
            <w:r w:rsidRPr="00E674F7">
              <w:rPr>
                <w:rFonts w:eastAsia="宋体"/>
                <w:sz w:val="21"/>
                <w:szCs w:val="21"/>
              </w:rPr>
              <w:t>4.2</w:t>
            </w:r>
          </w:p>
        </w:tc>
        <w:tc>
          <w:tcPr>
            <w:tcW w:w="1077" w:type="dxa"/>
            <w:tcBorders>
              <w:top w:val="nil"/>
              <w:left w:val="nil"/>
              <w:bottom w:val="single" w:sz="4" w:space="0" w:color="auto"/>
              <w:right w:val="single" w:sz="4" w:space="0" w:color="auto"/>
            </w:tcBorders>
            <w:shd w:val="clear" w:color="auto" w:fill="auto"/>
            <w:vAlign w:val="center"/>
          </w:tcPr>
          <w:p w14:paraId="607812AB" w14:textId="77777777" w:rsidR="009E10A5" w:rsidRPr="00E674F7" w:rsidRDefault="009E10A5" w:rsidP="00712998">
            <w:pPr>
              <w:jc w:val="center"/>
              <w:rPr>
                <w:rFonts w:eastAsia="宋体"/>
                <w:sz w:val="21"/>
                <w:szCs w:val="21"/>
              </w:rPr>
            </w:pPr>
            <w:r w:rsidRPr="00E674F7">
              <w:rPr>
                <w:rFonts w:eastAsia="宋体"/>
                <w:sz w:val="21"/>
                <w:szCs w:val="21"/>
              </w:rPr>
              <w:t>9.3</w:t>
            </w:r>
          </w:p>
        </w:tc>
        <w:tc>
          <w:tcPr>
            <w:tcW w:w="1027" w:type="dxa"/>
            <w:tcBorders>
              <w:top w:val="nil"/>
              <w:left w:val="nil"/>
              <w:bottom w:val="single" w:sz="4" w:space="0" w:color="auto"/>
              <w:right w:val="single" w:sz="4" w:space="0" w:color="auto"/>
            </w:tcBorders>
            <w:shd w:val="clear" w:color="auto" w:fill="auto"/>
            <w:vAlign w:val="center"/>
          </w:tcPr>
          <w:p w14:paraId="7971132B" w14:textId="77777777" w:rsidR="009E10A5" w:rsidRPr="00E674F7" w:rsidRDefault="009E10A5" w:rsidP="00712998">
            <w:pPr>
              <w:jc w:val="center"/>
              <w:rPr>
                <w:rFonts w:eastAsia="宋体"/>
                <w:sz w:val="21"/>
                <w:szCs w:val="21"/>
              </w:rPr>
            </w:pPr>
            <w:r w:rsidRPr="00E674F7">
              <w:rPr>
                <w:rFonts w:eastAsia="宋体"/>
                <w:sz w:val="21"/>
                <w:szCs w:val="21"/>
              </w:rPr>
              <w:t>?</w:t>
            </w:r>
          </w:p>
        </w:tc>
        <w:tc>
          <w:tcPr>
            <w:tcW w:w="811" w:type="dxa"/>
            <w:tcBorders>
              <w:top w:val="nil"/>
              <w:left w:val="nil"/>
              <w:bottom w:val="single" w:sz="4" w:space="0" w:color="auto"/>
              <w:right w:val="single" w:sz="4" w:space="0" w:color="auto"/>
            </w:tcBorders>
            <w:shd w:val="clear" w:color="auto" w:fill="auto"/>
            <w:vAlign w:val="center"/>
          </w:tcPr>
          <w:p w14:paraId="01F94BCA" w14:textId="77777777" w:rsidR="009E10A5" w:rsidRPr="00E674F7" w:rsidRDefault="009E10A5" w:rsidP="00712998">
            <w:pPr>
              <w:jc w:val="center"/>
              <w:rPr>
                <w:rFonts w:eastAsia="宋体"/>
                <w:sz w:val="21"/>
                <w:szCs w:val="21"/>
              </w:rPr>
            </w:pPr>
            <w:r w:rsidRPr="00E674F7">
              <w:rPr>
                <w:rFonts w:eastAsia="宋体"/>
                <w:sz w:val="21"/>
                <w:szCs w:val="21"/>
              </w:rPr>
              <w:t>26.5</w:t>
            </w:r>
          </w:p>
        </w:tc>
        <w:tc>
          <w:tcPr>
            <w:tcW w:w="1371" w:type="dxa"/>
            <w:tcBorders>
              <w:top w:val="nil"/>
              <w:left w:val="nil"/>
              <w:bottom w:val="single" w:sz="4" w:space="0" w:color="auto"/>
              <w:right w:val="single" w:sz="4" w:space="0" w:color="auto"/>
            </w:tcBorders>
            <w:shd w:val="clear" w:color="auto" w:fill="auto"/>
            <w:vAlign w:val="center"/>
          </w:tcPr>
          <w:p w14:paraId="53DD3EE7" w14:textId="77777777" w:rsidR="009E10A5" w:rsidRPr="00E674F7" w:rsidRDefault="009E10A5" w:rsidP="00712998">
            <w:pPr>
              <w:jc w:val="center"/>
              <w:rPr>
                <w:rFonts w:eastAsia="宋体"/>
                <w:sz w:val="21"/>
                <w:szCs w:val="21"/>
              </w:rPr>
            </w:pPr>
            <w:r w:rsidRPr="00E674F7">
              <w:rPr>
                <w:rFonts w:eastAsia="宋体"/>
                <w:sz w:val="21"/>
                <w:szCs w:val="21"/>
              </w:rPr>
              <w:t>？</w:t>
            </w:r>
          </w:p>
        </w:tc>
        <w:tc>
          <w:tcPr>
            <w:tcW w:w="706" w:type="dxa"/>
            <w:tcBorders>
              <w:top w:val="nil"/>
              <w:left w:val="nil"/>
              <w:bottom w:val="single" w:sz="4" w:space="0" w:color="auto"/>
              <w:right w:val="single" w:sz="4" w:space="0" w:color="auto"/>
            </w:tcBorders>
            <w:shd w:val="clear" w:color="auto" w:fill="auto"/>
            <w:vAlign w:val="center"/>
          </w:tcPr>
          <w:p w14:paraId="69C2F870" w14:textId="77777777" w:rsidR="009E10A5" w:rsidRPr="00E674F7" w:rsidRDefault="009E10A5" w:rsidP="00712998">
            <w:pPr>
              <w:jc w:val="center"/>
              <w:rPr>
                <w:rFonts w:eastAsia="宋体"/>
                <w:sz w:val="21"/>
                <w:szCs w:val="21"/>
              </w:rPr>
            </w:pPr>
            <w:r w:rsidRPr="00E674F7">
              <w:rPr>
                <w:rFonts w:eastAsia="宋体"/>
                <w:sz w:val="21"/>
                <w:szCs w:val="21"/>
              </w:rPr>
              <w:t>？</w:t>
            </w:r>
          </w:p>
        </w:tc>
        <w:tc>
          <w:tcPr>
            <w:tcW w:w="654" w:type="dxa"/>
            <w:tcBorders>
              <w:top w:val="nil"/>
              <w:left w:val="nil"/>
              <w:bottom w:val="single" w:sz="4" w:space="0" w:color="auto"/>
              <w:right w:val="single" w:sz="4" w:space="0" w:color="auto"/>
            </w:tcBorders>
            <w:shd w:val="clear" w:color="auto" w:fill="auto"/>
            <w:vAlign w:val="center"/>
          </w:tcPr>
          <w:p w14:paraId="77C1CD55" w14:textId="77777777" w:rsidR="009E10A5" w:rsidRPr="00E674F7" w:rsidRDefault="009E10A5" w:rsidP="00712998">
            <w:pPr>
              <w:jc w:val="center"/>
              <w:rPr>
                <w:rFonts w:eastAsia="宋体"/>
                <w:sz w:val="21"/>
                <w:szCs w:val="21"/>
              </w:rPr>
            </w:pPr>
            <w:r w:rsidRPr="00E674F7">
              <w:rPr>
                <w:rFonts w:eastAsia="宋体"/>
                <w:sz w:val="21"/>
                <w:szCs w:val="21"/>
              </w:rPr>
              <w:t>?</w:t>
            </w:r>
          </w:p>
        </w:tc>
        <w:tc>
          <w:tcPr>
            <w:tcW w:w="660" w:type="dxa"/>
            <w:tcBorders>
              <w:top w:val="nil"/>
              <w:left w:val="nil"/>
              <w:bottom w:val="single" w:sz="4" w:space="0" w:color="auto"/>
              <w:right w:val="single" w:sz="4" w:space="0" w:color="auto"/>
            </w:tcBorders>
            <w:shd w:val="clear" w:color="auto" w:fill="auto"/>
            <w:vAlign w:val="center"/>
          </w:tcPr>
          <w:p w14:paraId="60EF1E41" w14:textId="77777777" w:rsidR="009E10A5" w:rsidRPr="00E674F7" w:rsidRDefault="009E10A5" w:rsidP="00712998">
            <w:pPr>
              <w:jc w:val="center"/>
              <w:rPr>
                <w:rFonts w:eastAsia="宋体"/>
                <w:sz w:val="21"/>
                <w:szCs w:val="21"/>
              </w:rPr>
            </w:pPr>
            <w:r w:rsidRPr="00E674F7">
              <w:rPr>
                <w:rFonts w:eastAsia="宋体"/>
                <w:sz w:val="21"/>
                <w:szCs w:val="21"/>
              </w:rPr>
              <w:t>?</w:t>
            </w:r>
          </w:p>
        </w:tc>
        <w:tc>
          <w:tcPr>
            <w:tcW w:w="777" w:type="dxa"/>
            <w:tcBorders>
              <w:top w:val="nil"/>
              <w:left w:val="nil"/>
              <w:bottom w:val="single" w:sz="4" w:space="0" w:color="auto"/>
              <w:right w:val="single" w:sz="4" w:space="0" w:color="auto"/>
            </w:tcBorders>
            <w:shd w:val="clear" w:color="auto" w:fill="auto"/>
            <w:vAlign w:val="center"/>
          </w:tcPr>
          <w:p w14:paraId="50687E80" w14:textId="77777777" w:rsidR="009E10A5" w:rsidRPr="00E674F7" w:rsidRDefault="009E10A5" w:rsidP="00712998">
            <w:pPr>
              <w:jc w:val="center"/>
              <w:rPr>
                <w:rFonts w:eastAsia="宋体"/>
                <w:sz w:val="21"/>
                <w:szCs w:val="21"/>
              </w:rPr>
            </w:pPr>
            <w:r w:rsidRPr="00E674F7">
              <w:rPr>
                <w:rFonts w:eastAsia="宋体"/>
                <w:sz w:val="21"/>
                <w:szCs w:val="21"/>
              </w:rPr>
              <w:t>?</w:t>
            </w:r>
          </w:p>
        </w:tc>
        <w:tc>
          <w:tcPr>
            <w:tcW w:w="759" w:type="dxa"/>
            <w:tcBorders>
              <w:top w:val="nil"/>
              <w:left w:val="nil"/>
              <w:bottom w:val="single" w:sz="4" w:space="0" w:color="auto"/>
              <w:right w:val="single" w:sz="4" w:space="0" w:color="auto"/>
            </w:tcBorders>
            <w:shd w:val="clear" w:color="auto" w:fill="auto"/>
            <w:vAlign w:val="center"/>
          </w:tcPr>
          <w:p w14:paraId="53C9DB00" w14:textId="77777777" w:rsidR="009E10A5" w:rsidRPr="00E674F7" w:rsidRDefault="009E10A5" w:rsidP="00712998">
            <w:pPr>
              <w:jc w:val="center"/>
              <w:rPr>
                <w:rFonts w:eastAsia="宋体"/>
                <w:sz w:val="21"/>
                <w:szCs w:val="21"/>
              </w:rPr>
            </w:pPr>
            <w:r w:rsidRPr="00E674F7">
              <w:rPr>
                <w:rFonts w:eastAsia="宋体"/>
                <w:sz w:val="21"/>
                <w:szCs w:val="21"/>
              </w:rPr>
              <w:t>8.3</w:t>
            </w:r>
          </w:p>
        </w:tc>
        <w:tc>
          <w:tcPr>
            <w:tcW w:w="1021" w:type="dxa"/>
            <w:tcBorders>
              <w:top w:val="nil"/>
              <w:left w:val="nil"/>
              <w:bottom w:val="single" w:sz="4" w:space="0" w:color="auto"/>
              <w:right w:val="single" w:sz="4" w:space="0" w:color="auto"/>
            </w:tcBorders>
            <w:shd w:val="clear" w:color="auto" w:fill="auto"/>
            <w:vAlign w:val="center"/>
          </w:tcPr>
          <w:p w14:paraId="01E37B6D" w14:textId="77777777" w:rsidR="009E10A5" w:rsidRPr="00E674F7" w:rsidRDefault="009E10A5" w:rsidP="00712998">
            <w:pPr>
              <w:jc w:val="center"/>
              <w:rPr>
                <w:rFonts w:eastAsia="宋体"/>
                <w:sz w:val="21"/>
                <w:szCs w:val="21"/>
              </w:rPr>
            </w:pPr>
            <w:r w:rsidRPr="00E674F7">
              <w:rPr>
                <w:rFonts w:eastAsia="宋体"/>
                <w:sz w:val="21"/>
                <w:szCs w:val="21"/>
              </w:rPr>
              <w:t>?</w:t>
            </w:r>
          </w:p>
        </w:tc>
        <w:tc>
          <w:tcPr>
            <w:tcW w:w="706" w:type="dxa"/>
            <w:tcBorders>
              <w:top w:val="nil"/>
              <w:left w:val="nil"/>
              <w:bottom w:val="single" w:sz="4" w:space="0" w:color="auto"/>
              <w:right w:val="single" w:sz="4" w:space="0" w:color="auto"/>
            </w:tcBorders>
            <w:shd w:val="clear" w:color="auto" w:fill="auto"/>
            <w:vAlign w:val="center"/>
          </w:tcPr>
          <w:p w14:paraId="0F02B1B5" w14:textId="77777777" w:rsidR="009E10A5" w:rsidRPr="00E674F7" w:rsidRDefault="009E10A5" w:rsidP="00712998">
            <w:pPr>
              <w:jc w:val="center"/>
              <w:rPr>
                <w:rFonts w:eastAsia="宋体"/>
                <w:sz w:val="21"/>
                <w:szCs w:val="21"/>
              </w:rPr>
            </w:pPr>
            <w:r w:rsidRPr="00E674F7">
              <w:rPr>
                <w:rFonts w:eastAsia="宋体"/>
                <w:sz w:val="21"/>
                <w:szCs w:val="21"/>
              </w:rPr>
              <w:t>9.1</w:t>
            </w:r>
          </w:p>
        </w:tc>
        <w:tc>
          <w:tcPr>
            <w:tcW w:w="777" w:type="dxa"/>
            <w:tcBorders>
              <w:top w:val="nil"/>
              <w:left w:val="nil"/>
              <w:bottom w:val="single" w:sz="4" w:space="0" w:color="auto"/>
              <w:right w:val="single" w:sz="4" w:space="0" w:color="auto"/>
            </w:tcBorders>
            <w:shd w:val="clear" w:color="auto" w:fill="auto"/>
            <w:vAlign w:val="center"/>
          </w:tcPr>
          <w:p w14:paraId="75682D91" w14:textId="77777777" w:rsidR="009E10A5" w:rsidRPr="00E674F7" w:rsidRDefault="009E10A5" w:rsidP="00712998">
            <w:pPr>
              <w:jc w:val="center"/>
              <w:rPr>
                <w:rFonts w:eastAsia="宋体"/>
                <w:sz w:val="21"/>
                <w:szCs w:val="21"/>
              </w:rPr>
            </w:pPr>
            <w:r w:rsidRPr="00E674F7">
              <w:rPr>
                <w:rFonts w:eastAsia="宋体"/>
                <w:sz w:val="21"/>
                <w:szCs w:val="21"/>
              </w:rPr>
              <w:t>？</w:t>
            </w:r>
          </w:p>
        </w:tc>
        <w:tc>
          <w:tcPr>
            <w:tcW w:w="496" w:type="dxa"/>
            <w:tcBorders>
              <w:top w:val="nil"/>
              <w:left w:val="nil"/>
              <w:bottom w:val="single" w:sz="4" w:space="0" w:color="auto"/>
              <w:right w:val="single" w:sz="4" w:space="0" w:color="auto"/>
            </w:tcBorders>
            <w:shd w:val="clear" w:color="auto" w:fill="auto"/>
            <w:vAlign w:val="center"/>
          </w:tcPr>
          <w:p w14:paraId="38A90917" w14:textId="77777777" w:rsidR="009E10A5" w:rsidRPr="00E674F7" w:rsidRDefault="009E10A5" w:rsidP="00712998">
            <w:pPr>
              <w:jc w:val="center"/>
              <w:rPr>
                <w:rFonts w:eastAsia="宋体"/>
                <w:sz w:val="21"/>
                <w:szCs w:val="21"/>
              </w:rPr>
            </w:pPr>
            <w:r w:rsidRPr="00E674F7">
              <w:rPr>
                <w:rFonts w:eastAsia="宋体"/>
                <w:sz w:val="21"/>
                <w:szCs w:val="21"/>
              </w:rPr>
              <w:t>？</w:t>
            </w:r>
          </w:p>
        </w:tc>
        <w:tc>
          <w:tcPr>
            <w:tcW w:w="706" w:type="dxa"/>
            <w:tcBorders>
              <w:top w:val="nil"/>
              <w:left w:val="nil"/>
              <w:bottom w:val="single" w:sz="4" w:space="0" w:color="auto"/>
              <w:right w:val="single" w:sz="4" w:space="0" w:color="auto"/>
            </w:tcBorders>
            <w:shd w:val="clear" w:color="auto" w:fill="auto"/>
            <w:vAlign w:val="center"/>
          </w:tcPr>
          <w:p w14:paraId="47CE831C" w14:textId="77777777" w:rsidR="009E10A5" w:rsidRPr="00E674F7" w:rsidRDefault="009E10A5" w:rsidP="00712998">
            <w:pPr>
              <w:jc w:val="center"/>
              <w:rPr>
                <w:rFonts w:eastAsia="宋体"/>
                <w:sz w:val="21"/>
                <w:szCs w:val="21"/>
              </w:rPr>
            </w:pPr>
            <w:r w:rsidRPr="00E674F7">
              <w:rPr>
                <w:rFonts w:eastAsia="宋体"/>
                <w:sz w:val="21"/>
                <w:szCs w:val="21"/>
              </w:rPr>
              <w:t>？</w:t>
            </w:r>
          </w:p>
        </w:tc>
        <w:tc>
          <w:tcPr>
            <w:tcW w:w="990" w:type="dxa"/>
            <w:tcBorders>
              <w:top w:val="nil"/>
              <w:left w:val="nil"/>
              <w:bottom w:val="single" w:sz="4" w:space="0" w:color="auto"/>
              <w:right w:val="single" w:sz="4" w:space="0" w:color="auto"/>
            </w:tcBorders>
            <w:shd w:val="clear" w:color="auto" w:fill="auto"/>
            <w:vAlign w:val="center"/>
          </w:tcPr>
          <w:p w14:paraId="58889526" w14:textId="77777777" w:rsidR="009E10A5" w:rsidRPr="00E674F7" w:rsidRDefault="009E10A5" w:rsidP="00712998">
            <w:pPr>
              <w:jc w:val="center"/>
              <w:rPr>
                <w:rFonts w:eastAsia="宋体"/>
                <w:sz w:val="21"/>
                <w:szCs w:val="21"/>
              </w:rPr>
            </w:pPr>
            <w:r w:rsidRPr="00E674F7">
              <w:rPr>
                <w:rFonts w:eastAsia="宋体"/>
                <w:sz w:val="21"/>
                <w:szCs w:val="21"/>
              </w:rPr>
              <w:t>21.7</w:t>
            </w:r>
          </w:p>
        </w:tc>
      </w:tr>
    </w:tbl>
    <w:p w14:paraId="4FE76DD6" w14:textId="77777777" w:rsidR="007C2B42" w:rsidRDefault="007C2B42"/>
    <w:sectPr w:rsidR="007C2B42" w:rsidSect="008B039B">
      <w:pgSz w:w="16838" w:h="11906" w:orient="landscape"/>
      <w:pgMar w:top="1800" w:right="1440" w:bottom="1800" w:left="1440" w:header="851" w:footer="992" w:gutter="0"/>
      <w:cols w:space="425"/>
      <w:docGrid w:type="lines" w:linePitch="326"/>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 w:name="等线 Light">
    <w:panose1 w:val="02010600030101010101"/>
    <w:charset w:val="86"/>
    <w:family w:val="auto"/>
    <w:pitch w:val="variable"/>
    <w:sig w:usb0="A00002BF" w:usb1="38CF7CFA" w:usb2="00000016" w:usb3="00000000" w:csb0="0004000F" w:csb1="00000000"/>
  </w:font>
  <w:font w:name="宋体">
    <w:altName w:val="SimSun"/>
    <w:panose1 w:val="02010600030101010101"/>
    <w:charset w:val="86"/>
    <w:family w:val="auto"/>
    <w:pitch w:val="variable"/>
    <w:sig w:usb0="00000003" w:usb1="288F0000" w:usb2="00000016" w:usb3="00000000" w:csb0="00040001" w:csb1="00000000"/>
  </w:font>
  <w:font w:name="Helvetica">
    <w:panose1 w:val="00000000000000000000"/>
    <w:charset w:val="00"/>
    <w:family w:val="auto"/>
    <w:pitch w:val="variable"/>
    <w:sig w:usb0="E00002FF" w:usb1="5000785B" w:usb2="00000000" w:usb3="00000000" w:csb0="0000019F" w:csb1="00000000"/>
  </w:font>
  <w:font w:name="Charis SIL">
    <w:altName w:val="苹方-简"/>
    <w:panose1 w:val="020B0604020202020204"/>
    <w:charset w:val="00"/>
    <w:family w:val="swiss"/>
    <w:pitch w:val="default"/>
    <w:sig w:usb0="00000000" w:usb1="00000000" w:usb2="00000000" w:usb3="00000000" w:csb0="00000001" w:csb1="00000000"/>
  </w:font>
  <w:font w:name="Cambria Math">
    <w:panose1 w:val="02040503050406030204"/>
    <w:charset w:val="00"/>
    <w:family w:val="roman"/>
    <w:pitch w:val="variable"/>
    <w:sig w:usb0="E00002FF" w:usb1="420024FF" w:usb2="00000000" w:usb3="00000000" w:csb0="0000019F" w:csb1="00000000"/>
  </w:font>
  <w:font w:name="Songti SC">
    <w:altName w:val="微软雅黑"/>
    <w:panose1 w:val="02010600040101010101"/>
    <w:charset w:val="86"/>
    <w:family w:val="auto"/>
    <w:pitch w:val="variable"/>
    <w:sig w:usb0="00000287" w:usb1="080F0000" w:usb2="00000010" w:usb3="00000000" w:csb0="0004009F" w:csb1="00000000"/>
  </w:font>
  <w:font w:name="Apple Color Emoji">
    <w:panose1 w:val="00000000000000000000"/>
    <w:charset w:val="00"/>
    <w:family w:val="auto"/>
    <w:pitch w:val="variable"/>
    <w:sig w:usb0="00000003" w:usb1="18000000" w:usb2="14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af7"/>
      </w:rPr>
      <w:id w:val="1160961012"/>
      <w:docPartObj>
        <w:docPartGallery w:val="Page Numbers (Bottom of Page)"/>
        <w:docPartUnique/>
      </w:docPartObj>
    </w:sdtPr>
    <w:sdtEndPr>
      <w:rPr>
        <w:rStyle w:val="af7"/>
      </w:rPr>
    </w:sdtEndPr>
    <w:sdtContent>
      <w:p w14:paraId="79299DA2" w14:textId="77777777" w:rsidR="00C54AF0" w:rsidRDefault="008B039B" w:rsidP="008E72DE">
        <w:pPr>
          <w:pStyle w:val="a9"/>
          <w:framePr w:wrap="none" w:vAnchor="text" w:hAnchor="margin" w:xAlign="center" w:y="1"/>
          <w:rPr>
            <w:rStyle w:val="af7"/>
          </w:rPr>
        </w:pPr>
        <w:r>
          <w:rPr>
            <w:rStyle w:val="af7"/>
          </w:rPr>
          <w:fldChar w:fldCharType="begin"/>
        </w:r>
        <w:r>
          <w:rPr>
            <w:rStyle w:val="af7"/>
          </w:rPr>
          <w:instrText xml:space="preserve"> PAGE </w:instrText>
        </w:r>
        <w:r>
          <w:rPr>
            <w:rStyle w:val="af7"/>
          </w:rPr>
          <w:fldChar w:fldCharType="end"/>
        </w:r>
      </w:p>
    </w:sdtContent>
  </w:sdt>
  <w:p w14:paraId="4C91389A" w14:textId="77777777" w:rsidR="00C54AF0" w:rsidRDefault="008B039B">
    <w:pPr>
      <w:pStyle w:val="a9"/>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af7"/>
      </w:rPr>
      <w:id w:val="956217711"/>
      <w:docPartObj>
        <w:docPartGallery w:val="Page Numbers (Bottom of Page)"/>
        <w:docPartUnique/>
      </w:docPartObj>
    </w:sdtPr>
    <w:sdtEndPr>
      <w:rPr>
        <w:rStyle w:val="af7"/>
      </w:rPr>
    </w:sdtEndPr>
    <w:sdtContent>
      <w:p w14:paraId="686705D4" w14:textId="77777777" w:rsidR="00C54AF0" w:rsidRDefault="008B039B" w:rsidP="008E72DE">
        <w:pPr>
          <w:pStyle w:val="a9"/>
          <w:framePr w:wrap="none" w:vAnchor="text" w:hAnchor="margin" w:xAlign="center" w:y="1"/>
          <w:rPr>
            <w:rStyle w:val="af7"/>
          </w:rPr>
        </w:pPr>
        <w:r>
          <w:rPr>
            <w:rStyle w:val="af7"/>
          </w:rPr>
          <w:fldChar w:fldCharType="begin"/>
        </w:r>
        <w:r>
          <w:rPr>
            <w:rStyle w:val="af7"/>
          </w:rPr>
          <w:instrText xml:space="preserve"> PAGE </w:instrText>
        </w:r>
        <w:r>
          <w:rPr>
            <w:rStyle w:val="af7"/>
          </w:rPr>
          <w:fldChar w:fldCharType="separate"/>
        </w:r>
        <w:r>
          <w:rPr>
            <w:rStyle w:val="af7"/>
            <w:noProof/>
          </w:rPr>
          <w:t>1</w:t>
        </w:r>
        <w:r>
          <w:rPr>
            <w:rStyle w:val="af7"/>
          </w:rPr>
          <w:fldChar w:fldCharType="end"/>
        </w:r>
      </w:p>
    </w:sdtContent>
  </w:sdt>
  <w:p w14:paraId="53578057" w14:textId="77777777" w:rsidR="00C54AF0" w:rsidRDefault="008B039B">
    <w:pPr>
      <w:pStyle w:val="a9"/>
    </w:pPr>
  </w:p>
</w:ftr>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A056131" w14:textId="77777777" w:rsidR="00A67DC8" w:rsidRDefault="008B039B">
    <w:pPr>
      <w:pStyle w:val="ab"/>
      <w:pBdr>
        <w:bottom w:val="none" w:sz="0" w:space="1" w:color="auto"/>
      </w:pBdr>
      <w:tabs>
        <w:tab w:val="clear" w:pos="4153"/>
        <w:tab w:val="clear" w:pos="8306"/>
        <w:tab w:val="left" w:pos="810"/>
      </w:tabs>
      <w:jc w:val="left"/>
      <w:rPr>
        <w:rFonts w:ascii="Apple Color Emoji" w:hAnsi="Apple Color Emoji"/>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458A7265"/>
    <w:multiLevelType w:val="hybridMultilevel"/>
    <w:tmpl w:val="DF52F3B4"/>
    <w:lvl w:ilvl="0" w:tplc="4B64A59C">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 w15:restartNumberingAfterBreak="0">
    <w:nsid w:val="53CD1774"/>
    <w:multiLevelType w:val="multilevel"/>
    <w:tmpl w:val="53CD1774"/>
    <w:lvl w:ilvl="0">
      <w:start w:val="1"/>
      <w:numFmt w:val="decimal"/>
      <w:lvlText w:val="%1."/>
      <w:lvlJc w:val="left"/>
      <w:pPr>
        <w:ind w:left="360" w:hanging="360"/>
      </w:pPr>
      <w:rPr>
        <w:rFonts w:hint="default"/>
        <w:b/>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50"/>
  <w:bordersDoNotSurroundHeader/>
  <w:bordersDoNotSurroundFooter/>
  <w:proofState w:grammar="clean"/>
  <w:defaultTabStop w:val="420"/>
  <w:drawingGridHorizontalSpacing w:val="120"/>
  <w:drawingGridVerticalSpacing w:val="163"/>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E10A5"/>
    <w:rsid w:val="007C2B42"/>
    <w:rsid w:val="008B039B"/>
    <w:rsid w:val="009E10A5"/>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ecimalSymbol w:val="."/>
  <w:listSeparator w:val=","/>
  <w14:docId w14:val="12476580"/>
  <w15:chartTrackingRefBased/>
  <w15:docId w15:val="{504F51FB-E520-B741-BC93-80989AB17F2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1"/>
        <w:szCs w:val="24"/>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qFormat="1"/>
    <w:lsdException w:name="header" w:semiHidden="1" w:unhideWhenUsed="1" w:qFormat="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qFormat="1"/>
    <w:lsdException w:name="line number" w:semiHidden="1" w:unhideWhenUsed="1" w:qFormat="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qFormat="1"/>
    <w:lsdException w:name="FollowedHyperlink" w:semiHidden="1" w:unhideWhenUsed="1"/>
    <w:lsdException w:name="Strong" w:uiPriority="22" w:qFormat="1"/>
    <w:lsdException w:name="Emphasis" w:uiPriority="20" w:qFormat="1"/>
    <w:lsdException w:name="Document Map" w:semiHidden="1" w:unhideWhenUsed="1" w:qFormat="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qFormat="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qFormat="1"/>
    <w:lsdException w:name="Table Grid" w:uiPriority="3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9E10A5"/>
    <w:rPr>
      <w:rFonts w:ascii="Times New Roman" w:hAnsi="Times New Roman" w:cs="Times New Roman"/>
      <w:kern w:val="0"/>
      <w:sz w:val="24"/>
    </w:rPr>
  </w:style>
  <w:style w:type="paragraph" w:styleId="1">
    <w:name w:val="heading 1"/>
    <w:basedOn w:val="a"/>
    <w:next w:val="a"/>
    <w:link w:val="10"/>
    <w:uiPriority w:val="9"/>
    <w:qFormat/>
    <w:rsid w:val="009E10A5"/>
    <w:pPr>
      <w:keepNext/>
      <w:keepLines/>
      <w:widowControl w:val="0"/>
      <w:spacing w:before="340" w:after="330" w:line="578" w:lineRule="auto"/>
      <w:jc w:val="both"/>
      <w:outlineLvl w:val="0"/>
    </w:pPr>
    <w:rPr>
      <w:rFonts w:asciiTheme="minorHAnsi" w:hAnsiTheme="minorHAnsi" w:cstheme="minorBidi"/>
      <w:b/>
      <w:bCs/>
      <w:kern w:val="44"/>
      <w:sz w:val="44"/>
      <w:szCs w:val="44"/>
    </w:rPr>
  </w:style>
  <w:style w:type="paragraph" w:styleId="2">
    <w:name w:val="heading 2"/>
    <w:basedOn w:val="a"/>
    <w:next w:val="a"/>
    <w:link w:val="20"/>
    <w:uiPriority w:val="9"/>
    <w:unhideWhenUsed/>
    <w:qFormat/>
    <w:rsid w:val="009E10A5"/>
    <w:pPr>
      <w:keepNext/>
      <w:keepLines/>
      <w:widowControl w:val="0"/>
      <w:spacing w:before="260" w:after="260" w:line="416" w:lineRule="auto"/>
      <w:jc w:val="both"/>
      <w:outlineLvl w:val="1"/>
    </w:pPr>
    <w:rPr>
      <w:rFonts w:asciiTheme="majorHAnsi" w:eastAsiaTheme="majorEastAsia" w:hAnsiTheme="majorHAnsi" w:cstheme="majorBidi"/>
      <w:b/>
      <w:bCs/>
      <w:kern w:val="2"/>
      <w:sz w:val="32"/>
      <w:szCs w:val="3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标题 1 字符"/>
    <w:basedOn w:val="a0"/>
    <w:link w:val="1"/>
    <w:uiPriority w:val="9"/>
    <w:qFormat/>
    <w:rsid w:val="009E10A5"/>
    <w:rPr>
      <w:b/>
      <w:bCs/>
      <w:kern w:val="44"/>
      <w:sz w:val="44"/>
      <w:szCs w:val="44"/>
    </w:rPr>
  </w:style>
  <w:style w:type="character" w:customStyle="1" w:styleId="20">
    <w:name w:val="标题 2 字符"/>
    <w:basedOn w:val="a0"/>
    <w:link w:val="2"/>
    <w:uiPriority w:val="9"/>
    <w:qFormat/>
    <w:rsid w:val="009E10A5"/>
    <w:rPr>
      <w:rFonts w:asciiTheme="majorHAnsi" w:eastAsiaTheme="majorEastAsia" w:hAnsiTheme="majorHAnsi" w:cstheme="majorBidi"/>
      <w:b/>
      <w:bCs/>
      <w:sz w:val="32"/>
      <w:szCs w:val="32"/>
    </w:rPr>
  </w:style>
  <w:style w:type="paragraph" w:styleId="a3">
    <w:name w:val="Document Map"/>
    <w:basedOn w:val="a"/>
    <w:link w:val="a4"/>
    <w:uiPriority w:val="99"/>
    <w:semiHidden/>
    <w:unhideWhenUsed/>
    <w:qFormat/>
    <w:rsid w:val="009E10A5"/>
    <w:rPr>
      <w:rFonts w:ascii="宋体" w:eastAsia="宋体"/>
    </w:rPr>
  </w:style>
  <w:style w:type="character" w:customStyle="1" w:styleId="a4">
    <w:name w:val="文档结构图 字符"/>
    <w:basedOn w:val="a0"/>
    <w:link w:val="a3"/>
    <w:uiPriority w:val="99"/>
    <w:semiHidden/>
    <w:qFormat/>
    <w:rsid w:val="009E10A5"/>
    <w:rPr>
      <w:rFonts w:ascii="宋体" w:eastAsia="宋体" w:hAnsi="Times New Roman" w:cs="Times New Roman"/>
      <w:kern w:val="0"/>
      <w:sz w:val="24"/>
    </w:rPr>
  </w:style>
  <w:style w:type="paragraph" w:styleId="a5">
    <w:name w:val="annotation text"/>
    <w:basedOn w:val="a"/>
    <w:link w:val="a6"/>
    <w:uiPriority w:val="99"/>
    <w:semiHidden/>
    <w:unhideWhenUsed/>
    <w:qFormat/>
    <w:rsid w:val="009E10A5"/>
  </w:style>
  <w:style w:type="character" w:customStyle="1" w:styleId="a6">
    <w:name w:val="批注文字 字符"/>
    <w:basedOn w:val="a0"/>
    <w:link w:val="a5"/>
    <w:uiPriority w:val="99"/>
    <w:semiHidden/>
    <w:qFormat/>
    <w:rsid w:val="009E10A5"/>
    <w:rPr>
      <w:rFonts w:ascii="Times New Roman" w:hAnsi="Times New Roman" w:cs="Times New Roman"/>
      <w:kern w:val="0"/>
      <w:sz w:val="24"/>
    </w:rPr>
  </w:style>
  <w:style w:type="paragraph" w:styleId="a7">
    <w:name w:val="Balloon Text"/>
    <w:basedOn w:val="a"/>
    <w:link w:val="a8"/>
    <w:uiPriority w:val="99"/>
    <w:semiHidden/>
    <w:unhideWhenUsed/>
    <w:qFormat/>
    <w:rsid w:val="009E10A5"/>
    <w:rPr>
      <w:rFonts w:ascii="宋体" w:eastAsia="宋体"/>
      <w:sz w:val="18"/>
      <w:szCs w:val="18"/>
    </w:rPr>
  </w:style>
  <w:style w:type="character" w:customStyle="1" w:styleId="a8">
    <w:name w:val="批注框文本 字符"/>
    <w:basedOn w:val="a0"/>
    <w:link w:val="a7"/>
    <w:uiPriority w:val="99"/>
    <w:semiHidden/>
    <w:qFormat/>
    <w:rsid w:val="009E10A5"/>
    <w:rPr>
      <w:rFonts w:ascii="宋体" w:eastAsia="宋体" w:hAnsi="Times New Roman" w:cs="Times New Roman"/>
      <w:kern w:val="0"/>
      <w:sz w:val="18"/>
      <w:szCs w:val="18"/>
    </w:rPr>
  </w:style>
  <w:style w:type="paragraph" w:styleId="a9">
    <w:name w:val="footer"/>
    <w:basedOn w:val="a"/>
    <w:link w:val="aa"/>
    <w:uiPriority w:val="99"/>
    <w:unhideWhenUsed/>
    <w:rsid w:val="009E10A5"/>
    <w:pPr>
      <w:tabs>
        <w:tab w:val="center" w:pos="4153"/>
        <w:tab w:val="right" w:pos="8306"/>
      </w:tabs>
      <w:snapToGrid w:val="0"/>
    </w:pPr>
    <w:rPr>
      <w:sz w:val="18"/>
      <w:szCs w:val="18"/>
    </w:rPr>
  </w:style>
  <w:style w:type="character" w:customStyle="1" w:styleId="aa">
    <w:name w:val="页脚 字符"/>
    <w:basedOn w:val="a0"/>
    <w:link w:val="a9"/>
    <w:uiPriority w:val="99"/>
    <w:qFormat/>
    <w:rsid w:val="009E10A5"/>
    <w:rPr>
      <w:rFonts w:ascii="Times New Roman" w:hAnsi="Times New Roman" w:cs="Times New Roman"/>
      <w:kern w:val="0"/>
      <w:sz w:val="18"/>
      <w:szCs w:val="18"/>
    </w:rPr>
  </w:style>
  <w:style w:type="paragraph" w:styleId="ab">
    <w:name w:val="header"/>
    <w:basedOn w:val="a"/>
    <w:link w:val="ac"/>
    <w:uiPriority w:val="99"/>
    <w:unhideWhenUsed/>
    <w:qFormat/>
    <w:rsid w:val="009E10A5"/>
    <w:pPr>
      <w:pBdr>
        <w:bottom w:val="single" w:sz="6" w:space="1" w:color="auto"/>
      </w:pBdr>
      <w:tabs>
        <w:tab w:val="center" w:pos="4153"/>
        <w:tab w:val="right" w:pos="8306"/>
      </w:tabs>
      <w:snapToGrid w:val="0"/>
      <w:jc w:val="center"/>
    </w:pPr>
    <w:rPr>
      <w:sz w:val="18"/>
      <w:szCs w:val="18"/>
    </w:rPr>
  </w:style>
  <w:style w:type="character" w:customStyle="1" w:styleId="ac">
    <w:name w:val="页眉 字符"/>
    <w:basedOn w:val="a0"/>
    <w:link w:val="ab"/>
    <w:uiPriority w:val="99"/>
    <w:qFormat/>
    <w:rsid w:val="009E10A5"/>
    <w:rPr>
      <w:rFonts w:ascii="Times New Roman" w:hAnsi="Times New Roman" w:cs="Times New Roman"/>
      <w:kern w:val="0"/>
      <w:sz w:val="18"/>
      <w:szCs w:val="18"/>
    </w:rPr>
  </w:style>
  <w:style w:type="paragraph" w:styleId="ad">
    <w:name w:val="Title"/>
    <w:basedOn w:val="a"/>
    <w:next w:val="a"/>
    <w:link w:val="ae"/>
    <w:uiPriority w:val="10"/>
    <w:qFormat/>
    <w:rsid w:val="009E10A5"/>
    <w:pPr>
      <w:spacing w:before="240" w:after="60"/>
      <w:jc w:val="center"/>
      <w:outlineLvl w:val="0"/>
    </w:pPr>
    <w:rPr>
      <w:rFonts w:asciiTheme="majorHAnsi" w:eastAsiaTheme="majorEastAsia" w:hAnsiTheme="majorHAnsi" w:cstheme="majorBidi"/>
      <w:b/>
      <w:bCs/>
      <w:sz w:val="32"/>
      <w:szCs w:val="32"/>
    </w:rPr>
  </w:style>
  <w:style w:type="character" w:customStyle="1" w:styleId="ae">
    <w:name w:val="标题 字符"/>
    <w:basedOn w:val="a0"/>
    <w:link w:val="ad"/>
    <w:uiPriority w:val="10"/>
    <w:qFormat/>
    <w:rsid w:val="009E10A5"/>
    <w:rPr>
      <w:rFonts w:asciiTheme="majorHAnsi" w:eastAsiaTheme="majorEastAsia" w:hAnsiTheme="majorHAnsi" w:cstheme="majorBidi"/>
      <w:b/>
      <w:bCs/>
      <w:kern w:val="0"/>
      <w:sz w:val="32"/>
      <w:szCs w:val="32"/>
    </w:rPr>
  </w:style>
  <w:style w:type="paragraph" w:styleId="af">
    <w:name w:val="annotation subject"/>
    <w:basedOn w:val="a5"/>
    <w:next w:val="a5"/>
    <w:link w:val="af0"/>
    <w:uiPriority w:val="99"/>
    <w:semiHidden/>
    <w:unhideWhenUsed/>
    <w:qFormat/>
    <w:rsid w:val="009E10A5"/>
    <w:rPr>
      <w:b/>
      <w:bCs/>
    </w:rPr>
  </w:style>
  <w:style w:type="character" w:customStyle="1" w:styleId="af0">
    <w:name w:val="批注主题 字符"/>
    <w:basedOn w:val="a6"/>
    <w:link w:val="af"/>
    <w:uiPriority w:val="99"/>
    <w:semiHidden/>
    <w:qFormat/>
    <w:rsid w:val="009E10A5"/>
    <w:rPr>
      <w:rFonts w:ascii="Times New Roman" w:hAnsi="Times New Roman" w:cs="Times New Roman"/>
      <w:b/>
      <w:bCs/>
      <w:kern w:val="0"/>
      <w:sz w:val="24"/>
    </w:rPr>
  </w:style>
  <w:style w:type="table" w:styleId="af1">
    <w:name w:val="Table Grid"/>
    <w:basedOn w:val="a1"/>
    <w:uiPriority w:val="39"/>
    <w:qFormat/>
    <w:rsid w:val="009E10A5"/>
    <w:rPr>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2">
    <w:name w:val="line number"/>
    <w:basedOn w:val="a0"/>
    <w:uiPriority w:val="99"/>
    <w:semiHidden/>
    <w:unhideWhenUsed/>
    <w:qFormat/>
    <w:rsid w:val="009E10A5"/>
  </w:style>
  <w:style w:type="character" w:styleId="af3">
    <w:name w:val="Hyperlink"/>
    <w:basedOn w:val="a0"/>
    <w:uiPriority w:val="99"/>
    <w:unhideWhenUsed/>
    <w:qFormat/>
    <w:rsid w:val="009E10A5"/>
    <w:rPr>
      <w:color w:val="0563C1" w:themeColor="hyperlink"/>
      <w:u w:val="single"/>
    </w:rPr>
  </w:style>
  <w:style w:type="character" w:styleId="af4">
    <w:name w:val="annotation reference"/>
    <w:basedOn w:val="a0"/>
    <w:uiPriority w:val="99"/>
    <w:semiHidden/>
    <w:unhideWhenUsed/>
    <w:qFormat/>
    <w:rsid w:val="009E10A5"/>
    <w:rPr>
      <w:sz w:val="21"/>
      <w:szCs w:val="21"/>
    </w:rPr>
  </w:style>
  <w:style w:type="paragraph" w:styleId="af5">
    <w:name w:val="List Paragraph"/>
    <w:basedOn w:val="a"/>
    <w:uiPriority w:val="34"/>
    <w:qFormat/>
    <w:rsid w:val="009E10A5"/>
    <w:pPr>
      <w:widowControl w:val="0"/>
      <w:ind w:firstLineChars="200" w:firstLine="420"/>
      <w:jc w:val="both"/>
    </w:pPr>
    <w:rPr>
      <w:rFonts w:asciiTheme="minorHAnsi" w:hAnsiTheme="minorHAnsi" w:cstheme="minorBidi"/>
      <w:kern w:val="2"/>
    </w:rPr>
  </w:style>
  <w:style w:type="paragraph" w:customStyle="1" w:styleId="p1">
    <w:name w:val="p1"/>
    <w:basedOn w:val="a"/>
    <w:qFormat/>
    <w:rsid w:val="009E10A5"/>
    <w:rPr>
      <w:rFonts w:ascii="Helvetica" w:hAnsi="Helvetica"/>
      <w:sz w:val="18"/>
      <w:szCs w:val="18"/>
    </w:rPr>
  </w:style>
  <w:style w:type="paragraph" w:customStyle="1" w:styleId="csl-entry">
    <w:name w:val="csl-entry"/>
    <w:basedOn w:val="a"/>
    <w:qFormat/>
    <w:rsid w:val="009E10A5"/>
    <w:pPr>
      <w:spacing w:before="100" w:beforeAutospacing="1" w:after="100" w:afterAutospacing="1"/>
    </w:pPr>
  </w:style>
  <w:style w:type="paragraph" w:customStyle="1" w:styleId="11">
    <w:name w:val="修订1"/>
    <w:hidden/>
    <w:uiPriority w:val="99"/>
    <w:semiHidden/>
    <w:qFormat/>
    <w:rsid w:val="009E10A5"/>
    <w:rPr>
      <w:rFonts w:ascii="Times New Roman" w:hAnsi="Times New Roman" w:cs="Times New Roman"/>
      <w:kern w:val="0"/>
      <w:sz w:val="24"/>
    </w:rPr>
  </w:style>
  <w:style w:type="character" w:customStyle="1" w:styleId="UnresolvedMention1">
    <w:name w:val="Unresolved Mention1"/>
    <w:basedOn w:val="a0"/>
    <w:uiPriority w:val="99"/>
    <w:qFormat/>
    <w:rsid w:val="009E10A5"/>
    <w:rPr>
      <w:color w:val="605E5C"/>
      <w:shd w:val="clear" w:color="auto" w:fill="E1DFDD"/>
    </w:rPr>
  </w:style>
  <w:style w:type="paragraph" w:customStyle="1" w:styleId="Default">
    <w:name w:val="Default"/>
    <w:qFormat/>
    <w:rsid w:val="009E10A5"/>
    <w:pPr>
      <w:widowControl w:val="0"/>
      <w:autoSpaceDE w:val="0"/>
      <w:autoSpaceDN w:val="0"/>
      <w:adjustRightInd w:val="0"/>
    </w:pPr>
    <w:rPr>
      <w:rFonts w:ascii="Charis SIL" w:hAnsi="Charis SIL" w:cs="Charis SIL"/>
      <w:color w:val="000000"/>
      <w:kern w:val="0"/>
      <w:sz w:val="24"/>
    </w:rPr>
  </w:style>
  <w:style w:type="paragraph" w:customStyle="1" w:styleId="21">
    <w:name w:val="修订2"/>
    <w:hidden/>
    <w:uiPriority w:val="99"/>
    <w:semiHidden/>
    <w:qFormat/>
    <w:rsid w:val="009E10A5"/>
    <w:rPr>
      <w:rFonts w:ascii="Times New Roman" w:hAnsi="Times New Roman" w:cs="Times New Roman"/>
      <w:kern w:val="0"/>
      <w:sz w:val="24"/>
    </w:rPr>
  </w:style>
  <w:style w:type="paragraph" w:customStyle="1" w:styleId="3">
    <w:name w:val="修订3"/>
    <w:hidden/>
    <w:uiPriority w:val="99"/>
    <w:semiHidden/>
    <w:rsid w:val="009E10A5"/>
    <w:rPr>
      <w:rFonts w:ascii="Times New Roman" w:hAnsi="Times New Roman" w:cs="Times New Roman"/>
      <w:kern w:val="0"/>
      <w:sz w:val="24"/>
    </w:rPr>
  </w:style>
  <w:style w:type="paragraph" w:styleId="af6">
    <w:name w:val="Revision"/>
    <w:hidden/>
    <w:uiPriority w:val="99"/>
    <w:semiHidden/>
    <w:rsid w:val="009E10A5"/>
    <w:rPr>
      <w:rFonts w:ascii="Times New Roman" w:hAnsi="Times New Roman" w:cs="Times New Roman"/>
      <w:kern w:val="0"/>
      <w:sz w:val="24"/>
    </w:rPr>
  </w:style>
  <w:style w:type="character" w:styleId="af7">
    <w:name w:val="page number"/>
    <w:basedOn w:val="a0"/>
    <w:uiPriority w:val="99"/>
    <w:semiHidden/>
    <w:unhideWhenUsed/>
    <w:rsid w:val="009E10A5"/>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3" Type="http://schemas.openxmlformats.org/officeDocument/2006/relationships/settings" Target="settings.xml"/><Relationship Id="rId7" Type="http://schemas.openxmlformats.org/officeDocument/2006/relationships/image" Target="media/image3.jpeg"/><Relationship Id="rId12" Type="http://schemas.openxmlformats.org/officeDocument/2006/relationships/theme" Target="theme/theme1.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image" Target="media/image2.jpeg"/><Relationship Id="rId11" Type="http://schemas.openxmlformats.org/officeDocument/2006/relationships/fontTable" Target="fontTable.xml"/><Relationship Id="rId5" Type="http://schemas.openxmlformats.org/officeDocument/2006/relationships/image" Target="media/image1.jpeg"/><Relationship Id="rId10" Type="http://schemas.openxmlformats.org/officeDocument/2006/relationships/footer" Target="footer2.xml"/><Relationship Id="rId4" Type="http://schemas.openxmlformats.org/officeDocument/2006/relationships/webSettings" Target="webSettings.xml"/><Relationship Id="rId9" Type="http://schemas.openxmlformats.org/officeDocument/2006/relationships/footer" Target="footer1.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等线"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TotalTime>
  <Pages>28</Pages>
  <Words>6704</Words>
  <Characters>38216</Characters>
  <Application>Microsoft Office Word</Application>
  <DocSecurity>0</DocSecurity>
  <Lines>318</Lines>
  <Paragraphs>89</Paragraphs>
  <ScaleCrop>false</ScaleCrop>
  <Company/>
  <LinksUpToDate>false</LinksUpToDate>
  <CharactersWithSpaces>44831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Feixiang WU</dc:creator>
  <cp:keywords/>
  <dc:description/>
  <cp:lastModifiedBy>Feixiang WU</cp:lastModifiedBy>
  <cp:revision>2</cp:revision>
  <dcterms:created xsi:type="dcterms:W3CDTF">2023-01-06T12:33:00Z</dcterms:created>
  <dcterms:modified xsi:type="dcterms:W3CDTF">2023-01-06T12:35:00Z</dcterms:modified>
</cp:coreProperties>
</file>