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586F" w14:textId="07EF95E2" w:rsidR="00ED4047" w:rsidRPr="00ED4047" w:rsidRDefault="00ED4047" w:rsidP="00ED4047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047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14:paraId="2FDA218B" w14:textId="65AE1ECC" w:rsidR="000B50FB" w:rsidRDefault="000B50FB" w:rsidP="00ED4047">
      <w:pPr>
        <w:spacing w:before="120"/>
        <w:jc w:val="center"/>
        <w:rPr>
          <w:rFonts w:ascii="Times New Roman" w:hAnsi="Times New Roman" w:cs="Times New Roman"/>
          <w:b/>
        </w:rPr>
      </w:pPr>
      <w:r w:rsidRPr="002B1D5D">
        <w:rPr>
          <w:rFonts w:ascii="Times New Roman" w:hAnsi="Times New Roman" w:cs="Times New Roman"/>
          <w:noProof/>
        </w:rPr>
        <w:drawing>
          <wp:inline distT="0" distB="0" distL="0" distR="0" wp14:anchorId="3328E6DD" wp14:editId="11668C56">
            <wp:extent cx="4300220" cy="5443855"/>
            <wp:effectExtent l="0" t="0" r="508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220" cy="544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60798" w14:textId="08CD7B70" w:rsidR="000B50FB" w:rsidRPr="000B50FB" w:rsidRDefault="000B50FB" w:rsidP="00197BBA">
      <w:pPr>
        <w:spacing w:before="1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B1D5D">
        <w:rPr>
          <w:rFonts w:ascii="Times New Roman" w:hAnsi="Times New Roman" w:cs="Times New Roman"/>
          <w:b/>
        </w:rPr>
        <w:t>Fig.S1. The t-SNE and agglomer</w:t>
      </w:r>
      <w:r w:rsidRPr="008B54FB">
        <w:rPr>
          <w:rFonts w:ascii="Times New Roman" w:hAnsi="Times New Roman" w:cs="Times New Roman"/>
          <w:b/>
        </w:rPr>
        <w:t>ative hierarchical clustering defined two depression neuroimaging subtypes. a</w:t>
      </w:r>
      <w:r w:rsidR="00D717CF">
        <w:rPr>
          <w:rFonts w:ascii="Times New Roman" w:hAnsi="Times New Roman" w:cs="Times New Roman"/>
          <w:b/>
        </w:rPr>
        <w:t>)</w:t>
      </w:r>
      <w:r w:rsidRPr="008B54FB">
        <w:rPr>
          <w:rFonts w:ascii="Times New Roman" w:hAnsi="Times New Roman" w:cs="Times New Roman"/>
          <w:bCs/>
        </w:rPr>
        <w:t xml:space="preserve"> Hierarchical clustering analysis. The height of each linkage in the dendrogram represents the distance between the clusters joined by that link.</w:t>
      </w:r>
      <w:r w:rsidRPr="008B54FB">
        <w:rPr>
          <w:rFonts w:ascii="Times New Roman" w:hAnsi="Times New Roman" w:cs="Times New Roman"/>
        </w:rPr>
        <w:t xml:space="preserve"> </w:t>
      </w:r>
      <w:r w:rsidR="00D717CF">
        <w:rPr>
          <w:rFonts w:ascii="Times New Roman" w:hAnsi="Times New Roman" w:cs="Times New Roman"/>
          <w:b/>
        </w:rPr>
        <w:t>b)</w:t>
      </w:r>
      <w:r w:rsidRPr="008B54FB">
        <w:rPr>
          <w:rFonts w:ascii="Times New Roman" w:hAnsi="Times New Roman" w:cs="Times New Roman"/>
          <w:b/>
        </w:rPr>
        <w:t xml:space="preserve"> </w:t>
      </w:r>
      <w:r w:rsidRPr="008B54FB">
        <w:rPr>
          <w:rFonts w:ascii="Times New Roman" w:hAnsi="Times New Roman" w:cs="Times New Roman"/>
          <w:bCs/>
        </w:rPr>
        <w:t>The consensus matrix for testing clustering stability based on the Consensus Clustering method; the clustering stability of both subtypes exceeded 0.83 and had good stability.</w:t>
      </w:r>
      <w:r w:rsidRPr="008B54FB">
        <w:rPr>
          <w:rFonts w:ascii="Times New Roman" w:hAnsi="Times New Roman" w:cs="Times New Roman"/>
        </w:rPr>
        <w:t xml:space="preserve"> </w:t>
      </w:r>
      <w:r w:rsidRPr="008B54FB">
        <w:rPr>
          <w:rFonts w:ascii="Times New Roman" w:hAnsi="Times New Roman" w:cs="Times New Roman"/>
          <w:b/>
        </w:rPr>
        <w:t>c-d</w:t>
      </w:r>
      <w:r w:rsidR="00D717CF">
        <w:rPr>
          <w:rFonts w:ascii="Times New Roman" w:hAnsi="Times New Roman" w:cs="Times New Roman"/>
          <w:b/>
        </w:rPr>
        <w:t>)</w:t>
      </w:r>
      <w:r w:rsidRPr="008B54FB">
        <w:rPr>
          <w:rFonts w:ascii="Times New Roman" w:hAnsi="Times New Roman" w:cs="Times New Roman"/>
        </w:rPr>
        <w:t xml:space="preserve"> </w:t>
      </w:r>
      <w:r w:rsidRPr="008B54FB">
        <w:rPr>
          <w:rFonts w:ascii="Times New Roman" w:hAnsi="Times New Roman" w:cs="Times New Roman"/>
          <w:bCs/>
        </w:rPr>
        <w:t>the classification performance of classifiers trained for distinguishing the two subtypes. ROC Curve</w:t>
      </w:r>
      <w:r w:rsidRPr="008B54FB">
        <w:rPr>
          <w:rFonts w:ascii="Times New Roman" w:hAnsi="Times New Roman" w:cs="Times New Roman"/>
          <w:b/>
        </w:rPr>
        <w:t xml:space="preserve"> </w:t>
      </w:r>
      <w:r w:rsidRPr="008B54FB">
        <w:rPr>
          <w:rFonts w:ascii="Times New Roman" w:hAnsi="Times New Roman" w:cs="Times New Roman"/>
          <w:bCs/>
        </w:rPr>
        <w:t xml:space="preserve">and confusion matrix demonstrates excellent discrimination between subtypes. </w:t>
      </w:r>
      <w:r w:rsidRPr="008B54FB">
        <w:rPr>
          <w:rFonts w:ascii="Times New Roman" w:hAnsi="Times New Roman" w:cs="Times New Roman"/>
          <w:b/>
        </w:rPr>
        <w:t xml:space="preserve">e, </w:t>
      </w:r>
      <w:proofErr w:type="gramStart"/>
      <w:r w:rsidRPr="008B54FB">
        <w:rPr>
          <w:rFonts w:ascii="Times New Roman" w:hAnsi="Times New Roman" w:cs="Times New Roman"/>
          <w:bCs/>
        </w:rPr>
        <w:t>The</w:t>
      </w:r>
      <w:proofErr w:type="gramEnd"/>
      <w:r w:rsidRPr="008B54FB">
        <w:rPr>
          <w:rFonts w:ascii="Times New Roman" w:hAnsi="Times New Roman" w:cs="Times New Roman"/>
          <w:bCs/>
        </w:rPr>
        <w:t xml:space="preserve"> permutation testing to be statistically significant at P &lt; 0.002 indicated classification model achieved great reliability.</w:t>
      </w:r>
      <w:r w:rsidRPr="008B54F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8B54FB">
        <w:rPr>
          <w:rFonts w:ascii="Times New Roman" w:hAnsi="Times New Roman" w:cs="Times New Roman"/>
          <w:b/>
        </w:rPr>
        <w:t>f-k</w:t>
      </w:r>
      <w:r w:rsidR="00D717CF">
        <w:rPr>
          <w:rFonts w:ascii="Times New Roman" w:hAnsi="Times New Roman" w:cs="Times New Roman"/>
          <w:b/>
        </w:rPr>
        <w:t>)</w:t>
      </w:r>
      <w:r w:rsidRPr="008B54FB">
        <w:rPr>
          <w:rFonts w:ascii="Times New Roman" w:hAnsi="Times New Roman" w:cs="Times New Roman"/>
          <w:bCs/>
        </w:rPr>
        <w:t xml:space="preserve"> the classification performance of classifiers trained for distinguishing each subtype and all depression samples from</w:t>
      </w:r>
      <w:r w:rsidRPr="002B1D5D">
        <w:rPr>
          <w:rFonts w:ascii="Times New Roman" w:hAnsi="Times New Roman" w:cs="Times New Roman"/>
          <w:bCs/>
        </w:rPr>
        <w:t xml:space="preserve"> HC.</w:t>
      </w:r>
      <w:r w:rsidRPr="002B1D5D">
        <w:rPr>
          <w:rFonts w:ascii="Times New Roman" w:hAnsi="Times New Roman" w:cs="Times New Roman"/>
        </w:rPr>
        <w:t xml:space="preserve"> </w:t>
      </w:r>
      <w:r w:rsidRPr="002B1D5D">
        <w:rPr>
          <w:rFonts w:ascii="Times New Roman" w:hAnsi="Times New Roman" w:cs="Times New Roman"/>
          <w:bCs/>
        </w:rPr>
        <w:t xml:space="preserve">Both subtypes achieved higher AUC than all depression and demonstrated superior diagnostic performance </w:t>
      </w:r>
      <w:r w:rsidRPr="002B1D5D">
        <w:rPr>
          <w:rFonts w:ascii="Times New Roman" w:hAnsi="Times New Roman" w:cs="Times New Roman"/>
          <w:b/>
        </w:rPr>
        <w:t xml:space="preserve">(f, </w:t>
      </w:r>
      <w:proofErr w:type="spellStart"/>
      <w:r w:rsidRPr="002B1D5D">
        <w:rPr>
          <w:rFonts w:ascii="Times New Roman" w:hAnsi="Times New Roman" w:cs="Times New Roman"/>
          <w:b/>
        </w:rPr>
        <w:t>i</w:t>
      </w:r>
      <w:proofErr w:type="spellEnd"/>
      <w:r w:rsidRPr="002B1D5D">
        <w:rPr>
          <w:rFonts w:ascii="Times New Roman" w:hAnsi="Times New Roman" w:cs="Times New Roman"/>
          <w:b/>
        </w:rPr>
        <w:t>)</w:t>
      </w:r>
      <w:r w:rsidRPr="002B1D5D">
        <w:rPr>
          <w:rFonts w:ascii="Times New Roman" w:hAnsi="Times New Roman" w:cs="Times New Roman"/>
          <w:bCs/>
        </w:rPr>
        <w:t xml:space="preserve">. The permutation </w:t>
      </w:r>
      <w:r w:rsidRPr="002B1D5D">
        <w:rPr>
          <w:rFonts w:ascii="Times New Roman" w:hAnsi="Times New Roman" w:cs="Times New Roman"/>
          <w:bCs/>
        </w:rPr>
        <w:lastRenderedPageBreak/>
        <w:t xml:space="preserve">testing to be statistically significant at P &lt; 0.002 indicated subtypes achieved great reliability </w:t>
      </w:r>
      <w:r w:rsidRPr="002B1D5D">
        <w:rPr>
          <w:rFonts w:ascii="Times New Roman" w:hAnsi="Times New Roman" w:cs="Times New Roman"/>
          <w:b/>
        </w:rPr>
        <w:t>(h, k)</w:t>
      </w:r>
      <w:r w:rsidRPr="002B1D5D">
        <w:rPr>
          <w:rFonts w:ascii="Times New Roman" w:hAnsi="Times New Roman" w:cs="Times New Roman"/>
          <w:bCs/>
        </w:rPr>
        <w:t>.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t-SEN, t-distributed Stochastic Neighbor Embedding; ALFF, amplitude of low-frequency fluctuation;</w:t>
      </w:r>
      <w:r w:rsidRPr="002B1D5D">
        <w:rPr>
          <w:rFonts w:ascii="Times New Roman" w:hAnsi="Times New Roman" w:cs="Times New Roman"/>
          <w:bCs/>
        </w:rPr>
        <w:t xml:space="preserve"> WHU, the Renmin Hospital of Wuhan University dataset; HC, health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>y control; ROC, receiver operating characteristic; AUC, area under the curve.</w:t>
      </w:r>
    </w:p>
    <w:p w14:paraId="311E5BAD" w14:textId="28FBA36E" w:rsidR="000B50FB" w:rsidRPr="002B1D5D" w:rsidRDefault="000B50FB" w:rsidP="000B50FB">
      <w:pPr>
        <w:rPr>
          <w:rFonts w:ascii="Times New Roman" w:hAnsi="Times New Roman" w:cs="Times New Roman"/>
          <w:b/>
        </w:rPr>
      </w:pPr>
      <w:r w:rsidRPr="002B1D5D">
        <w:rPr>
          <w:rFonts w:ascii="Times New Roman" w:hAnsi="Times New Roman" w:cs="Times New Roman"/>
          <w:b/>
        </w:rPr>
        <w:br w:type="page"/>
      </w:r>
    </w:p>
    <w:p w14:paraId="74AFBFF4" w14:textId="58B96D07" w:rsidR="000B50FB" w:rsidRDefault="000B50FB" w:rsidP="00ED4047">
      <w:pPr>
        <w:spacing w:before="120"/>
        <w:jc w:val="center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4348EA9" wp14:editId="2F51BAD8">
            <wp:extent cx="5582760" cy="22161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0" t="6319" r="29208" b="45498"/>
                    <a:stretch/>
                  </pic:blipFill>
                  <pic:spPr bwMode="auto">
                    <a:xfrm>
                      <a:off x="0" y="0"/>
                      <a:ext cx="5590488" cy="221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989CFA" w14:textId="65CB1130" w:rsidR="000B50FB" w:rsidRPr="002B1D5D" w:rsidRDefault="000B50FB" w:rsidP="00197BBA">
      <w:pPr>
        <w:spacing w:before="120"/>
        <w:jc w:val="both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b/>
        </w:rPr>
        <w:t>Fig.S2. The structure of 3D Residual Networks to evaluate the classification performance.</w:t>
      </w:r>
    </w:p>
    <w:p w14:paraId="1563F81E" w14:textId="77777777" w:rsidR="000B50FB" w:rsidRPr="002B1D5D" w:rsidRDefault="000B50FB" w:rsidP="000B50FB">
      <w:pPr>
        <w:rPr>
          <w:rFonts w:ascii="Times New Roman" w:hAnsi="Times New Roman" w:cs="Times New Roman"/>
          <w:b/>
        </w:rPr>
      </w:pPr>
      <w:r w:rsidRPr="002B1D5D">
        <w:rPr>
          <w:rFonts w:ascii="Times New Roman" w:hAnsi="Times New Roman" w:cs="Times New Roman"/>
          <w:b/>
        </w:rPr>
        <w:br w:type="page"/>
      </w:r>
    </w:p>
    <w:p w14:paraId="202B0D3D" w14:textId="77777777" w:rsidR="000B50FB" w:rsidRPr="002B1D5D" w:rsidRDefault="000B50FB" w:rsidP="00ED4047">
      <w:pPr>
        <w:spacing w:before="120"/>
        <w:jc w:val="center"/>
        <w:rPr>
          <w:rFonts w:ascii="Times New Roman" w:hAnsi="Times New Roman" w:cs="Times New Roman"/>
          <w:bCs/>
        </w:rPr>
      </w:pPr>
      <w:r w:rsidRPr="002B1D5D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6D79B4F3" wp14:editId="711FCF3A">
            <wp:extent cx="5274310" cy="245300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9A61" w14:textId="336DEDD5" w:rsidR="000B50FB" w:rsidRPr="000B50FB" w:rsidRDefault="000B50FB" w:rsidP="00197BBA">
      <w:pPr>
        <w:spacing w:before="120"/>
        <w:jc w:val="both"/>
        <w:rPr>
          <w:rFonts w:ascii="Times New Roman" w:hAnsi="Times New Roman" w:cs="Times New Roman"/>
          <w:bCs/>
        </w:rPr>
      </w:pPr>
      <w:r w:rsidRPr="002B1D5D">
        <w:rPr>
          <w:rFonts w:ascii="Times New Roman" w:hAnsi="Times New Roman" w:cs="Times New Roman"/>
          <w:b/>
        </w:rPr>
        <w:t xml:space="preserve">Fig.S3. Both P11 KO and </w:t>
      </w:r>
      <w:proofErr w:type="gramStart"/>
      <w:r w:rsidRPr="002B1D5D">
        <w:rPr>
          <w:rFonts w:ascii="Times New Roman" w:hAnsi="Times New Roman" w:cs="Times New Roman"/>
          <w:b/>
        </w:rPr>
        <w:t>CUMS</w:t>
      </w:r>
      <w:proofErr w:type="gramEnd"/>
      <w:r w:rsidRPr="002B1D5D">
        <w:rPr>
          <w:rFonts w:ascii="Times New Roman" w:hAnsi="Times New Roman" w:cs="Times New Roman"/>
          <w:b/>
        </w:rPr>
        <w:t xml:space="preserve"> showed anhedonia symptoms.</w:t>
      </w:r>
      <w:r w:rsidRPr="002B1D5D">
        <w:rPr>
          <w:rFonts w:ascii="Times New Roman" w:hAnsi="Times New Roman" w:cs="Times New Roman"/>
          <w:bCs/>
        </w:rPr>
        <w:t xml:space="preserve"> The depression-like behaviors in animal models were assessed using SPT, FST </w:t>
      </w:r>
      <w:r w:rsidRPr="008B54FB">
        <w:rPr>
          <w:rFonts w:ascii="Times New Roman" w:hAnsi="Times New Roman" w:cs="Times New Roman"/>
          <w:bCs/>
        </w:rPr>
        <w:t xml:space="preserve">and OFT. </w:t>
      </w:r>
      <w:r w:rsidRPr="008B54FB">
        <w:rPr>
          <w:rFonts w:ascii="Times New Roman" w:hAnsi="Times New Roman" w:cs="Times New Roman"/>
          <w:b/>
        </w:rPr>
        <w:t>a-d</w:t>
      </w:r>
      <w:r w:rsidR="00197BBA">
        <w:rPr>
          <w:rFonts w:ascii="Times New Roman" w:hAnsi="Times New Roman" w:cs="Times New Roman"/>
          <w:b/>
        </w:rPr>
        <w:t>)</w:t>
      </w:r>
      <w:r w:rsidRPr="008B54FB">
        <w:rPr>
          <w:rFonts w:ascii="Times New Roman" w:hAnsi="Times New Roman" w:cs="Times New Roman"/>
          <w:b/>
        </w:rPr>
        <w:t xml:space="preserve"> </w:t>
      </w:r>
      <w:r w:rsidRPr="008B54FB">
        <w:rPr>
          <w:rFonts w:ascii="Times New Roman" w:hAnsi="Times New Roman" w:cs="Times New Roman"/>
          <w:bCs/>
        </w:rPr>
        <w:t xml:space="preserve">Behavioral differences between P11 KO and wild-type mice. P11 KO mice had significantly reduced consumption of sucrose compared to wild-type mice </w:t>
      </w:r>
      <w:r w:rsidRPr="008B54FB">
        <w:rPr>
          <w:rFonts w:ascii="Times New Roman" w:hAnsi="Times New Roman" w:cs="Times New Roman"/>
          <w:b/>
        </w:rPr>
        <w:t>(a)</w:t>
      </w:r>
      <w:r w:rsidRPr="008B54FB">
        <w:rPr>
          <w:rFonts w:ascii="Times New Roman" w:hAnsi="Times New Roman" w:cs="Times New Roman"/>
          <w:bCs/>
        </w:rPr>
        <w:t xml:space="preserve">. No significant differences in immobility were observed between P11 KO and wild-type mice in FST </w:t>
      </w:r>
      <w:r w:rsidRPr="008B54FB">
        <w:rPr>
          <w:rFonts w:ascii="Times New Roman" w:hAnsi="Times New Roman" w:cs="Times New Roman"/>
          <w:b/>
        </w:rPr>
        <w:t>(b)</w:t>
      </w:r>
      <w:r w:rsidRPr="008B54FB">
        <w:rPr>
          <w:rFonts w:ascii="Times New Roman" w:hAnsi="Times New Roman" w:cs="Times New Roman"/>
          <w:bCs/>
        </w:rPr>
        <w:t xml:space="preserve">. In OFT, P11 KO mice exhibited a general increase in distance traveled compared to wild-type mice </w:t>
      </w:r>
      <w:r w:rsidRPr="008B54FB">
        <w:rPr>
          <w:rFonts w:ascii="Times New Roman" w:hAnsi="Times New Roman" w:cs="Times New Roman"/>
          <w:b/>
        </w:rPr>
        <w:t>(c)</w:t>
      </w:r>
      <w:r w:rsidRPr="008B54FB">
        <w:rPr>
          <w:rFonts w:ascii="Times New Roman" w:hAnsi="Times New Roman" w:cs="Times New Roman"/>
          <w:bCs/>
        </w:rPr>
        <w:t xml:space="preserve"> and spent more time in the central area of the apparatus </w:t>
      </w:r>
      <w:r w:rsidRPr="008B54FB">
        <w:rPr>
          <w:rFonts w:ascii="Times New Roman" w:hAnsi="Times New Roman" w:cs="Times New Roman"/>
          <w:b/>
        </w:rPr>
        <w:t>(d)</w:t>
      </w:r>
      <w:r w:rsidRPr="008B54FB">
        <w:rPr>
          <w:rFonts w:ascii="Times New Roman" w:hAnsi="Times New Roman" w:cs="Times New Roman"/>
          <w:bCs/>
        </w:rPr>
        <w:t xml:space="preserve">. </w:t>
      </w:r>
      <w:r w:rsidRPr="008B54FB">
        <w:rPr>
          <w:rFonts w:ascii="Times New Roman" w:hAnsi="Times New Roman" w:cs="Times New Roman"/>
          <w:b/>
        </w:rPr>
        <w:t>e-h</w:t>
      </w:r>
      <w:r w:rsidR="00197BBA">
        <w:rPr>
          <w:rFonts w:ascii="Times New Roman" w:hAnsi="Times New Roman" w:cs="Times New Roman"/>
          <w:b/>
        </w:rPr>
        <w:t>)</w:t>
      </w:r>
      <w:r w:rsidRPr="008B54FB">
        <w:rPr>
          <w:rFonts w:ascii="Times New Roman" w:hAnsi="Times New Roman" w:cs="Times New Roman"/>
          <w:b/>
        </w:rPr>
        <w:t xml:space="preserve"> </w:t>
      </w:r>
      <w:r w:rsidRPr="008B54FB">
        <w:rPr>
          <w:rFonts w:ascii="Times New Roman" w:hAnsi="Times New Roman" w:cs="Times New Roman"/>
          <w:bCs/>
        </w:rPr>
        <w:t xml:space="preserve">Behavioral differences between </w:t>
      </w:r>
      <w:proofErr w:type="gramStart"/>
      <w:r w:rsidRPr="008B54FB">
        <w:rPr>
          <w:rFonts w:ascii="Times New Roman" w:hAnsi="Times New Roman" w:cs="Times New Roman"/>
          <w:bCs/>
        </w:rPr>
        <w:t>CUMS</w:t>
      </w:r>
      <w:proofErr w:type="gramEnd"/>
      <w:r w:rsidRPr="008B54FB">
        <w:rPr>
          <w:rFonts w:ascii="Times New Roman" w:hAnsi="Times New Roman" w:cs="Times New Roman"/>
          <w:bCs/>
        </w:rPr>
        <w:t xml:space="preserve"> and control group.</w:t>
      </w:r>
      <w:r w:rsidRPr="008B54FB">
        <w:rPr>
          <w:rFonts w:ascii="Times New Roman" w:hAnsi="Times New Roman" w:cs="Times New Roman"/>
        </w:rPr>
        <w:t xml:space="preserve"> </w:t>
      </w:r>
      <w:r w:rsidRPr="008B54FB">
        <w:rPr>
          <w:rFonts w:ascii="Times New Roman" w:hAnsi="Times New Roman" w:cs="Times New Roman"/>
          <w:bCs/>
        </w:rPr>
        <w:t xml:space="preserve">In SPT, </w:t>
      </w:r>
      <w:proofErr w:type="gramStart"/>
      <w:r w:rsidRPr="008B54FB">
        <w:rPr>
          <w:rFonts w:ascii="Times New Roman" w:hAnsi="Times New Roman" w:cs="Times New Roman"/>
          <w:bCs/>
        </w:rPr>
        <w:t>CUMS</w:t>
      </w:r>
      <w:proofErr w:type="gramEnd"/>
      <w:r w:rsidRPr="008B54FB">
        <w:rPr>
          <w:rFonts w:ascii="Times New Roman" w:hAnsi="Times New Roman" w:cs="Times New Roman"/>
          <w:bCs/>
        </w:rPr>
        <w:t xml:space="preserve"> exhibited a generally reduced consumption of sucrose compared</w:t>
      </w:r>
      <w:r w:rsidRPr="002B1D5D">
        <w:rPr>
          <w:rFonts w:ascii="Times New Roman" w:hAnsi="Times New Roman" w:cs="Times New Roman"/>
          <w:bCs/>
        </w:rPr>
        <w:t xml:space="preserve"> to the control group </w:t>
      </w:r>
      <w:r w:rsidRPr="002B1D5D">
        <w:rPr>
          <w:rFonts w:ascii="Times New Roman" w:hAnsi="Times New Roman" w:cs="Times New Roman"/>
          <w:b/>
        </w:rPr>
        <w:t>(e)</w:t>
      </w:r>
      <w:r w:rsidRPr="002B1D5D">
        <w:rPr>
          <w:rFonts w:ascii="Times New Roman" w:hAnsi="Times New Roman" w:cs="Times New Roman"/>
          <w:bCs/>
        </w:rPr>
        <w:t xml:space="preserve">. </w:t>
      </w:r>
      <w:proofErr w:type="gramStart"/>
      <w:r w:rsidRPr="002B1D5D">
        <w:rPr>
          <w:rFonts w:ascii="Times New Roman" w:hAnsi="Times New Roman" w:cs="Times New Roman"/>
          <w:bCs/>
        </w:rPr>
        <w:t>CUMS</w:t>
      </w:r>
      <w:proofErr w:type="gramEnd"/>
      <w:r w:rsidRPr="002B1D5D">
        <w:rPr>
          <w:rFonts w:ascii="Times New Roman" w:hAnsi="Times New Roman" w:cs="Times New Roman"/>
          <w:bCs/>
        </w:rPr>
        <w:t xml:space="preserve"> group spent less time on immobility </w:t>
      </w:r>
      <w:r w:rsidRPr="002B1D5D">
        <w:rPr>
          <w:rFonts w:ascii="Times New Roman" w:hAnsi="Times New Roman" w:cs="Times New Roman"/>
          <w:b/>
        </w:rPr>
        <w:t xml:space="preserve">(f) </w:t>
      </w:r>
      <w:r w:rsidRPr="002B1D5D">
        <w:rPr>
          <w:rFonts w:ascii="Times New Roman" w:hAnsi="Times New Roman" w:cs="Times New Roman"/>
          <w:bCs/>
        </w:rPr>
        <w:t xml:space="preserve">compared to the control group in FST. No significant differences in locomotor activity and anxiety were observed between the control and </w:t>
      </w:r>
      <w:proofErr w:type="gramStart"/>
      <w:r w:rsidRPr="002B1D5D">
        <w:rPr>
          <w:rFonts w:ascii="Times New Roman" w:hAnsi="Times New Roman" w:cs="Times New Roman"/>
          <w:bCs/>
        </w:rPr>
        <w:t>CUMS</w:t>
      </w:r>
      <w:proofErr w:type="gramEnd"/>
      <w:r w:rsidRPr="002B1D5D">
        <w:rPr>
          <w:rFonts w:ascii="Times New Roman" w:hAnsi="Times New Roman" w:cs="Times New Roman"/>
          <w:bCs/>
        </w:rPr>
        <w:t xml:space="preserve"> groups in OFT </w:t>
      </w:r>
      <w:r w:rsidRPr="002B1D5D">
        <w:rPr>
          <w:rFonts w:ascii="Times New Roman" w:hAnsi="Times New Roman" w:cs="Times New Roman"/>
          <w:b/>
        </w:rPr>
        <w:t>(g, h)</w:t>
      </w:r>
      <w:r w:rsidRPr="002B1D5D">
        <w:rPr>
          <w:rFonts w:ascii="Times New Roman" w:hAnsi="Times New Roman" w:cs="Times New Roman"/>
          <w:bCs/>
        </w:rPr>
        <w:t>.</w:t>
      </w:r>
      <w:r w:rsidRPr="002B1D5D">
        <w:rPr>
          <w:rFonts w:ascii="Times New Roman" w:hAnsi="Times New Roman" w:cs="Times New Roman"/>
          <w:b/>
        </w:rPr>
        <w:t xml:space="preserve"> </w:t>
      </w:r>
      <w:r w:rsidRPr="002B1D5D">
        <w:rPr>
          <w:rFonts w:ascii="Times New Roman" w:hAnsi="Times New Roman" w:cs="Times New Roman"/>
          <w:bCs/>
        </w:rPr>
        <w:t xml:space="preserve">Data were presented as mean± standard errors of the means. The significance level was set to </w:t>
      </w:r>
      <w:r w:rsidRPr="002B1D5D">
        <w:rPr>
          <w:rFonts w:ascii="Times New Roman" w:hAnsi="Times New Roman" w:cs="Times New Roman"/>
          <w:bCs/>
          <w:i/>
          <w:iCs/>
        </w:rPr>
        <w:t>P</w:t>
      </w:r>
      <w:r w:rsidRPr="002B1D5D">
        <w:rPr>
          <w:rFonts w:ascii="Times New Roman" w:hAnsi="Times New Roman" w:cs="Times New Roman"/>
          <w:bCs/>
        </w:rPr>
        <w:t xml:space="preserve"> &lt; 0.05. ***, </w:t>
      </w:r>
      <w:r w:rsidRPr="002B1D5D">
        <w:rPr>
          <w:rFonts w:ascii="Times New Roman" w:hAnsi="Times New Roman" w:cs="Times New Roman"/>
          <w:bCs/>
          <w:i/>
          <w:iCs/>
        </w:rPr>
        <w:t>P</w:t>
      </w:r>
      <w:r w:rsidRPr="002B1D5D">
        <w:rPr>
          <w:rFonts w:ascii="Times New Roman" w:hAnsi="Times New Roman" w:cs="Times New Roman"/>
          <w:bCs/>
        </w:rPr>
        <w:t xml:space="preserve"> &lt; 0.001. **, </w:t>
      </w:r>
      <w:r w:rsidRPr="002B1D5D">
        <w:rPr>
          <w:rFonts w:ascii="Times New Roman" w:hAnsi="Times New Roman" w:cs="Times New Roman"/>
          <w:bCs/>
          <w:i/>
          <w:iCs/>
        </w:rPr>
        <w:t>P</w:t>
      </w:r>
      <w:r w:rsidRPr="002B1D5D">
        <w:rPr>
          <w:rFonts w:ascii="Times New Roman" w:hAnsi="Times New Roman" w:cs="Times New Roman"/>
          <w:bCs/>
        </w:rPr>
        <w:t xml:space="preserve"> &lt; 0.01. *, </w:t>
      </w:r>
      <w:r w:rsidRPr="002B1D5D">
        <w:rPr>
          <w:rFonts w:ascii="Times New Roman" w:hAnsi="Times New Roman" w:cs="Times New Roman"/>
          <w:bCs/>
          <w:i/>
          <w:iCs/>
        </w:rPr>
        <w:t>P</w:t>
      </w:r>
      <w:r w:rsidRPr="002B1D5D">
        <w:rPr>
          <w:rFonts w:ascii="Times New Roman" w:hAnsi="Times New Roman" w:cs="Times New Roman"/>
          <w:bCs/>
        </w:rPr>
        <w:t xml:space="preserve"> &lt; 0.05. SPT, sucrose preference test; FST, forced swimming test; OFT, open field test; 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P11 KO, P11 knockout; </w:t>
      </w:r>
      <w:proofErr w:type="gramStart"/>
      <w:r w:rsidRPr="002B1D5D">
        <w:rPr>
          <w:rFonts w:ascii="Times New Roman" w:hAnsi="Times New Roman" w:cs="Times New Roman"/>
          <w:color w:val="000000"/>
          <w:shd w:val="clear" w:color="auto" w:fill="FFFFFF"/>
        </w:rPr>
        <w:t>CUMS</w:t>
      </w:r>
      <w:proofErr w:type="gramEnd"/>
      <w:r w:rsidRPr="002B1D5D">
        <w:rPr>
          <w:rFonts w:ascii="Times New Roman" w:hAnsi="Times New Roman" w:cs="Times New Roman"/>
          <w:color w:val="000000"/>
          <w:shd w:val="clear" w:color="auto" w:fill="FFFFFF"/>
        </w:rPr>
        <w:t>, chronic unpredicted mild stress</w:t>
      </w:r>
      <w:r w:rsidRPr="002B1D5D">
        <w:rPr>
          <w:rFonts w:ascii="Times New Roman" w:hAnsi="Times New Roman" w:cs="Times New Roman"/>
          <w:bCs/>
        </w:rPr>
        <w:t>; m, meter; sec, second.</w:t>
      </w:r>
    </w:p>
    <w:p w14:paraId="6EDA3E12" w14:textId="77777777" w:rsidR="000B50FB" w:rsidRPr="002B1D5D" w:rsidRDefault="000B50FB" w:rsidP="000B50FB">
      <w:pPr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</w:rPr>
        <w:br w:type="page"/>
      </w:r>
    </w:p>
    <w:p w14:paraId="34D859CE" w14:textId="77777777" w:rsidR="000B50FB" w:rsidRPr="002B1D5D" w:rsidRDefault="000B50FB" w:rsidP="008E260F">
      <w:pPr>
        <w:spacing w:before="120"/>
        <w:jc w:val="both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b/>
          <w:bCs/>
        </w:rPr>
        <w:lastRenderedPageBreak/>
        <w:t>Table S1. Demographic and clinical characteristics of the participant in the WHU dataset.</w:t>
      </w:r>
    </w:p>
    <w:p w14:paraId="6AF9FA1E" w14:textId="77777777" w:rsidR="000B50FB" w:rsidRPr="002B1D5D" w:rsidRDefault="000B50FB" w:rsidP="008E260F">
      <w:pPr>
        <w:adjustRightInd w:val="0"/>
        <w:snapToGrid w:val="0"/>
        <w:spacing w:before="12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Data are presented as n (%) or mean ± standard deviation. WHU, the dataset collected at the Renmin Hospital of Wuhan University; HC, Healthy Control; HAMD-17, 17-item Hamilton Depression Rating Scale; SHAPS, The Snaith-Hamilton Pleasure Scale; </w:t>
      </w:r>
      <w:r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F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(</w:t>
      </w:r>
      <w:proofErr w:type="spellStart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dfn</w:t>
      </w:r>
      <w:proofErr w:type="spellEnd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 xml:space="preserve">, </w:t>
      </w:r>
      <w:proofErr w:type="spellStart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dfd</w:t>
      </w:r>
      <w:proofErr w:type="spellEnd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)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, one-way ANOVA and degrees of freedom numerator and degrees of freedom denominator; N.A., not available. *Significant at </w:t>
      </w:r>
      <w:r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&lt; 0.05 corrected.</w:t>
      </w:r>
    </w:p>
    <w:tbl>
      <w:tblPr>
        <w:tblpPr w:leftFromText="180" w:rightFromText="180" w:vertAnchor="page" w:horzAnchor="margin" w:tblpX="-568" w:tblpY="3615"/>
        <w:tblW w:w="1006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431"/>
        <w:gridCol w:w="1404"/>
        <w:gridCol w:w="1418"/>
        <w:gridCol w:w="1700"/>
        <w:gridCol w:w="1134"/>
      </w:tblGrid>
      <w:tr w:rsidR="00AB4DB9" w:rsidRPr="002B1D5D" w14:paraId="1D8B4DD1" w14:textId="77777777" w:rsidTr="00C87C01">
        <w:trPr>
          <w:cantSplit/>
          <w:trHeight w:val="699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9D4A7" w14:textId="77777777" w:rsidR="00AB4DB9" w:rsidRPr="002B1D5D" w:rsidRDefault="00AB4DB9" w:rsidP="00C87C0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Variable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8FCB09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HC</w:t>
            </w:r>
          </w:p>
          <w:p w14:paraId="246CE3E0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(n= 65)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EC66B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Archetypal (n= 128)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4BEB9A2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Atypical</w:t>
            </w:r>
          </w:p>
          <w:p w14:paraId="13E44FA0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(n= 97)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F6EF3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Statistical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E03CDB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2B1D5D">
              <w:rPr>
                <w:rFonts w:ascii="Times New Roman" w:hAnsi="Times New Roman" w:cs="Times New Roman"/>
                <w:color w:val="000000"/>
              </w:rPr>
              <w:t xml:space="preserve"> value</w:t>
            </w:r>
          </w:p>
        </w:tc>
      </w:tr>
      <w:tr w:rsidR="00AB4DB9" w:rsidRPr="002B1D5D" w14:paraId="47BC6560" w14:textId="77777777" w:rsidTr="00C87C01">
        <w:trPr>
          <w:cantSplit/>
          <w:trHeight w:val="147"/>
        </w:trPr>
        <w:tc>
          <w:tcPr>
            <w:tcW w:w="4409" w:type="dxa"/>
            <w:gridSpan w:val="2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0434FD82" w14:textId="77777777" w:rsidR="00AB4DB9" w:rsidRPr="002B1D5D" w:rsidRDefault="00AB4DB9" w:rsidP="00C87C0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Demographic characteristic</w:t>
            </w:r>
          </w:p>
        </w:tc>
        <w:tc>
          <w:tcPr>
            <w:tcW w:w="1404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FEE08A3" w14:textId="77777777" w:rsidR="00AB4DB9" w:rsidRPr="002B1D5D" w:rsidRDefault="00AB4DB9" w:rsidP="00C87C0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9CE600E" w14:textId="77777777" w:rsidR="00AB4DB9" w:rsidRPr="002B1D5D" w:rsidRDefault="00AB4DB9" w:rsidP="00C87C0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2D47E941" w14:textId="77777777" w:rsidR="00AB4DB9" w:rsidRPr="002B1D5D" w:rsidRDefault="00AB4DB9" w:rsidP="00C87C01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ACC393B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AB4DB9" w:rsidRPr="002B1D5D" w14:paraId="34381012" w14:textId="77777777" w:rsidTr="00C87C01">
        <w:trPr>
          <w:cantSplit/>
          <w:trHeight w:val="567"/>
        </w:trPr>
        <w:tc>
          <w:tcPr>
            <w:tcW w:w="2978" w:type="dxa"/>
            <w:tcBorders>
              <w:top w:val="nil"/>
            </w:tcBorders>
            <w:shd w:val="clear" w:color="auto" w:fill="auto"/>
            <w:vAlign w:val="center"/>
          </w:tcPr>
          <w:p w14:paraId="2189DEA8" w14:textId="77777777" w:rsidR="00AB4DB9" w:rsidRPr="002B1D5D" w:rsidRDefault="00AB4DB9" w:rsidP="00C87C01">
            <w:pPr>
              <w:adjustRightInd w:val="0"/>
              <w:snapToGrid w:val="0"/>
              <w:ind w:firstLineChars="100" w:firstLin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Age (years)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  <w:vAlign w:val="center"/>
          </w:tcPr>
          <w:p w14:paraId="412F9126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24.86±6.22</w:t>
            </w:r>
          </w:p>
        </w:tc>
        <w:tc>
          <w:tcPr>
            <w:tcW w:w="1404" w:type="dxa"/>
            <w:tcBorders>
              <w:top w:val="nil"/>
            </w:tcBorders>
            <w:shd w:val="clear" w:color="auto" w:fill="auto"/>
            <w:vAlign w:val="center"/>
          </w:tcPr>
          <w:p w14:paraId="58E02888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23.52±5.37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A7FDF6C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24.90±6.59</w:t>
            </w:r>
          </w:p>
        </w:tc>
        <w:tc>
          <w:tcPr>
            <w:tcW w:w="1700" w:type="dxa"/>
            <w:tcBorders>
              <w:top w:val="nil"/>
            </w:tcBorders>
            <w:shd w:val="clear" w:color="auto" w:fill="auto"/>
            <w:vAlign w:val="center"/>
          </w:tcPr>
          <w:p w14:paraId="06AAE8F0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(2,287)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1.86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65B6E33A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0.157</w:t>
            </w:r>
          </w:p>
        </w:tc>
      </w:tr>
      <w:tr w:rsidR="00AB4DB9" w:rsidRPr="002B1D5D" w14:paraId="1B31E6FD" w14:textId="77777777" w:rsidTr="00C87C01">
        <w:trPr>
          <w:cantSplit/>
          <w:trHeight w:val="567"/>
        </w:trPr>
        <w:tc>
          <w:tcPr>
            <w:tcW w:w="2978" w:type="dxa"/>
            <w:shd w:val="clear" w:color="auto" w:fill="auto"/>
            <w:vAlign w:val="center"/>
          </w:tcPr>
          <w:p w14:paraId="65CD60DF" w14:textId="77777777" w:rsidR="00AB4DB9" w:rsidRPr="002B1D5D" w:rsidRDefault="00AB4DB9" w:rsidP="00C87C01">
            <w:pPr>
              <w:adjustRightInd w:val="0"/>
              <w:snapToGrid w:val="0"/>
              <w:ind w:firstLineChars="100" w:firstLin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Gender (male/female)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130A3F27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13/52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B25837A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38/90</w:t>
            </w:r>
          </w:p>
        </w:tc>
        <w:tc>
          <w:tcPr>
            <w:tcW w:w="1418" w:type="dxa"/>
            <w:vAlign w:val="center"/>
          </w:tcPr>
          <w:p w14:paraId="39319DA9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28/69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F7A3B08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χ2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 xml:space="preserve"> = 2.24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76531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0.327</w:t>
            </w:r>
          </w:p>
        </w:tc>
      </w:tr>
      <w:tr w:rsidR="00AB4DB9" w:rsidRPr="002B1D5D" w14:paraId="11858E67" w14:textId="77777777" w:rsidTr="00C87C01">
        <w:trPr>
          <w:cantSplit/>
          <w:trHeight w:val="567"/>
        </w:trPr>
        <w:tc>
          <w:tcPr>
            <w:tcW w:w="2978" w:type="dxa"/>
            <w:shd w:val="clear" w:color="auto" w:fill="auto"/>
            <w:vAlign w:val="center"/>
          </w:tcPr>
          <w:p w14:paraId="647737BF" w14:textId="77777777" w:rsidR="00AB4DB9" w:rsidRPr="002B1D5D" w:rsidRDefault="00AB4DB9" w:rsidP="00C87C01">
            <w:pPr>
              <w:adjustRightInd w:val="0"/>
              <w:snapToGrid w:val="0"/>
              <w:ind w:firstLineChars="100" w:firstLin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Right handedness (yes/no)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CA2914C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63/2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3ACF491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126/2</w:t>
            </w:r>
          </w:p>
        </w:tc>
        <w:tc>
          <w:tcPr>
            <w:tcW w:w="1418" w:type="dxa"/>
            <w:vAlign w:val="center"/>
          </w:tcPr>
          <w:p w14:paraId="6D2F1DFD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96/1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39E5F68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χ2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2.92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BEF339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0.517</w:t>
            </w:r>
          </w:p>
        </w:tc>
      </w:tr>
      <w:tr w:rsidR="00AB4DB9" w:rsidRPr="002B1D5D" w14:paraId="3057C0C0" w14:textId="77777777" w:rsidTr="00C87C01">
        <w:trPr>
          <w:cantSplit/>
          <w:trHeight w:val="567"/>
        </w:trPr>
        <w:tc>
          <w:tcPr>
            <w:tcW w:w="2978" w:type="dxa"/>
            <w:shd w:val="clear" w:color="auto" w:fill="auto"/>
            <w:vAlign w:val="center"/>
          </w:tcPr>
          <w:p w14:paraId="4BB4BDD7" w14:textId="77777777" w:rsidR="00AB4DB9" w:rsidRPr="002B1D5D" w:rsidRDefault="00AB4DB9" w:rsidP="00C87C01">
            <w:pPr>
              <w:adjustRightInd w:val="0"/>
              <w:snapToGrid w:val="0"/>
              <w:ind w:firstLineChars="100" w:firstLin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Education (years)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FE3B253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15.12±2.85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D3D1676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14.92±2.08</w:t>
            </w:r>
          </w:p>
        </w:tc>
        <w:tc>
          <w:tcPr>
            <w:tcW w:w="1418" w:type="dxa"/>
            <w:vAlign w:val="center"/>
          </w:tcPr>
          <w:p w14:paraId="7B936D87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15.01±2.19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1DDCAE1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(2,287)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0.17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BCF6E1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0.847</w:t>
            </w:r>
          </w:p>
        </w:tc>
      </w:tr>
      <w:tr w:rsidR="00AB4DB9" w:rsidRPr="002B1D5D" w14:paraId="30D0539C" w14:textId="77777777" w:rsidTr="00C87C01">
        <w:trPr>
          <w:cantSplit/>
          <w:trHeight w:val="567"/>
        </w:trPr>
        <w:tc>
          <w:tcPr>
            <w:tcW w:w="2978" w:type="dxa"/>
            <w:shd w:val="clear" w:color="auto" w:fill="auto"/>
            <w:vAlign w:val="center"/>
          </w:tcPr>
          <w:p w14:paraId="318A4344" w14:textId="77777777" w:rsidR="00AB4DB9" w:rsidRPr="002B1D5D" w:rsidRDefault="00AB4DB9" w:rsidP="00C87C01">
            <w:pPr>
              <w:adjustRightInd w:val="0"/>
              <w:snapToGrid w:val="0"/>
              <w:ind w:firstLineChars="100" w:firstLin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First episode (yes/no)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2043666A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54BCBAC3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77/50</w:t>
            </w:r>
          </w:p>
        </w:tc>
        <w:tc>
          <w:tcPr>
            <w:tcW w:w="1418" w:type="dxa"/>
            <w:vAlign w:val="center"/>
          </w:tcPr>
          <w:p w14:paraId="6755A4E7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49/47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BA4187E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χ2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 xml:space="preserve"> = 2.03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4C8D2A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0.353</w:t>
            </w:r>
          </w:p>
        </w:tc>
      </w:tr>
      <w:tr w:rsidR="00AB4DB9" w:rsidRPr="002B1D5D" w14:paraId="2AB6D770" w14:textId="77777777" w:rsidTr="00C87C01">
        <w:trPr>
          <w:cantSplit/>
          <w:trHeight w:val="567"/>
        </w:trPr>
        <w:tc>
          <w:tcPr>
            <w:tcW w:w="2978" w:type="dxa"/>
            <w:shd w:val="clear" w:color="auto" w:fill="auto"/>
            <w:vAlign w:val="center"/>
          </w:tcPr>
          <w:p w14:paraId="432448DC" w14:textId="77777777" w:rsidR="00AB4DB9" w:rsidRPr="002B1D5D" w:rsidRDefault="00AB4DB9" w:rsidP="00C87C01">
            <w:pPr>
              <w:adjustRightInd w:val="0"/>
              <w:snapToGrid w:val="0"/>
              <w:ind w:firstLineChars="100" w:firstLin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HAMD-17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620BFACF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4.51±7.24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00A1BDB5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18.58±7.52</w:t>
            </w:r>
          </w:p>
        </w:tc>
        <w:tc>
          <w:tcPr>
            <w:tcW w:w="1418" w:type="dxa"/>
            <w:vAlign w:val="center"/>
          </w:tcPr>
          <w:p w14:paraId="57F76873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18.89±8.12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96ED740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(2,284)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84.36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447E87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&lt; 0.001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AB4DB9" w:rsidRPr="002B1D5D" w14:paraId="5CF1375F" w14:textId="77777777" w:rsidTr="00C87C01">
        <w:trPr>
          <w:cantSplit/>
          <w:trHeight w:val="567"/>
        </w:trPr>
        <w:tc>
          <w:tcPr>
            <w:tcW w:w="2978" w:type="dxa"/>
            <w:shd w:val="clear" w:color="auto" w:fill="auto"/>
            <w:vAlign w:val="center"/>
          </w:tcPr>
          <w:p w14:paraId="4373A7B9" w14:textId="77777777" w:rsidR="00AB4DB9" w:rsidRPr="002B1D5D" w:rsidRDefault="00AB4DB9" w:rsidP="00C87C01">
            <w:pPr>
              <w:adjustRightInd w:val="0"/>
              <w:snapToGrid w:val="0"/>
              <w:ind w:firstLineChars="100" w:firstLin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SHAPS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6F63B59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22.45±7.20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6F4FA8AF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32.61±6.54</w:t>
            </w:r>
          </w:p>
        </w:tc>
        <w:tc>
          <w:tcPr>
            <w:tcW w:w="1418" w:type="dxa"/>
            <w:vAlign w:val="center"/>
          </w:tcPr>
          <w:p w14:paraId="5E073C3B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32.70±8.02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69E8A9C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(2,284)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48.60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386116" w14:textId="77777777" w:rsidR="00AB4DB9" w:rsidRPr="002B1D5D" w:rsidRDefault="00AB4DB9" w:rsidP="00C87C0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&lt; 0.001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</w:tbl>
    <w:p w14:paraId="12FD3947" w14:textId="77777777" w:rsidR="000B50FB" w:rsidRPr="002B1D5D" w:rsidRDefault="000B50FB" w:rsidP="000B50FB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br w:type="page"/>
      </w:r>
    </w:p>
    <w:p w14:paraId="000C39EB" w14:textId="77777777" w:rsidR="000B50FB" w:rsidRPr="002B1D5D" w:rsidRDefault="000B50FB" w:rsidP="008E260F">
      <w:pPr>
        <w:spacing w:before="120"/>
        <w:jc w:val="both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b/>
          <w:bCs/>
        </w:rPr>
        <w:lastRenderedPageBreak/>
        <w:t>Table S2. Demographic and clinical characteristics of the participant in the PKU dataset.</w:t>
      </w:r>
    </w:p>
    <w:p w14:paraId="7016A444" w14:textId="77777777" w:rsidR="000B50FB" w:rsidRPr="002B1D5D" w:rsidRDefault="000B50FB" w:rsidP="008E260F">
      <w:pPr>
        <w:jc w:val="both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Data are presented as n (%) or mean ± standard deviation. PKU, the dataset collected at the Peking University Sixth Hospital; HC, Healthy Control; HAMD-17, 17-item Hamilton Depression Rating Scale; </w:t>
      </w:r>
      <w:r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F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(</w:t>
      </w:r>
      <w:proofErr w:type="spellStart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dfn</w:t>
      </w:r>
      <w:proofErr w:type="spellEnd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 xml:space="preserve">, </w:t>
      </w:r>
      <w:proofErr w:type="spellStart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dfd</w:t>
      </w:r>
      <w:proofErr w:type="spellEnd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)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, one-way ANOVA and degrees of freedom numerator and degrees of freedom denominator; </w:t>
      </w:r>
      <w:r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T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(</w:t>
      </w:r>
      <w:proofErr w:type="spellStart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df</w:t>
      </w:r>
      <w:proofErr w:type="spellEnd"/>
      <w:r w:rsidRPr="002B1D5D">
        <w:rPr>
          <w:rFonts w:ascii="Times New Roman" w:hAnsi="Times New Roman" w:cs="Times New Roman"/>
          <w:color w:val="000000"/>
          <w:shd w:val="clear" w:color="auto" w:fill="FFFFFF"/>
          <w:vertAlign w:val="subscript"/>
        </w:rPr>
        <w:t>)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, between-group t statistic and degrees of freedom; N.A., not available. *Significant at </w:t>
      </w:r>
      <w:r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&lt; 0.05 corrected.</w:t>
      </w:r>
    </w:p>
    <w:tbl>
      <w:tblPr>
        <w:tblpPr w:leftFromText="180" w:rightFromText="180" w:vertAnchor="page" w:horzAnchor="margin" w:tblpX="-709" w:tblpY="3751"/>
        <w:tblW w:w="1006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26"/>
        <w:gridCol w:w="1409"/>
        <w:gridCol w:w="1701"/>
        <w:gridCol w:w="1701"/>
        <w:gridCol w:w="1134"/>
      </w:tblGrid>
      <w:tr w:rsidR="00AB4DB9" w:rsidRPr="002B1D5D" w14:paraId="6D28E90A" w14:textId="77777777" w:rsidTr="00A77C39">
        <w:trPr>
          <w:cantSplit/>
          <w:trHeight w:val="699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9A40E" w14:textId="77777777" w:rsidR="00AB4DB9" w:rsidRPr="002B1D5D" w:rsidRDefault="00AB4DB9" w:rsidP="00A77C39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Variable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7740B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HC</w:t>
            </w:r>
          </w:p>
          <w:p w14:paraId="2BDBA45C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(n= 73)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D3983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Archetypal (n= 35)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BD41321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 xml:space="preserve">Atypical </w:t>
            </w:r>
          </w:p>
          <w:p w14:paraId="71EED032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(n= 40)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60DFD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Statistical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39E9D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/>
              </w:rPr>
              <w:t>P</w:t>
            </w:r>
            <w:r w:rsidRPr="002B1D5D">
              <w:rPr>
                <w:rFonts w:ascii="Times New Roman" w:hAnsi="Times New Roman" w:cs="Times New Roman"/>
                <w:color w:val="000000"/>
              </w:rPr>
              <w:t xml:space="preserve"> value</w:t>
            </w:r>
          </w:p>
        </w:tc>
      </w:tr>
      <w:tr w:rsidR="00AB4DB9" w:rsidRPr="002B1D5D" w14:paraId="54C1D4D4" w14:textId="77777777" w:rsidTr="00A77C39">
        <w:trPr>
          <w:cantSplit/>
          <w:trHeight w:val="147"/>
        </w:trPr>
        <w:tc>
          <w:tcPr>
            <w:tcW w:w="4120" w:type="dxa"/>
            <w:gridSpan w:val="2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55811626" w14:textId="77777777" w:rsidR="00AB4DB9" w:rsidRPr="002B1D5D" w:rsidRDefault="00AB4DB9" w:rsidP="00A77C39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Demographic characteristic</w:t>
            </w:r>
          </w:p>
        </w:tc>
        <w:tc>
          <w:tcPr>
            <w:tcW w:w="1409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543B90D6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0C304434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2B525EE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A7CE749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AB4DB9" w:rsidRPr="002B1D5D" w14:paraId="248325BC" w14:textId="77777777" w:rsidTr="00A77C39">
        <w:trPr>
          <w:cantSplit/>
          <w:trHeight w:val="567"/>
        </w:trPr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2B0EA5C7" w14:textId="77777777" w:rsidR="00AB4DB9" w:rsidRPr="002B1D5D" w:rsidRDefault="00AB4DB9" w:rsidP="00A77C39">
            <w:pP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Age (years)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auto"/>
            <w:vAlign w:val="center"/>
          </w:tcPr>
          <w:p w14:paraId="6BFA982F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31.90±9.01</w:t>
            </w:r>
          </w:p>
        </w:tc>
        <w:tc>
          <w:tcPr>
            <w:tcW w:w="1409" w:type="dxa"/>
            <w:tcBorders>
              <w:top w:val="nil"/>
            </w:tcBorders>
            <w:shd w:val="clear" w:color="auto" w:fill="auto"/>
            <w:vAlign w:val="center"/>
          </w:tcPr>
          <w:p w14:paraId="07AD3B90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32.29±7.57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BD2B9CA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30.83±8.12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7E2E2FE1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(2,145)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0.319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CEFBF1A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0.727</w:t>
            </w:r>
          </w:p>
        </w:tc>
      </w:tr>
      <w:tr w:rsidR="00AB4DB9" w:rsidRPr="002B1D5D" w14:paraId="229796DC" w14:textId="77777777" w:rsidTr="00A77C39">
        <w:trPr>
          <w:cantSplit/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564B563E" w14:textId="77777777" w:rsidR="00AB4DB9" w:rsidRPr="002B1D5D" w:rsidRDefault="00AB4DB9" w:rsidP="00A77C39">
            <w:pP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Gender (male/female)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338642A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31/42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567585A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16/19</w:t>
            </w:r>
          </w:p>
        </w:tc>
        <w:tc>
          <w:tcPr>
            <w:tcW w:w="1701" w:type="dxa"/>
            <w:vAlign w:val="center"/>
          </w:tcPr>
          <w:p w14:paraId="28B55E45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15/25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EE5448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χ2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0.54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24387A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0.765</w:t>
            </w:r>
          </w:p>
        </w:tc>
      </w:tr>
      <w:tr w:rsidR="00AB4DB9" w:rsidRPr="002B1D5D" w14:paraId="61066F30" w14:textId="77777777" w:rsidTr="00A77C39">
        <w:trPr>
          <w:cantSplit/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2C833709" w14:textId="77777777" w:rsidR="00AB4DB9" w:rsidRPr="002B1D5D" w:rsidRDefault="00AB4DB9" w:rsidP="00A77C39">
            <w:pP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Education (years)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0E32831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15.23±2.28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589A40F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13.60±3.35</w:t>
            </w:r>
          </w:p>
        </w:tc>
        <w:tc>
          <w:tcPr>
            <w:tcW w:w="1701" w:type="dxa"/>
            <w:vAlign w:val="center"/>
          </w:tcPr>
          <w:p w14:paraId="6C67BF7E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13.88±2.69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2A4220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F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(2,145)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5.82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37C17B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0.004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</w:tr>
      <w:tr w:rsidR="00AB4DB9" w:rsidRPr="002B1D5D" w14:paraId="54B0FE7A" w14:textId="77777777" w:rsidTr="00A77C39">
        <w:trPr>
          <w:cantSplit/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4EE466AB" w14:textId="77777777" w:rsidR="00AB4DB9" w:rsidRPr="002B1D5D" w:rsidRDefault="00AB4DB9" w:rsidP="00A77C39">
            <w:pP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First episode, yes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438CFB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984515F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35/0</w:t>
            </w:r>
          </w:p>
        </w:tc>
        <w:tc>
          <w:tcPr>
            <w:tcW w:w="1701" w:type="dxa"/>
            <w:vAlign w:val="center"/>
          </w:tcPr>
          <w:p w14:paraId="4432A1B2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40/0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7210FD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2A641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</w:tr>
      <w:tr w:rsidR="00AB4DB9" w:rsidRPr="002B1D5D" w14:paraId="1FB5683E" w14:textId="77777777" w:rsidTr="00A77C39">
        <w:trPr>
          <w:cantSplit/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251F799F" w14:textId="77777777" w:rsidR="00AB4DB9" w:rsidRPr="002B1D5D" w:rsidRDefault="00AB4DB9" w:rsidP="00A77C39">
            <w:pP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Duration(years)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4389806F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D10FA98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0.50±0.51</w:t>
            </w:r>
          </w:p>
        </w:tc>
        <w:tc>
          <w:tcPr>
            <w:tcW w:w="1701" w:type="dxa"/>
            <w:vAlign w:val="center"/>
          </w:tcPr>
          <w:p w14:paraId="5F6A4BA5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0.53±0.45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E4DC26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(73)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-0.22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DE6429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0.830</w:t>
            </w:r>
          </w:p>
        </w:tc>
      </w:tr>
      <w:tr w:rsidR="00AB4DB9" w:rsidRPr="002B1D5D" w14:paraId="08EAD7C3" w14:textId="77777777" w:rsidTr="00A77C39">
        <w:trPr>
          <w:cantSplit/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0D6CC2DB" w14:textId="77777777" w:rsidR="00AB4DB9" w:rsidRPr="002B1D5D" w:rsidRDefault="00AB4DB9" w:rsidP="00A77C39">
            <w:pP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Onset age (years)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07C051B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0DCA377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31.78±7.62</w:t>
            </w:r>
          </w:p>
        </w:tc>
        <w:tc>
          <w:tcPr>
            <w:tcW w:w="1701" w:type="dxa"/>
            <w:vAlign w:val="center"/>
          </w:tcPr>
          <w:p w14:paraId="3B77F116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30.30±8.19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689F34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T 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(73)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0.81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B048EF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0.421</w:t>
            </w:r>
          </w:p>
        </w:tc>
      </w:tr>
      <w:tr w:rsidR="00AB4DB9" w:rsidRPr="002B1D5D" w14:paraId="79A64402" w14:textId="77777777" w:rsidTr="00A77C39">
        <w:trPr>
          <w:cantSplit/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34640CA3" w14:textId="77777777" w:rsidR="00AB4DB9" w:rsidRPr="002B1D5D" w:rsidRDefault="00AB4DB9" w:rsidP="00A77C39">
            <w:pP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Medication, yes/no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7D4596E9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71BB76B5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0/35</w:t>
            </w:r>
          </w:p>
        </w:tc>
        <w:tc>
          <w:tcPr>
            <w:tcW w:w="1701" w:type="dxa"/>
            <w:vAlign w:val="center"/>
          </w:tcPr>
          <w:p w14:paraId="3FC5E694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0/40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2B9A1A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3A538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</w:tr>
      <w:tr w:rsidR="00AB4DB9" w:rsidRPr="002B1D5D" w14:paraId="08C33051" w14:textId="77777777" w:rsidTr="00A77C39">
        <w:trPr>
          <w:cantSplit/>
          <w:trHeight w:val="567"/>
        </w:trPr>
        <w:tc>
          <w:tcPr>
            <w:tcW w:w="2694" w:type="dxa"/>
            <w:shd w:val="clear" w:color="auto" w:fill="auto"/>
            <w:vAlign w:val="center"/>
          </w:tcPr>
          <w:p w14:paraId="7A8C0BDD" w14:textId="77777777" w:rsidR="00AB4DB9" w:rsidRPr="002B1D5D" w:rsidRDefault="00AB4DB9" w:rsidP="00A77C39">
            <w:pPr>
              <w:adjustRightInd w:val="0"/>
              <w:snapToGrid w:val="0"/>
              <w:ind w:firstLineChars="100" w:firstLine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HAMD-17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9B02953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N.A.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62E41BA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26.37±4.85</w:t>
            </w:r>
          </w:p>
        </w:tc>
        <w:tc>
          <w:tcPr>
            <w:tcW w:w="1701" w:type="dxa"/>
            <w:vAlign w:val="center"/>
          </w:tcPr>
          <w:p w14:paraId="579C379D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24.45±4.58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0E60F9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T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B1D5D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(73) </w:t>
            </w:r>
            <w:r w:rsidRPr="002B1D5D">
              <w:rPr>
                <w:rFonts w:ascii="Times New Roman" w:hAnsi="Times New Roman" w:cs="Times New Roman"/>
                <w:color w:val="000000" w:themeColor="text1"/>
              </w:rPr>
              <w:t>= 1.76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AAE942" w14:textId="77777777" w:rsidR="00AB4DB9" w:rsidRPr="002B1D5D" w:rsidRDefault="00AB4DB9" w:rsidP="00A77C3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B1D5D">
              <w:rPr>
                <w:rFonts w:ascii="Times New Roman" w:hAnsi="Times New Roman" w:cs="Times New Roman"/>
                <w:color w:val="000000" w:themeColor="text1"/>
              </w:rPr>
              <w:t>0.082</w:t>
            </w:r>
          </w:p>
        </w:tc>
      </w:tr>
    </w:tbl>
    <w:p w14:paraId="2FA8B1E0" w14:textId="77777777" w:rsidR="000B50FB" w:rsidRPr="002B1D5D" w:rsidRDefault="000B50FB" w:rsidP="000B50FB">
      <w:pPr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</w:rPr>
        <w:br w:type="page"/>
      </w:r>
    </w:p>
    <w:p w14:paraId="70C7E652" w14:textId="77777777" w:rsidR="00AB4DB9" w:rsidRPr="002B1D5D" w:rsidRDefault="00AB4DB9" w:rsidP="00AB4DB9">
      <w:pPr>
        <w:spacing w:before="120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 xml:space="preserve">Table S3. </w:t>
      </w:r>
      <w:r w:rsidRPr="002B1D5D">
        <w:rPr>
          <w:rFonts w:ascii="Times New Roman" w:hAnsi="Times New Roman" w:cs="Times New Roman"/>
          <w:b/>
          <w:bCs/>
        </w:rPr>
        <w:t>The amplitude of low-frequency fluctuation</w:t>
      </w: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values in brain regions showing significant differences in</w:t>
      </w:r>
      <w:r w:rsidRPr="002B1D5D">
        <w:rPr>
          <w:rFonts w:ascii="Times New Roman" w:hAnsi="Times New Roman" w:cs="Times New Roman"/>
          <w:b/>
        </w:rPr>
        <w:t xml:space="preserve"> P11 knockout mice and wild-type mice groups</w:t>
      </w: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</w:p>
    <w:p w14:paraId="75BCB883" w14:textId="0D3FEA4A" w:rsidR="000B50FB" w:rsidRPr="002B1D5D" w:rsidRDefault="000B50FB" w:rsidP="00AB4DB9">
      <w:pPr>
        <w:rPr>
          <w:rFonts w:ascii="Times New Roman" w:hAnsi="Times New Roman" w:cs="Times New Roman"/>
        </w:rPr>
      </w:pPr>
    </w:p>
    <w:tbl>
      <w:tblPr>
        <w:tblW w:w="79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987"/>
        <w:gridCol w:w="851"/>
        <w:gridCol w:w="850"/>
        <w:gridCol w:w="779"/>
        <w:gridCol w:w="1069"/>
      </w:tblGrid>
      <w:tr w:rsidR="000B50FB" w:rsidRPr="002B1D5D" w14:paraId="48EE8FF4" w14:textId="77777777" w:rsidTr="001243CF">
        <w:trPr>
          <w:trHeight w:val="277"/>
        </w:trPr>
        <w:tc>
          <w:tcPr>
            <w:tcW w:w="340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6722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Brain region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82472C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Cluster size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CD3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Peak coordinates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505D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/>
              </w:rPr>
              <w:t>T</w:t>
            </w:r>
            <w:r w:rsidRPr="002B1D5D">
              <w:rPr>
                <w:rFonts w:ascii="Times New Roman" w:hAnsi="Times New Roman" w:cs="Times New Roman"/>
                <w:color w:val="000000"/>
              </w:rPr>
              <w:t xml:space="preserve"> Values*</w:t>
            </w:r>
          </w:p>
        </w:tc>
      </w:tr>
      <w:tr w:rsidR="000B50FB" w:rsidRPr="002B1D5D" w14:paraId="726356F3" w14:textId="77777777" w:rsidTr="001243CF">
        <w:trPr>
          <w:trHeight w:val="277"/>
        </w:trPr>
        <w:tc>
          <w:tcPr>
            <w:tcW w:w="3403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31564FA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6CF7C6C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1E8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9249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Y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B65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0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C6F2F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375A07C2" w14:textId="77777777" w:rsidTr="001243CF">
        <w:trPr>
          <w:trHeight w:val="437"/>
        </w:trPr>
        <w:tc>
          <w:tcPr>
            <w:tcW w:w="3403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80BA016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Subcortical regions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210956E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7E58309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84BF13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4706F11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861B498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5A5FE40E" w14:textId="77777777" w:rsidTr="001243CF">
        <w:trPr>
          <w:trHeight w:val="602"/>
        </w:trPr>
        <w:tc>
          <w:tcPr>
            <w:tcW w:w="3403" w:type="dxa"/>
            <w:shd w:val="clear" w:color="auto" w:fill="auto"/>
            <w:vAlign w:val="center"/>
            <w:hideMark/>
          </w:tcPr>
          <w:p w14:paraId="13E85D78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striatum</w:t>
            </w:r>
          </w:p>
          <w:p w14:paraId="54567CB7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globus pallidus</w:t>
            </w:r>
          </w:p>
          <w:p w14:paraId="14FB5432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 xml:space="preserve">Left nucleus </w:t>
            </w:r>
            <w:proofErr w:type="spellStart"/>
            <w:r w:rsidRPr="002B1D5D">
              <w:rPr>
                <w:rFonts w:ascii="Times New Roman" w:hAnsi="Times New Roman" w:cs="Times New Roman"/>
              </w:rPr>
              <w:t>accumbens</w:t>
            </w:r>
            <w:proofErr w:type="spellEnd"/>
          </w:p>
          <w:p w14:paraId="08D9C23B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amygdala</w:t>
            </w:r>
          </w:p>
          <w:p w14:paraId="24FD1086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color w:val="000000"/>
                <w:kern w:val="24"/>
              </w:rPr>
              <w:t>Bilateral</w:t>
            </w:r>
            <w:r w:rsidRPr="002B1D5D">
              <w:rPr>
                <w:rFonts w:ascii="Times New Roman" w:hAnsi="Times New Roman" w:cs="Times New Roman"/>
              </w:rPr>
              <w:t xml:space="preserve"> hypothalamus</w:t>
            </w:r>
          </w:p>
          <w:p w14:paraId="1B6FBC46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basal forebrain</w:t>
            </w:r>
          </w:p>
          <w:p w14:paraId="289689DF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lateral orbital cortex</w:t>
            </w:r>
          </w:p>
          <w:p w14:paraId="3233EB95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Insular cortex</w:t>
            </w:r>
          </w:p>
          <w:p w14:paraId="0CE1761E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 xml:space="preserve">Piriform cortex </w:t>
            </w:r>
          </w:p>
          <w:p w14:paraId="407D1F36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 xml:space="preserve">Internal capsule </w:t>
            </w:r>
          </w:p>
          <w:p w14:paraId="1B232AF1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Olfactory tubercle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332E9A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8F959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6BE022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-10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9825D5A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-31</w:t>
            </w:r>
          </w:p>
        </w:tc>
        <w:tc>
          <w:tcPr>
            <w:tcW w:w="1069" w:type="dxa"/>
            <w:vAlign w:val="center"/>
          </w:tcPr>
          <w:p w14:paraId="4944403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4.62</w:t>
            </w:r>
          </w:p>
        </w:tc>
      </w:tr>
      <w:tr w:rsidR="000B50FB" w:rsidRPr="002B1D5D" w14:paraId="08569171" w14:textId="77777777" w:rsidTr="001243CF">
        <w:trPr>
          <w:trHeight w:val="287"/>
        </w:trPr>
        <w:tc>
          <w:tcPr>
            <w:tcW w:w="3403" w:type="dxa"/>
            <w:shd w:val="clear" w:color="auto" w:fill="auto"/>
            <w:vAlign w:val="center"/>
          </w:tcPr>
          <w:p w14:paraId="2BBCCCC5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050879B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130F96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DDB60C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</w:tcPr>
          <w:p w14:paraId="5A9DAFF7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vAlign w:val="center"/>
          </w:tcPr>
          <w:p w14:paraId="6E748D1D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0C7E9E69" w14:textId="77777777" w:rsidTr="001243CF">
        <w:trPr>
          <w:trHeight w:val="391"/>
        </w:trPr>
        <w:tc>
          <w:tcPr>
            <w:tcW w:w="3403" w:type="dxa"/>
            <w:shd w:val="clear" w:color="auto" w:fill="auto"/>
            <w:vAlign w:val="center"/>
          </w:tcPr>
          <w:p w14:paraId="7C1651EC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Right amygdala</w:t>
            </w:r>
          </w:p>
          <w:p w14:paraId="7F51BB93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Right basal forebrain</w:t>
            </w:r>
          </w:p>
          <w:p w14:paraId="7D95E584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Olfactory tubercle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7A93078A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5952C72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6D7003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-7</w:t>
            </w:r>
          </w:p>
        </w:tc>
        <w:tc>
          <w:tcPr>
            <w:tcW w:w="779" w:type="dxa"/>
            <w:shd w:val="clear" w:color="auto" w:fill="auto"/>
            <w:noWrap/>
            <w:vAlign w:val="center"/>
          </w:tcPr>
          <w:p w14:paraId="3130CA26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-46</w:t>
            </w:r>
          </w:p>
        </w:tc>
        <w:tc>
          <w:tcPr>
            <w:tcW w:w="1069" w:type="dxa"/>
            <w:vAlign w:val="center"/>
          </w:tcPr>
          <w:p w14:paraId="37C7F13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4.63</w:t>
            </w:r>
          </w:p>
        </w:tc>
      </w:tr>
      <w:tr w:rsidR="000B50FB" w:rsidRPr="002B1D5D" w14:paraId="5E12877D" w14:textId="77777777" w:rsidTr="001243CF">
        <w:trPr>
          <w:trHeight w:val="537"/>
        </w:trPr>
        <w:tc>
          <w:tcPr>
            <w:tcW w:w="3403" w:type="dxa"/>
            <w:shd w:val="clear" w:color="auto" w:fill="E7E6E6" w:themeFill="background2"/>
            <w:noWrap/>
            <w:vAlign w:val="center"/>
            <w:hideMark/>
          </w:tcPr>
          <w:p w14:paraId="708FCF2C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Sensorimotor regions</w:t>
            </w:r>
          </w:p>
        </w:tc>
        <w:tc>
          <w:tcPr>
            <w:tcW w:w="987" w:type="dxa"/>
            <w:shd w:val="clear" w:color="auto" w:fill="E7E6E6" w:themeFill="background2"/>
            <w:noWrap/>
            <w:vAlign w:val="center"/>
            <w:hideMark/>
          </w:tcPr>
          <w:p w14:paraId="580BD18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E7E6E6" w:themeFill="background2"/>
            <w:noWrap/>
            <w:vAlign w:val="center"/>
            <w:hideMark/>
          </w:tcPr>
          <w:p w14:paraId="5873171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524AAE4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shd w:val="clear" w:color="auto" w:fill="E7E6E6" w:themeFill="background2"/>
            <w:noWrap/>
            <w:vAlign w:val="center"/>
            <w:hideMark/>
          </w:tcPr>
          <w:p w14:paraId="160C54C7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721D033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25153F11" w14:textId="77777777" w:rsidTr="001243CF">
        <w:trPr>
          <w:trHeight w:val="514"/>
        </w:trPr>
        <w:tc>
          <w:tcPr>
            <w:tcW w:w="3403" w:type="dxa"/>
            <w:shd w:val="clear" w:color="auto" w:fill="auto"/>
            <w:noWrap/>
            <w:vAlign w:val="center"/>
          </w:tcPr>
          <w:p w14:paraId="07E4AD24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primary somatosensory cortex</w:t>
            </w:r>
          </w:p>
          <w:p w14:paraId="6AD2F2AD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secondary motor cortex</w:t>
            </w:r>
          </w:p>
          <w:p w14:paraId="39B4C452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primary motor cortex</w:t>
            </w:r>
          </w:p>
          <w:p w14:paraId="66DC3FCD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insular</w:t>
            </w:r>
          </w:p>
          <w:p w14:paraId="2A88764A" w14:textId="77777777" w:rsidR="000B50FB" w:rsidRPr="002B1D5D" w:rsidRDefault="000B50FB" w:rsidP="001243CF">
            <w:pPr>
              <w:ind w:leftChars="100" w:left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</w:rPr>
              <w:t>Caudate putamen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02EAE0D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9D8194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-29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24E18CC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79" w:type="dxa"/>
            <w:shd w:val="clear" w:color="auto" w:fill="auto"/>
            <w:noWrap/>
            <w:vAlign w:val="center"/>
          </w:tcPr>
          <w:p w14:paraId="691A34C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-14</w:t>
            </w:r>
          </w:p>
        </w:tc>
        <w:tc>
          <w:tcPr>
            <w:tcW w:w="1069" w:type="dxa"/>
            <w:vAlign w:val="center"/>
          </w:tcPr>
          <w:p w14:paraId="2D68B5DA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-3.78</w:t>
            </w:r>
          </w:p>
        </w:tc>
      </w:tr>
    </w:tbl>
    <w:p w14:paraId="065FB71D" w14:textId="04F37E99" w:rsidR="000B50FB" w:rsidRPr="002B1D5D" w:rsidRDefault="000B50FB" w:rsidP="000B50FB">
      <w:pPr>
        <w:spacing w:before="120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</w:rPr>
        <w:t xml:space="preserve"> </w:t>
      </w:r>
      <w:r w:rsidR="00AB4DB9"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*Significant at </w:t>
      </w:r>
      <w:r w:rsidR="00AB4DB9"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</w:t>
      </w:r>
      <w:r w:rsidR="00AB4DB9"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&lt; 0.05 corrected </w:t>
      </w:r>
      <w:r w:rsidR="00AB4DB9" w:rsidRPr="002B1D5D">
        <w:rPr>
          <w:rFonts w:ascii="Times New Roman" w:hAnsi="Times New Roman" w:cs="Times New Roman"/>
        </w:rPr>
        <w:t>by Gaussian random field correction.</w:t>
      </w:r>
    </w:p>
    <w:p w14:paraId="21007EEC" w14:textId="77777777" w:rsidR="000B50FB" w:rsidRPr="002B1D5D" w:rsidRDefault="000B50FB" w:rsidP="000B50FB">
      <w:pPr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</w:rPr>
        <w:br w:type="page"/>
      </w:r>
    </w:p>
    <w:p w14:paraId="129B36B9" w14:textId="77777777" w:rsidR="000B50FB" w:rsidRPr="002B1D5D" w:rsidRDefault="000B50FB" w:rsidP="000B50FB">
      <w:pPr>
        <w:spacing w:before="120"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 xml:space="preserve">Table S4. </w:t>
      </w:r>
      <w:r w:rsidRPr="002B1D5D">
        <w:rPr>
          <w:rFonts w:ascii="Times New Roman" w:hAnsi="Times New Roman" w:cs="Times New Roman"/>
          <w:b/>
          <w:bCs/>
        </w:rPr>
        <w:t>The amplitude of low-frequency fluctuation</w:t>
      </w: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values in brain regions, showing significant differences in</w:t>
      </w:r>
      <w:r w:rsidRPr="002B1D5D">
        <w:rPr>
          <w:rFonts w:ascii="Times New Roman" w:hAnsi="Times New Roman" w:cs="Times New Roman"/>
          <w:b/>
        </w:rPr>
        <w:t xml:space="preserve"> </w:t>
      </w:r>
      <w:proofErr w:type="gramStart"/>
      <w:r w:rsidRPr="002B1D5D">
        <w:rPr>
          <w:rFonts w:ascii="Times New Roman" w:hAnsi="Times New Roman" w:cs="Times New Roman"/>
          <w:b/>
        </w:rPr>
        <w:t>CUMS</w:t>
      </w:r>
      <w:proofErr w:type="gramEnd"/>
      <w:r w:rsidRPr="002B1D5D">
        <w:rPr>
          <w:rFonts w:ascii="Times New Roman" w:hAnsi="Times New Roman" w:cs="Times New Roman"/>
          <w:b/>
        </w:rPr>
        <w:t xml:space="preserve"> and control groups</w:t>
      </w: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</w:p>
    <w:tbl>
      <w:tblPr>
        <w:tblpPr w:leftFromText="180" w:rightFromText="180" w:vertAnchor="page" w:horzAnchor="margin" w:tblpY="2229"/>
        <w:tblW w:w="7797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7"/>
        <w:gridCol w:w="851"/>
        <w:gridCol w:w="850"/>
        <w:gridCol w:w="779"/>
        <w:gridCol w:w="1069"/>
      </w:tblGrid>
      <w:tr w:rsidR="00B0671D" w:rsidRPr="002B1D5D" w14:paraId="2F666C40" w14:textId="77777777" w:rsidTr="00B0671D">
        <w:trPr>
          <w:trHeight w:val="277"/>
        </w:trPr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CE24" w14:textId="77777777" w:rsidR="00B0671D" w:rsidRPr="002B1D5D" w:rsidRDefault="00B0671D" w:rsidP="00B0671D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Brain region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385C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Cluster size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EFDE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Peak coordinates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51EAC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/>
              </w:rPr>
              <w:t>T</w:t>
            </w:r>
            <w:r w:rsidRPr="002B1D5D">
              <w:rPr>
                <w:rFonts w:ascii="Times New Roman" w:hAnsi="Times New Roman" w:cs="Times New Roman"/>
                <w:color w:val="000000"/>
              </w:rPr>
              <w:t xml:space="preserve"> Values*</w:t>
            </w:r>
          </w:p>
        </w:tc>
      </w:tr>
      <w:tr w:rsidR="00B0671D" w:rsidRPr="002B1D5D" w14:paraId="3A442804" w14:textId="77777777" w:rsidTr="00B0671D">
        <w:trPr>
          <w:trHeight w:val="277"/>
        </w:trPr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539CD5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B45918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ACA8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990C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Y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5079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06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64079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671D" w:rsidRPr="002B1D5D" w14:paraId="59D2B571" w14:textId="77777777" w:rsidTr="00B0671D">
        <w:trPr>
          <w:trHeight w:val="437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63BFF4EC" w14:textId="77777777" w:rsidR="00B0671D" w:rsidRPr="002B1D5D" w:rsidRDefault="00B0671D" w:rsidP="00B0671D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Subcortical regions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5623E8E9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3AAB110E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FBA1AD4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31A42191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00A87665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671D" w:rsidRPr="002B1D5D" w14:paraId="6A12CF29" w14:textId="77777777" w:rsidTr="00B0671D">
        <w:trPr>
          <w:trHeight w:val="602"/>
        </w:trPr>
        <w:tc>
          <w:tcPr>
            <w:tcW w:w="326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878519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color w:val="000000"/>
                <w:kern w:val="24"/>
              </w:rPr>
              <w:t xml:space="preserve">Bilateral </w:t>
            </w:r>
            <w:r w:rsidRPr="002B1D5D">
              <w:rPr>
                <w:rFonts w:ascii="Times New Roman" w:hAnsi="Times New Roman" w:cs="Times New Roman"/>
              </w:rPr>
              <w:t xml:space="preserve">striatum </w:t>
            </w:r>
          </w:p>
          <w:p w14:paraId="0109D53F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color w:val="000000"/>
                <w:kern w:val="24"/>
              </w:rPr>
              <w:t>Bilateral</w:t>
            </w:r>
            <w:r w:rsidRPr="002B1D5D">
              <w:rPr>
                <w:rFonts w:ascii="Times New Roman" w:hAnsi="Times New Roman" w:cs="Times New Roman"/>
              </w:rPr>
              <w:t xml:space="preserve"> amygdala</w:t>
            </w:r>
          </w:p>
          <w:p w14:paraId="71467819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color w:val="000000"/>
                <w:kern w:val="24"/>
              </w:rPr>
              <w:t>Bilateral</w:t>
            </w:r>
            <w:r w:rsidRPr="002B1D5D">
              <w:rPr>
                <w:rFonts w:ascii="Times New Roman" w:hAnsi="Times New Roman" w:cs="Times New Roman"/>
              </w:rPr>
              <w:t xml:space="preserve"> hippocampus </w:t>
            </w:r>
          </w:p>
          <w:p w14:paraId="377A495A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 xml:space="preserve">Thalamus </w:t>
            </w:r>
          </w:p>
          <w:p w14:paraId="695CC0DC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 xml:space="preserve">Septum </w:t>
            </w:r>
          </w:p>
          <w:p w14:paraId="265F967C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 xml:space="preserve">Insular </w:t>
            </w:r>
          </w:p>
          <w:p w14:paraId="3C1CCF5D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color w:val="000000"/>
                <w:kern w:val="24"/>
              </w:rPr>
              <w:t>Bilateral</w:t>
            </w:r>
            <w:r w:rsidRPr="002B1D5D">
              <w:rPr>
                <w:rFonts w:ascii="Times New Roman" w:hAnsi="Times New Roman" w:cs="Times New Roman"/>
              </w:rPr>
              <w:t xml:space="preserve"> entorhinal cortex</w:t>
            </w:r>
          </w:p>
          <w:p w14:paraId="384C0518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Internal Capsule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6C292F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3413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74C424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9591A2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-48</w:t>
            </w:r>
          </w:p>
        </w:tc>
        <w:tc>
          <w:tcPr>
            <w:tcW w:w="7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00FE17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-64</w:t>
            </w:r>
          </w:p>
        </w:tc>
        <w:tc>
          <w:tcPr>
            <w:tcW w:w="1069" w:type="dxa"/>
            <w:tcBorders>
              <w:top w:val="nil"/>
            </w:tcBorders>
            <w:vAlign w:val="center"/>
          </w:tcPr>
          <w:p w14:paraId="1320BD82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-5.904</w:t>
            </w:r>
          </w:p>
        </w:tc>
      </w:tr>
      <w:tr w:rsidR="00B0671D" w:rsidRPr="002B1D5D" w14:paraId="25B2414F" w14:textId="77777777" w:rsidTr="00B0671D">
        <w:trPr>
          <w:trHeight w:val="537"/>
        </w:trPr>
        <w:tc>
          <w:tcPr>
            <w:tcW w:w="3261" w:type="dxa"/>
            <w:shd w:val="clear" w:color="auto" w:fill="E7E6E6" w:themeFill="background2"/>
            <w:noWrap/>
            <w:vAlign w:val="center"/>
            <w:hideMark/>
          </w:tcPr>
          <w:p w14:paraId="6EA234CE" w14:textId="21A0A5F7" w:rsidR="00B0671D" w:rsidRPr="002B1D5D" w:rsidRDefault="009E4260" w:rsidP="00B0671D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Sensorimotor regions</w:t>
            </w:r>
          </w:p>
        </w:tc>
        <w:tc>
          <w:tcPr>
            <w:tcW w:w="987" w:type="dxa"/>
            <w:shd w:val="clear" w:color="auto" w:fill="E7E6E6" w:themeFill="background2"/>
            <w:noWrap/>
            <w:vAlign w:val="center"/>
            <w:hideMark/>
          </w:tcPr>
          <w:p w14:paraId="5FD0A5AA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E7E6E6" w:themeFill="background2"/>
            <w:noWrap/>
            <w:vAlign w:val="center"/>
            <w:hideMark/>
          </w:tcPr>
          <w:p w14:paraId="62705B13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0B62CC76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shd w:val="clear" w:color="auto" w:fill="E7E6E6" w:themeFill="background2"/>
            <w:noWrap/>
            <w:vAlign w:val="center"/>
            <w:hideMark/>
          </w:tcPr>
          <w:p w14:paraId="684A7533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0B7F176C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671D" w:rsidRPr="002B1D5D" w14:paraId="6FDAA5B2" w14:textId="77777777" w:rsidTr="00B0671D">
        <w:trPr>
          <w:trHeight w:val="514"/>
        </w:trPr>
        <w:tc>
          <w:tcPr>
            <w:tcW w:w="3261" w:type="dxa"/>
            <w:shd w:val="clear" w:color="auto" w:fill="auto"/>
            <w:noWrap/>
            <w:vAlign w:val="center"/>
          </w:tcPr>
          <w:p w14:paraId="42803A95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primary motor cortex</w:t>
            </w:r>
          </w:p>
          <w:p w14:paraId="4C543986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secondary motor cortex</w:t>
            </w:r>
          </w:p>
          <w:p w14:paraId="562FA9E3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primary somatosensory cortex</w:t>
            </w:r>
          </w:p>
          <w:p w14:paraId="7D954BFE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Cingulate cortex</w:t>
            </w:r>
          </w:p>
          <w:p w14:paraId="63914A01" w14:textId="77777777" w:rsidR="00B0671D" w:rsidRPr="002B1D5D" w:rsidRDefault="00B0671D" w:rsidP="00B0671D">
            <w:pPr>
              <w:ind w:leftChars="100" w:left="240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Medial prefrontal cortex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14:paraId="57D0F695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698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6909364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-43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3730DF6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79" w:type="dxa"/>
            <w:shd w:val="clear" w:color="auto" w:fill="auto"/>
            <w:noWrap/>
            <w:vAlign w:val="center"/>
          </w:tcPr>
          <w:p w14:paraId="1FEB7DC5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-21</w:t>
            </w:r>
          </w:p>
        </w:tc>
        <w:tc>
          <w:tcPr>
            <w:tcW w:w="1069" w:type="dxa"/>
            <w:vAlign w:val="center"/>
          </w:tcPr>
          <w:p w14:paraId="2844BB85" w14:textId="77777777" w:rsidR="00B0671D" w:rsidRPr="002B1D5D" w:rsidRDefault="00B0671D" w:rsidP="00B0671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5.3289</w:t>
            </w:r>
          </w:p>
        </w:tc>
      </w:tr>
    </w:tbl>
    <w:p w14:paraId="678F1D90" w14:textId="77777777" w:rsidR="000B50FB" w:rsidRPr="002B1D5D" w:rsidRDefault="000B50FB" w:rsidP="000B50FB">
      <w:pPr>
        <w:spacing w:before="120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*Significant at </w:t>
      </w:r>
      <w:r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&lt; 0.05 corrected </w:t>
      </w:r>
      <w:r w:rsidRPr="002B1D5D">
        <w:rPr>
          <w:rFonts w:ascii="Times New Roman" w:hAnsi="Times New Roman" w:cs="Times New Roman"/>
        </w:rPr>
        <w:t xml:space="preserve">by Gaussian random field correction. </w:t>
      </w:r>
    </w:p>
    <w:p w14:paraId="786E0CA7" w14:textId="77777777" w:rsidR="000B50FB" w:rsidRPr="002B1D5D" w:rsidRDefault="000B50FB" w:rsidP="000B50FB">
      <w:pPr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</w:rPr>
        <w:br w:type="page"/>
      </w:r>
    </w:p>
    <w:p w14:paraId="30E85FB9" w14:textId="374D0FDA" w:rsidR="000B50FB" w:rsidRPr="00B0671D" w:rsidRDefault="00B0671D" w:rsidP="009E4260">
      <w:pPr>
        <w:spacing w:before="120"/>
        <w:jc w:val="both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 xml:space="preserve">Table S5. </w:t>
      </w:r>
      <w:r w:rsidRPr="002B1D5D">
        <w:rPr>
          <w:rFonts w:ascii="Times New Roman" w:hAnsi="Times New Roman" w:cs="Times New Roman"/>
          <w:b/>
          <w:bCs/>
        </w:rPr>
        <w:t>The amplitude of low-frequency fluctuation</w:t>
      </w: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values in brain regions, showing significant differences between</w:t>
      </w:r>
      <w:r w:rsidRPr="002B1D5D">
        <w:rPr>
          <w:rFonts w:ascii="Times New Roman" w:hAnsi="Times New Roman" w:cs="Times New Roman"/>
          <w:b/>
          <w:bCs/>
        </w:rPr>
        <w:t xml:space="preserve"> Archetypal depression and healthy control</w:t>
      </w: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</w:p>
    <w:tbl>
      <w:tblPr>
        <w:tblW w:w="10354" w:type="dxa"/>
        <w:tblInd w:w="-103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90"/>
        <w:gridCol w:w="987"/>
        <w:gridCol w:w="851"/>
        <w:gridCol w:w="850"/>
        <w:gridCol w:w="779"/>
        <w:gridCol w:w="1069"/>
      </w:tblGrid>
      <w:tr w:rsidR="000B50FB" w:rsidRPr="002B1D5D" w14:paraId="6BB39C71" w14:textId="77777777" w:rsidTr="001243CF">
        <w:trPr>
          <w:trHeight w:val="277"/>
        </w:trPr>
        <w:tc>
          <w:tcPr>
            <w:tcW w:w="3828" w:type="dxa"/>
            <w:vMerge w:val="restart"/>
            <w:shd w:val="clear" w:color="auto" w:fill="auto"/>
            <w:noWrap/>
            <w:vAlign w:val="center"/>
            <w:hideMark/>
          </w:tcPr>
          <w:p w14:paraId="5DAD1C30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Brain region</w:t>
            </w:r>
          </w:p>
        </w:tc>
        <w:tc>
          <w:tcPr>
            <w:tcW w:w="1990" w:type="dxa"/>
            <w:vMerge w:val="restart"/>
            <w:vAlign w:val="center"/>
          </w:tcPr>
          <w:p w14:paraId="551F516D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Brodmann area</w:t>
            </w:r>
          </w:p>
        </w:tc>
        <w:tc>
          <w:tcPr>
            <w:tcW w:w="987" w:type="dxa"/>
            <w:vMerge w:val="restart"/>
            <w:shd w:val="clear" w:color="auto" w:fill="auto"/>
            <w:noWrap/>
            <w:vAlign w:val="center"/>
            <w:hideMark/>
          </w:tcPr>
          <w:p w14:paraId="2D83A35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Cluster size</w:t>
            </w:r>
          </w:p>
        </w:tc>
        <w:tc>
          <w:tcPr>
            <w:tcW w:w="2480" w:type="dxa"/>
            <w:gridSpan w:val="3"/>
            <w:shd w:val="clear" w:color="auto" w:fill="auto"/>
            <w:noWrap/>
            <w:vAlign w:val="center"/>
            <w:hideMark/>
          </w:tcPr>
          <w:p w14:paraId="2E1DBA76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Peak MNI coordinates</w:t>
            </w:r>
          </w:p>
        </w:tc>
        <w:tc>
          <w:tcPr>
            <w:tcW w:w="1069" w:type="dxa"/>
            <w:vMerge w:val="restart"/>
            <w:vAlign w:val="center"/>
          </w:tcPr>
          <w:p w14:paraId="45871EC1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/>
              </w:rPr>
              <w:t>T</w:t>
            </w:r>
            <w:r w:rsidRPr="002B1D5D">
              <w:rPr>
                <w:rFonts w:ascii="Times New Roman" w:hAnsi="Times New Roman" w:cs="Times New Roman"/>
                <w:color w:val="000000"/>
              </w:rPr>
              <w:t xml:space="preserve"> Values*</w:t>
            </w:r>
          </w:p>
        </w:tc>
      </w:tr>
      <w:tr w:rsidR="000B50FB" w:rsidRPr="002B1D5D" w14:paraId="6C2C679E" w14:textId="77777777" w:rsidTr="001243CF">
        <w:trPr>
          <w:trHeight w:val="277"/>
        </w:trPr>
        <w:tc>
          <w:tcPr>
            <w:tcW w:w="382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4857C1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vMerge/>
            <w:tcBorders>
              <w:bottom w:val="single" w:sz="4" w:space="0" w:color="auto"/>
            </w:tcBorders>
            <w:vAlign w:val="center"/>
          </w:tcPr>
          <w:p w14:paraId="6FF61428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E703D43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B218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4C3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Y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5E4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vAlign w:val="center"/>
          </w:tcPr>
          <w:p w14:paraId="4D0FA4A7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1E45EF8B" w14:textId="77777777" w:rsidTr="001243CF">
        <w:trPr>
          <w:trHeight w:val="437"/>
        </w:trPr>
        <w:tc>
          <w:tcPr>
            <w:tcW w:w="3828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7E900724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Frontal-subcortical regions</w:t>
            </w:r>
          </w:p>
        </w:tc>
        <w:tc>
          <w:tcPr>
            <w:tcW w:w="199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66EDBE6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15F6EF1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3D3EBB17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2A9C3F9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4741573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0BB58A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33AB630E" w14:textId="77777777" w:rsidTr="001243CF">
        <w:trPr>
          <w:trHeight w:val="872"/>
        </w:trPr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C036349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middle frontal gyrus</w:t>
            </w:r>
          </w:p>
          <w:p w14:paraId="2904E5C7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hAnsi="Times New Roman" w:cs="Times New Roman"/>
              </w:rPr>
              <w:t>Bilat</w:t>
            </w:r>
            <w:r w:rsidRPr="002B1D5D">
              <w:rPr>
                <w:rFonts w:ascii="Times New Roman" w:eastAsia="DengXian" w:hAnsi="Times New Roman" w:cs="Times New Roman"/>
                <w:kern w:val="24"/>
              </w:rPr>
              <w:t>eral superior frontal gyrus</w:t>
            </w:r>
          </w:p>
          <w:p w14:paraId="3BEFB95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superior frontal gyrus, medial</w:t>
            </w:r>
          </w:p>
          <w:p w14:paraId="76A530D7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Inferior frontal gyrus, triangular part</w:t>
            </w:r>
          </w:p>
          <w:p w14:paraId="3A4F8ED5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Inferior frontal gyrus, orbital part</w:t>
            </w:r>
          </w:p>
          <w:p w14:paraId="19275C6B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insula</w:t>
            </w:r>
          </w:p>
          <w:p w14:paraId="161142F3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inferior temporal gyrus</w:t>
            </w:r>
          </w:p>
          <w:p w14:paraId="2F422218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</w:t>
            </w:r>
            <w:proofErr w:type="spellStart"/>
            <w:r w:rsidRPr="002B1D5D">
              <w:rPr>
                <w:rFonts w:ascii="Times New Roman" w:eastAsia="DengXian" w:hAnsi="Times New Roman" w:cs="Times New Roman"/>
                <w:kern w:val="24"/>
              </w:rPr>
              <w:t>parahippocampal</w:t>
            </w:r>
            <w:proofErr w:type="spellEnd"/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 gyrus</w:t>
            </w:r>
          </w:p>
          <w:p w14:paraId="1722C6F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anterior cingulate gyrus</w:t>
            </w:r>
          </w:p>
          <w:p w14:paraId="2C36C552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fusiform gyrus</w:t>
            </w:r>
          </w:p>
          <w:p w14:paraId="4C3CB65A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middle temporal gyrus</w:t>
            </w:r>
          </w:p>
          <w:p w14:paraId="502C732F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supplementary motor area</w:t>
            </w:r>
          </w:p>
          <w:p w14:paraId="544BBFC5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hippocampus</w:t>
            </w:r>
          </w:p>
          <w:p w14:paraId="7908BF68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putamen</w:t>
            </w:r>
          </w:p>
          <w:p w14:paraId="5FA3E6A0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caudate</w:t>
            </w:r>
          </w:p>
          <w:p w14:paraId="2DD36D0E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rectus</w:t>
            </w:r>
          </w:p>
          <w:p w14:paraId="230B7F4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precentral gyrus</w:t>
            </w:r>
          </w:p>
          <w:p w14:paraId="0B1E0AA1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</w:t>
            </w:r>
            <w:r w:rsidRPr="002B1D5D">
              <w:rPr>
                <w:rFonts w:ascii="Times New Roman" w:hAnsi="Times New Roman" w:cs="Times New Roman"/>
              </w:rPr>
              <w:t xml:space="preserve"> amygdala</w:t>
            </w:r>
          </w:p>
          <w:p w14:paraId="1A8A7B70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pallidum 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14:paraId="4DAE2CF6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10/9/8/6/47/20/38/32/13/21/46/45/44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FFB8D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13548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62603A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126849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7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37A2D8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-3</w:t>
            </w:r>
          </w:p>
        </w:tc>
        <w:tc>
          <w:tcPr>
            <w:tcW w:w="1069" w:type="dxa"/>
            <w:tcBorders>
              <w:top w:val="nil"/>
            </w:tcBorders>
            <w:vAlign w:val="center"/>
          </w:tcPr>
          <w:p w14:paraId="796F08A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7.32</w:t>
            </w:r>
          </w:p>
        </w:tc>
      </w:tr>
      <w:tr w:rsidR="000B50FB" w:rsidRPr="002B1D5D" w14:paraId="412BD0D8" w14:textId="77777777" w:rsidTr="001243CF">
        <w:trPr>
          <w:trHeight w:val="537"/>
        </w:trPr>
        <w:tc>
          <w:tcPr>
            <w:tcW w:w="3828" w:type="dxa"/>
            <w:shd w:val="clear" w:color="auto" w:fill="E7E6E6" w:themeFill="background2"/>
            <w:noWrap/>
            <w:vAlign w:val="center"/>
            <w:hideMark/>
          </w:tcPr>
          <w:p w14:paraId="5103E414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Sensorimotor regions</w:t>
            </w:r>
          </w:p>
        </w:tc>
        <w:tc>
          <w:tcPr>
            <w:tcW w:w="1990" w:type="dxa"/>
            <w:shd w:val="clear" w:color="auto" w:fill="E7E6E6" w:themeFill="background2"/>
            <w:vAlign w:val="center"/>
          </w:tcPr>
          <w:p w14:paraId="1D51C4DC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shd w:val="clear" w:color="auto" w:fill="E7E6E6" w:themeFill="background2"/>
            <w:noWrap/>
            <w:vAlign w:val="center"/>
            <w:hideMark/>
          </w:tcPr>
          <w:p w14:paraId="64F9ED7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E7E6E6" w:themeFill="background2"/>
            <w:noWrap/>
            <w:vAlign w:val="center"/>
            <w:hideMark/>
          </w:tcPr>
          <w:p w14:paraId="63188569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3EC30568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shd w:val="clear" w:color="auto" w:fill="E7E6E6" w:themeFill="background2"/>
            <w:noWrap/>
            <w:vAlign w:val="center"/>
            <w:hideMark/>
          </w:tcPr>
          <w:p w14:paraId="5AB32EB6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2713E458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5FCEAC7D" w14:textId="77777777" w:rsidTr="001243CF">
        <w:trPr>
          <w:trHeight w:val="765"/>
        </w:trPr>
        <w:tc>
          <w:tcPr>
            <w:tcW w:w="3828" w:type="dxa"/>
            <w:shd w:val="clear" w:color="auto" w:fill="auto"/>
            <w:vAlign w:val="center"/>
            <w:hideMark/>
          </w:tcPr>
          <w:p w14:paraId="48F7D63F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middle occipital gyrus</w:t>
            </w:r>
          </w:p>
          <w:p w14:paraId="66E2F850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</w:t>
            </w:r>
            <w:r w:rsidRPr="002B1D5D">
              <w:rPr>
                <w:rFonts w:ascii="Times New Roman" w:hAnsi="Times New Roman" w:cs="Times New Roman"/>
              </w:rPr>
              <w:t>precentral</w:t>
            </w: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 gyrus</w:t>
            </w:r>
          </w:p>
          <w:p w14:paraId="2C5D159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postcentral gyrus</w:t>
            </w:r>
          </w:p>
          <w:p w14:paraId="0A1122DC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calcarine cortex</w:t>
            </w:r>
          </w:p>
          <w:p w14:paraId="4E731AD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lingual gyrus </w:t>
            </w:r>
          </w:p>
          <w:p w14:paraId="30D906BE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precuneus</w:t>
            </w:r>
          </w:p>
          <w:p w14:paraId="10E464B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</w:t>
            </w:r>
            <w:r w:rsidRPr="002B1D5D">
              <w:rPr>
                <w:rFonts w:ascii="Times New Roman" w:hAnsi="Times New Roman" w:cs="Times New Roman"/>
              </w:rPr>
              <w:t>ateral superior parietal gyrus</w:t>
            </w:r>
          </w:p>
          <w:p w14:paraId="24F7A096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middle temporal gyrus</w:t>
            </w:r>
          </w:p>
          <w:p w14:paraId="4AD85C8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superior occipital gyrus</w:t>
            </w:r>
          </w:p>
          <w:p w14:paraId="69619BAD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cuneus</w:t>
            </w:r>
          </w:p>
          <w:p w14:paraId="609E1B6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Left inferior occipital gyrus</w:t>
            </w:r>
          </w:p>
          <w:p w14:paraId="2C8D48C8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</w:t>
            </w:r>
            <w:r w:rsidRPr="002B1D5D">
              <w:rPr>
                <w:rFonts w:ascii="Times New Roman" w:hAnsi="Times New Roman" w:cs="Times New Roman"/>
              </w:rPr>
              <w:t>paracentral lobule</w:t>
            </w:r>
          </w:p>
          <w:p w14:paraId="432DF3C0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Bilateral fusiform gyrus</w:t>
            </w:r>
          </w:p>
          <w:p w14:paraId="54ECF772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inferior parietal gyrus</w:t>
            </w:r>
          </w:p>
        </w:tc>
        <w:tc>
          <w:tcPr>
            <w:tcW w:w="1990" w:type="dxa"/>
            <w:vAlign w:val="center"/>
          </w:tcPr>
          <w:p w14:paraId="21DDC36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7/18/19/6/3/4/30/17/37/5/31/40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39F25D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10025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7B322D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409AF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-78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298720C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69" w:type="dxa"/>
            <w:vAlign w:val="center"/>
          </w:tcPr>
          <w:p w14:paraId="40001FB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-9.34</w:t>
            </w:r>
          </w:p>
        </w:tc>
      </w:tr>
    </w:tbl>
    <w:p w14:paraId="4BA04B60" w14:textId="1A6EC39C" w:rsidR="000B50FB" w:rsidRDefault="000B50FB" w:rsidP="000B50FB">
      <w:pPr>
        <w:spacing w:before="120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MNI, Montreal Neurological Institute.</w:t>
      </w:r>
      <w:r w:rsidRPr="002B1D5D">
        <w:rPr>
          <w:rFonts w:ascii="Times New Roman" w:hAnsi="Times New Roman" w:cs="Times New Roman"/>
        </w:rPr>
        <w:t xml:space="preserve"> 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*Significant at </w:t>
      </w:r>
      <w:r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&lt; 0.05 corrected </w:t>
      </w:r>
      <w:r w:rsidRPr="002B1D5D">
        <w:rPr>
          <w:rFonts w:ascii="Times New Roman" w:hAnsi="Times New Roman" w:cs="Times New Roman"/>
        </w:rPr>
        <w:t>by Gaussian random field correction.</w:t>
      </w:r>
    </w:p>
    <w:p w14:paraId="5F786E27" w14:textId="6CD2F31A" w:rsidR="000B50FB" w:rsidRDefault="000B50FB" w:rsidP="000B50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C520F5" w14:textId="6541B02A" w:rsidR="00B0671D" w:rsidRPr="000B50FB" w:rsidRDefault="00B0671D" w:rsidP="009E4260">
      <w:pPr>
        <w:jc w:val="both"/>
        <w:rPr>
          <w:rFonts w:ascii="Times New Roman" w:hAnsi="Times New Roman" w:cs="Times New Roman"/>
        </w:rPr>
      </w:pP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 xml:space="preserve">Table S6. </w:t>
      </w:r>
      <w:r w:rsidRPr="002B1D5D">
        <w:rPr>
          <w:rFonts w:ascii="Times New Roman" w:hAnsi="Times New Roman" w:cs="Times New Roman"/>
          <w:b/>
          <w:bCs/>
        </w:rPr>
        <w:t>The amplitude of low-frequency fluctuation</w:t>
      </w: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 xml:space="preserve"> values in brain regions, showing significant differences between </w:t>
      </w:r>
      <w:proofErr w:type="gramStart"/>
      <w:r w:rsidRPr="002B1D5D">
        <w:rPr>
          <w:rFonts w:ascii="Times New Roman" w:hAnsi="Times New Roman" w:cs="Times New Roman"/>
          <w:b/>
          <w:bCs/>
        </w:rPr>
        <w:t>Atypical</w:t>
      </w:r>
      <w:proofErr w:type="gramEnd"/>
      <w:r w:rsidRPr="002B1D5D">
        <w:rPr>
          <w:rFonts w:ascii="Times New Roman" w:hAnsi="Times New Roman" w:cs="Times New Roman"/>
          <w:b/>
          <w:bCs/>
        </w:rPr>
        <w:t xml:space="preserve"> depression and </w:t>
      </w:r>
      <w:r w:rsidR="009E4260" w:rsidRPr="002B1D5D">
        <w:rPr>
          <w:rFonts w:ascii="Times New Roman" w:hAnsi="Times New Roman" w:cs="Times New Roman"/>
          <w:b/>
          <w:bCs/>
        </w:rPr>
        <w:t xml:space="preserve">healthy </w:t>
      </w:r>
      <w:r w:rsidRPr="002B1D5D">
        <w:rPr>
          <w:rFonts w:ascii="Times New Roman" w:hAnsi="Times New Roman" w:cs="Times New Roman"/>
          <w:b/>
          <w:bCs/>
        </w:rPr>
        <w:t>control</w:t>
      </w:r>
      <w:r w:rsidRPr="002B1D5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.</w:t>
      </w:r>
    </w:p>
    <w:tbl>
      <w:tblPr>
        <w:tblW w:w="10354" w:type="dxa"/>
        <w:tblInd w:w="-103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990"/>
        <w:gridCol w:w="987"/>
        <w:gridCol w:w="851"/>
        <w:gridCol w:w="850"/>
        <w:gridCol w:w="779"/>
        <w:gridCol w:w="1069"/>
      </w:tblGrid>
      <w:tr w:rsidR="000B50FB" w:rsidRPr="002B1D5D" w14:paraId="7782F128" w14:textId="77777777" w:rsidTr="001243CF">
        <w:trPr>
          <w:trHeight w:val="277"/>
        </w:trPr>
        <w:tc>
          <w:tcPr>
            <w:tcW w:w="3828" w:type="dxa"/>
            <w:vMerge w:val="restart"/>
            <w:shd w:val="clear" w:color="auto" w:fill="auto"/>
            <w:noWrap/>
            <w:vAlign w:val="center"/>
            <w:hideMark/>
          </w:tcPr>
          <w:p w14:paraId="2A26A490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Brain region</w:t>
            </w:r>
          </w:p>
        </w:tc>
        <w:tc>
          <w:tcPr>
            <w:tcW w:w="1990" w:type="dxa"/>
            <w:vMerge w:val="restart"/>
            <w:vAlign w:val="center"/>
          </w:tcPr>
          <w:p w14:paraId="2783EC59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Brodmann area</w:t>
            </w:r>
          </w:p>
        </w:tc>
        <w:tc>
          <w:tcPr>
            <w:tcW w:w="987" w:type="dxa"/>
            <w:vMerge w:val="restart"/>
            <w:shd w:val="clear" w:color="auto" w:fill="auto"/>
            <w:noWrap/>
            <w:vAlign w:val="center"/>
            <w:hideMark/>
          </w:tcPr>
          <w:p w14:paraId="0B0EE97A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Cluster size</w:t>
            </w:r>
          </w:p>
        </w:tc>
        <w:tc>
          <w:tcPr>
            <w:tcW w:w="2480" w:type="dxa"/>
            <w:gridSpan w:val="3"/>
            <w:shd w:val="clear" w:color="auto" w:fill="auto"/>
            <w:noWrap/>
            <w:vAlign w:val="center"/>
            <w:hideMark/>
          </w:tcPr>
          <w:p w14:paraId="561FAA5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Peak MNI coordinates</w:t>
            </w:r>
          </w:p>
        </w:tc>
        <w:tc>
          <w:tcPr>
            <w:tcW w:w="1069" w:type="dxa"/>
            <w:vMerge w:val="restart"/>
            <w:vAlign w:val="center"/>
          </w:tcPr>
          <w:p w14:paraId="17D5935C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i/>
                <w:iCs/>
                <w:color w:val="000000"/>
              </w:rPr>
              <w:t>T</w:t>
            </w:r>
            <w:r w:rsidRPr="002B1D5D">
              <w:rPr>
                <w:rFonts w:ascii="Times New Roman" w:hAnsi="Times New Roman" w:cs="Times New Roman"/>
                <w:color w:val="000000"/>
              </w:rPr>
              <w:t xml:space="preserve"> Values*</w:t>
            </w:r>
          </w:p>
        </w:tc>
      </w:tr>
      <w:tr w:rsidR="000B50FB" w:rsidRPr="002B1D5D" w14:paraId="38520D5A" w14:textId="77777777" w:rsidTr="001243CF">
        <w:trPr>
          <w:trHeight w:val="277"/>
        </w:trPr>
        <w:tc>
          <w:tcPr>
            <w:tcW w:w="382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56A895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90" w:type="dxa"/>
            <w:vMerge/>
            <w:tcBorders>
              <w:bottom w:val="single" w:sz="4" w:space="0" w:color="auto"/>
            </w:tcBorders>
            <w:vAlign w:val="center"/>
          </w:tcPr>
          <w:p w14:paraId="1323812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41FB2ED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0198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D577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Y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2C9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Z</w:t>
            </w: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vAlign w:val="center"/>
          </w:tcPr>
          <w:p w14:paraId="09DE82F1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50E5F126" w14:textId="77777777" w:rsidTr="001243CF">
        <w:trPr>
          <w:trHeight w:val="437"/>
        </w:trPr>
        <w:tc>
          <w:tcPr>
            <w:tcW w:w="3828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3ED71033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Frontal- subcortical regions</w:t>
            </w:r>
          </w:p>
        </w:tc>
        <w:tc>
          <w:tcPr>
            <w:tcW w:w="199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5B954F4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0A0EBC46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7259715D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6C5EF5D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noWrap/>
            <w:vAlign w:val="center"/>
            <w:hideMark/>
          </w:tcPr>
          <w:p w14:paraId="120B33D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tcBorders>
              <w:top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52D1ACF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19CCAF68" w14:textId="77777777" w:rsidTr="001243CF">
        <w:trPr>
          <w:trHeight w:val="872"/>
        </w:trPr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0612216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middle frontal gyrus</w:t>
            </w:r>
          </w:p>
          <w:p w14:paraId="4965735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superior frontal gyrus, medial</w:t>
            </w:r>
          </w:p>
          <w:p w14:paraId="5405D5A6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hAnsi="Times New Roman" w:cs="Times New Roman"/>
              </w:rPr>
              <w:t>Bilat</w:t>
            </w:r>
            <w:r w:rsidRPr="002B1D5D">
              <w:rPr>
                <w:rFonts w:ascii="Times New Roman" w:eastAsia="DengXian" w:hAnsi="Times New Roman" w:cs="Times New Roman"/>
                <w:kern w:val="24"/>
              </w:rPr>
              <w:t>eral superior frontal gyrus</w:t>
            </w:r>
          </w:p>
          <w:p w14:paraId="7EE2185E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Inferior frontal gyrus, triangular part</w:t>
            </w:r>
          </w:p>
          <w:p w14:paraId="42CDD0E6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supplementary motor area</w:t>
            </w:r>
          </w:p>
          <w:p w14:paraId="6CD3E00B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Inferior frontal gyrus, orbital part</w:t>
            </w:r>
          </w:p>
          <w:p w14:paraId="1746F3B2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middle frontal gyrus, orbital part</w:t>
            </w:r>
          </w:p>
          <w:p w14:paraId="17FFA425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Temporal pole: superior temporal gyrus </w:t>
            </w:r>
          </w:p>
          <w:p w14:paraId="4548E6EC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rectus</w:t>
            </w:r>
          </w:p>
          <w:p w14:paraId="18CFD08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caudate</w:t>
            </w:r>
          </w:p>
          <w:p w14:paraId="777F173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superior frontal gyrus, orbital part</w:t>
            </w:r>
          </w:p>
          <w:p w14:paraId="61A9985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anterior cingulate gyrus</w:t>
            </w:r>
          </w:p>
          <w:p w14:paraId="4245AD26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insula</w:t>
            </w:r>
          </w:p>
          <w:p w14:paraId="06107475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inferior temporal gyrus</w:t>
            </w:r>
          </w:p>
          <w:p w14:paraId="40506453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putamen</w:t>
            </w:r>
          </w:p>
          <w:p w14:paraId="6725AA5A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middle cingulate gyrus</w:t>
            </w:r>
          </w:p>
          <w:p w14:paraId="2B05359C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precentral gyrus</w:t>
            </w:r>
          </w:p>
          <w:p w14:paraId="01E65F4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</w:t>
            </w:r>
            <w:proofErr w:type="spellStart"/>
            <w:r w:rsidRPr="002B1D5D">
              <w:rPr>
                <w:rFonts w:ascii="Times New Roman" w:eastAsia="DengXian" w:hAnsi="Times New Roman" w:cs="Times New Roman"/>
                <w:kern w:val="24"/>
              </w:rPr>
              <w:t>parahippocampal</w:t>
            </w:r>
            <w:proofErr w:type="spellEnd"/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 gyrus</w:t>
            </w:r>
          </w:p>
          <w:p w14:paraId="7DE1730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middle temporal gyrus</w:t>
            </w:r>
          </w:p>
          <w:p w14:paraId="4D064CF3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hippocampus</w:t>
            </w:r>
          </w:p>
          <w:p w14:paraId="05C2F7CC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pallidum </w:t>
            </w:r>
          </w:p>
          <w:p w14:paraId="23A907B5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</w:t>
            </w:r>
            <w:r w:rsidRPr="002B1D5D">
              <w:rPr>
                <w:rFonts w:ascii="Times New Roman" w:hAnsi="Times New Roman" w:cs="Times New Roman"/>
              </w:rPr>
              <w:t xml:space="preserve"> amygdala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14:paraId="26995FE1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10/9/8/11/6/32/47/46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000C42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7515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E331C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FA0F37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7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267BFC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-12</w:t>
            </w:r>
          </w:p>
        </w:tc>
        <w:tc>
          <w:tcPr>
            <w:tcW w:w="1069" w:type="dxa"/>
            <w:tcBorders>
              <w:top w:val="nil"/>
            </w:tcBorders>
            <w:vAlign w:val="center"/>
          </w:tcPr>
          <w:p w14:paraId="7A6F459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-5.70</w:t>
            </w:r>
          </w:p>
        </w:tc>
      </w:tr>
      <w:tr w:rsidR="000B50FB" w:rsidRPr="002B1D5D" w14:paraId="354066AD" w14:textId="77777777" w:rsidTr="001243CF">
        <w:trPr>
          <w:trHeight w:val="363"/>
        </w:trPr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14:paraId="5C71F9A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</w:p>
        </w:tc>
        <w:tc>
          <w:tcPr>
            <w:tcW w:w="1990" w:type="dxa"/>
            <w:tcBorders>
              <w:top w:val="nil"/>
            </w:tcBorders>
            <w:vAlign w:val="center"/>
          </w:tcPr>
          <w:p w14:paraId="1B826EF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5E75BD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7BAE860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871773A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3F7C96E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tcBorders>
              <w:top w:val="nil"/>
            </w:tcBorders>
            <w:vAlign w:val="center"/>
          </w:tcPr>
          <w:p w14:paraId="33F7673D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0A66E3F0" w14:textId="77777777" w:rsidTr="001243CF">
        <w:trPr>
          <w:trHeight w:val="872"/>
        </w:trPr>
        <w:tc>
          <w:tcPr>
            <w:tcW w:w="3828" w:type="dxa"/>
            <w:tcBorders>
              <w:top w:val="nil"/>
            </w:tcBorders>
            <w:shd w:val="clear" w:color="auto" w:fill="auto"/>
            <w:vAlign w:val="center"/>
          </w:tcPr>
          <w:p w14:paraId="02AFDAAF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Right angular gyrus</w:t>
            </w:r>
          </w:p>
          <w:p w14:paraId="2F652B4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Right supramarginal gyrus </w:t>
            </w:r>
          </w:p>
          <w:p w14:paraId="57399251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Right inferior parietal gyrus</w:t>
            </w:r>
          </w:p>
        </w:tc>
        <w:tc>
          <w:tcPr>
            <w:tcW w:w="1990" w:type="dxa"/>
            <w:tcBorders>
              <w:top w:val="nil"/>
            </w:tcBorders>
            <w:vAlign w:val="center"/>
          </w:tcPr>
          <w:p w14:paraId="56AF0A43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40/39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429883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915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5B00E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63E0809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-75</w:t>
            </w:r>
          </w:p>
        </w:tc>
        <w:tc>
          <w:tcPr>
            <w:tcW w:w="77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4C73FF9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069" w:type="dxa"/>
            <w:tcBorders>
              <w:top w:val="nil"/>
            </w:tcBorders>
            <w:vAlign w:val="center"/>
          </w:tcPr>
          <w:p w14:paraId="2AEE134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-5.06</w:t>
            </w:r>
          </w:p>
        </w:tc>
      </w:tr>
      <w:tr w:rsidR="000B50FB" w:rsidRPr="002B1D5D" w14:paraId="2ECC793A" w14:textId="77777777" w:rsidTr="001243CF">
        <w:trPr>
          <w:trHeight w:val="537"/>
        </w:trPr>
        <w:tc>
          <w:tcPr>
            <w:tcW w:w="3828" w:type="dxa"/>
            <w:shd w:val="clear" w:color="auto" w:fill="E7E6E6" w:themeFill="background2"/>
            <w:noWrap/>
            <w:vAlign w:val="center"/>
            <w:hideMark/>
          </w:tcPr>
          <w:p w14:paraId="284330CD" w14:textId="77777777" w:rsidR="000B50FB" w:rsidRPr="002B1D5D" w:rsidRDefault="000B50FB" w:rsidP="001243CF">
            <w:pPr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Sensorimotor regions</w:t>
            </w:r>
          </w:p>
        </w:tc>
        <w:tc>
          <w:tcPr>
            <w:tcW w:w="1990" w:type="dxa"/>
            <w:shd w:val="clear" w:color="auto" w:fill="E7E6E6" w:themeFill="background2"/>
            <w:vAlign w:val="center"/>
          </w:tcPr>
          <w:p w14:paraId="34B3EE4F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shd w:val="clear" w:color="auto" w:fill="E7E6E6" w:themeFill="background2"/>
            <w:noWrap/>
            <w:vAlign w:val="center"/>
            <w:hideMark/>
          </w:tcPr>
          <w:p w14:paraId="75CA0B43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E7E6E6" w:themeFill="background2"/>
            <w:noWrap/>
            <w:vAlign w:val="center"/>
            <w:hideMark/>
          </w:tcPr>
          <w:p w14:paraId="631EFCE1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E7E6E6" w:themeFill="background2"/>
            <w:noWrap/>
            <w:vAlign w:val="center"/>
            <w:hideMark/>
          </w:tcPr>
          <w:p w14:paraId="36D8212D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79" w:type="dxa"/>
            <w:shd w:val="clear" w:color="auto" w:fill="E7E6E6" w:themeFill="background2"/>
            <w:noWrap/>
            <w:vAlign w:val="center"/>
            <w:hideMark/>
          </w:tcPr>
          <w:p w14:paraId="1C7D823B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69" w:type="dxa"/>
            <w:shd w:val="clear" w:color="auto" w:fill="E7E6E6" w:themeFill="background2"/>
            <w:vAlign w:val="center"/>
          </w:tcPr>
          <w:p w14:paraId="15F9E4D5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B50FB" w:rsidRPr="002B1D5D" w14:paraId="48A47018" w14:textId="77777777" w:rsidTr="001243CF">
        <w:trPr>
          <w:trHeight w:val="765"/>
        </w:trPr>
        <w:tc>
          <w:tcPr>
            <w:tcW w:w="3828" w:type="dxa"/>
            <w:shd w:val="clear" w:color="auto" w:fill="auto"/>
            <w:vAlign w:val="center"/>
            <w:hideMark/>
          </w:tcPr>
          <w:p w14:paraId="7553623C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middle occipital gyrus</w:t>
            </w:r>
          </w:p>
          <w:p w14:paraId="1AEC9288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inferior parietal gyrus</w:t>
            </w:r>
          </w:p>
          <w:p w14:paraId="00BE334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postcentral gyrus</w:t>
            </w:r>
          </w:p>
          <w:p w14:paraId="1BC17299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</w:t>
            </w:r>
            <w:r w:rsidRPr="002B1D5D">
              <w:rPr>
                <w:rFonts w:ascii="Times New Roman" w:hAnsi="Times New Roman" w:cs="Times New Roman"/>
              </w:rPr>
              <w:t>ateral superior parietal gyrus</w:t>
            </w:r>
          </w:p>
          <w:p w14:paraId="67562894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precuneus</w:t>
            </w:r>
          </w:p>
          <w:p w14:paraId="6F5FA8AA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middle temporal gyrus</w:t>
            </w:r>
          </w:p>
          <w:p w14:paraId="43D683AF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lastRenderedPageBreak/>
              <w:t>Bilateral superior occipital gyrus</w:t>
            </w:r>
          </w:p>
          <w:p w14:paraId="1786A938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cuneus</w:t>
            </w:r>
          </w:p>
          <w:p w14:paraId="24167840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>Bilateral calcarine cortex</w:t>
            </w:r>
          </w:p>
          <w:p w14:paraId="0D0FFDDA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</w:t>
            </w:r>
            <w:r w:rsidRPr="002B1D5D">
              <w:rPr>
                <w:rFonts w:ascii="Times New Roman" w:hAnsi="Times New Roman" w:cs="Times New Roman"/>
              </w:rPr>
              <w:t>paracentral lobule</w:t>
            </w:r>
          </w:p>
          <w:p w14:paraId="398A5C6D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</w:t>
            </w:r>
            <w:r w:rsidRPr="002B1D5D">
              <w:rPr>
                <w:rFonts w:ascii="Times New Roman" w:hAnsi="Times New Roman" w:cs="Times New Roman"/>
              </w:rPr>
              <w:t>precentral</w:t>
            </w: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 gyrus</w:t>
            </w:r>
          </w:p>
          <w:p w14:paraId="0C089F56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hAnsi="Times New Roman" w:cs="Times New Roman"/>
              </w:rPr>
              <w:t>Bilateral middle cingulate gyrus</w:t>
            </w:r>
          </w:p>
          <w:p w14:paraId="41D562A2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Bilateral lingual gyrus </w:t>
            </w:r>
          </w:p>
          <w:p w14:paraId="3235CA21" w14:textId="77777777" w:rsidR="000B50FB" w:rsidRPr="002B1D5D" w:rsidRDefault="000B50FB" w:rsidP="001243CF">
            <w:pPr>
              <w:rPr>
                <w:rFonts w:ascii="Times New Roman" w:hAnsi="Times New Roman" w:cs="Times New Roman"/>
              </w:rPr>
            </w:pPr>
            <w:r w:rsidRPr="002B1D5D">
              <w:rPr>
                <w:rFonts w:ascii="Times New Roman" w:hAnsi="Times New Roman" w:cs="Times New Roman"/>
              </w:rPr>
              <w:t>Left superior temporal gyrus</w:t>
            </w:r>
          </w:p>
          <w:p w14:paraId="54980F55" w14:textId="77777777" w:rsidR="000B50FB" w:rsidRPr="002B1D5D" w:rsidRDefault="000B50FB" w:rsidP="001243CF">
            <w:pPr>
              <w:rPr>
                <w:rFonts w:ascii="Times New Roman" w:eastAsia="DengXian" w:hAnsi="Times New Roman" w:cs="Times New Roman"/>
                <w:kern w:val="24"/>
              </w:rPr>
            </w:pPr>
            <w:r w:rsidRPr="002B1D5D">
              <w:rPr>
                <w:rFonts w:ascii="Times New Roman" w:hAnsi="Times New Roman" w:cs="Times New Roman"/>
              </w:rPr>
              <w:t>Left supramarginal</w:t>
            </w:r>
            <w:r w:rsidRPr="002B1D5D">
              <w:rPr>
                <w:rFonts w:ascii="Times New Roman" w:eastAsia="DengXian" w:hAnsi="Times New Roman" w:cs="Times New Roman"/>
                <w:kern w:val="24"/>
              </w:rPr>
              <w:t xml:space="preserve"> gyrus</w:t>
            </w:r>
          </w:p>
        </w:tc>
        <w:tc>
          <w:tcPr>
            <w:tcW w:w="1990" w:type="dxa"/>
            <w:vAlign w:val="center"/>
          </w:tcPr>
          <w:p w14:paraId="68910452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lastRenderedPageBreak/>
              <w:t>7/18/19/40/6/3/314/5/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1E5FB2D4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7048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5C3E37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CB9D98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-33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4F69B359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069" w:type="dxa"/>
            <w:vAlign w:val="center"/>
          </w:tcPr>
          <w:p w14:paraId="25124316" w14:textId="77777777" w:rsidR="000B50FB" w:rsidRPr="002B1D5D" w:rsidRDefault="000B50FB" w:rsidP="001243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1D5D">
              <w:rPr>
                <w:rFonts w:ascii="Times New Roman" w:hAnsi="Times New Roman" w:cs="Times New Roman"/>
                <w:color w:val="000000"/>
              </w:rPr>
              <w:t>5.89</w:t>
            </w:r>
          </w:p>
        </w:tc>
      </w:tr>
    </w:tbl>
    <w:p w14:paraId="05D455C1" w14:textId="41F85BD2" w:rsidR="00D33FC2" w:rsidRPr="008E260F" w:rsidRDefault="000B50FB" w:rsidP="008E260F">
      <w:pPr>
        <w:spacing w:before="120"/>
        <w:rPr>
          <w:rFonts w:ascii="Times New Roman" w:hAnsi="Times New Roman" w:cs="Times New Roman"/>
          <w:color w:val="000000"/>
          <w:shd w:val="clear" w:color="auto" w:fill="FFFFFF"/>
        </w:rPr>
      </w:pPr>
      <w:r w:rsidRPr="002B1D5D">
        <w:rPr>
          <w:rFonts w:ascii="Times New Roman" w:hAnsi="Times New Roman" w:cs="Times New Roman"/>
          <w:color w:val="000000"/>
          <w:shd w:val="clear" w:color="auto" w:fill="FFFFFF"/>
        </w:rPr>
        <w:t>MNI, Montreal Neurological Institute.</w:t>
      </w:r>
      <w:r w:rsidRPr="002B1D5D">
        <w:rPr>
          <w:rFonts w:ascii="Times New Roman" w:hAnsi="Times New Roman" w:cs="Times New Roman"/>
        </w:rPr>
        <w:t xml:space="preserve"> 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*Significant at </w:t>
      </w:r>
      <w:r w:rsidRPr="002B1D5D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</w:t>
      </w:r>
      <w:r w:rsidRPr="002B1D5D">
        <w:rPr>
          <w:rFonts w:ascii="Times New Roman" w:hAnsi="Times New Roman" w:cs="Times New Roman"/>
          <w:color w:val="000000"/>
          <w:shd w:val="clear" w:color="auto" w:fill="FFFFFF"/>
        </w:rPr>
        <w:t xml:space="preserve"> &lt; 0.05 corrected </w:t>
      </w:r>
      <w:r w:rsidRPr="002B1D5D">
        <w:rPr>
          <w:rFonts w:ascii="Times New Roman" w:hAnsi="Times New Roman" w:cs="Times New Roman"/>
        </w:rPr>
        <w:t xml:space="preserve">by Gaussian random field correction. </w:t>
      </w:r>
    </w:p>
    <w:sectPr w:rsidR="00D33FC2" w:rsidRPr="008E2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F3C3" w14:textId="77777777" w:rsidR="000201E6" w:rsidRDefault="000201E6" w:rsidP="00AB4DB9">
      <w:r>
        <w:separator/>
      </w:r>
    </w:p>
  </w:endnote>
  <w:endnote w:type="continuationSeparator" w:id="0">
    <w:p w14:paraId="56706BB6" w14:textId="77777777" w:rsidR="000201E6" w:rsidRDefault="000201E6" w:rsidP="00AB4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SC">
    <w:altName w:val="微软雅黑"/>
    <w:panose1 w:val="020B0400000000000000"/>
    <w:charset w:val="86"/>
    <w:family w:val="swiss"/>
    <w:pitch w:val="variable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4B7C" w14:textId="77777777" w:rsidR="000201E6" w:rsidRDefault="000201E6" w:rsidP="00AB4DB9">
      <w:r>
        <w:separator/>
      </w:r>
    </w:p>
  </w:footnote>
  <w:footnote w:type="continuationSeparator" w:id="0">
    <w:p w14:paraId="1B9BD1C4" w14:textId="77777777" w:rsidR="000201E6" w:rsidRDefault="000201E6" w:rsidP="00AB4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4658"/>
    <w:multiLevelType w:val="hybridMultilevel"/>
    <w:tmpl w:val="4934DE60"/>
    <w:lvl w:ilvl="0" w:tplc="0D221DEC">
      <w:start w:val="5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76202"/>
    <w:multiLevelType w:val="hybridMultilevel"/>
    <w:tmpl w:val="FCF87136"/>
    <w:lvl w:ilvl="0" w:tplc="400EE5E4">
      <w:start w:val="5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641B9"/>
    <w:multiLevelType w:val="multilevel"/>
    <w:tmpl w:val="3106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551D4E"/>
    <w:multiLevelType w:val="multilevel"/>
    <w:tmpl w:val="5B551D4E"/>
    <w:lvl w:ilvl="0">
      <w:start w:val="1"/>
      <w:numFmt w:val="decimal"/>
      <w:lvlText w:val="3.%1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3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17994949">
    <w:abstractNumId w:val="3"/>
  </w:num>
  <w:num w:numId="2" w16cid:durableId="1740640285">
    <w:abstractNumId w:val="1"/>
  </w:num>
  <w:num w:numId="3" w16cid:durableId="1379629755">
    <w:abstractNumId w:val="0"/>
  </w:num>
  <w:num w:numId="4" w16cid:durableId="461117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FB"/>
    <w:rsid w:val="000171A9"/>
    <w:rsid w:val="000201E6"/>
    <w:rsid w:val="00030F81"/>
    <w:rsid w:val="000B50FB"/>
    <w:rsid w:val="000D3F42"/>
    <w:rsid w:val="000E5F89"/>
    <w:rsid w:val="000F1782"/>
    <w:rsid w:val="00101300"/>
    <w:rsid w:val="00122375"/>
    <w:rsid w:val="00181C8F"/>
    <w:rsid w:val="00197BBA"/>
    <w:rsid w:val="001F2567"/>
    <w:rsid w:val="00211797"/>
    <w:rsid w:val="00280EC7"/>
    <w:rsid w:val="00325515"/>
    <w:rsid w:val="004A68B7"/>
    <w:rsid w:val="00543231"/>
    <w:rsid w:val="0060322D"/>
    <w:rsid w:val="0063625E"/>
    <w:rsid w:val="006707B1"/>
    <w:rsid w:val="006B47EE"/>
    <w:rsid w:val="008019DA"/>
    <w:rsid w:val="00833074"/>
    <w:rsid w:val="008617E1"/>
    <w:rsid w:val="00886EBA"/>
    <w:rsid w:val="008B54FB"/>
    <w:rsid w:val="008E260F"/>
    <w:rsid w:val="00932F09"/>
    <w:rsid w:val="009E4260"/>
    <w:rsid w:val="00A17A27"/>
    <w:rsid w:val="00A442B4"/>
    <w:rsid w:val="00A60D48"/>
    <w:rsid w:val="00A77960"/>
    <w:rsid w:val="00A77C39"/>
    <w:rsid w:val="00AB4DB9"/>
    <w:rsid w:val="00B0671D"/>
    <w:rsid w:val="00BA101D"/>
    <w:rsid w:val="00BA10B9"/>
    <w:rsid w:val="00BA5AB8"/>
    <w:rsid w:val="00C268F3"/>
    <w:rsid w:val="00C82AB9"/>
    <w:rsid w:val="00C87C01"/>
    <w:rsid w:val="00D20B88"/>
    <w:rsid w:val="00D27686"/>
    <w:rsid w:val="00D33FC2"/>
    <w:rsid w:val="00D717CF"/>
    <w:rsid w:val="00DF6B2B"/>
    <w:rsid w:val="00E01F68"/>
    <w:rsid w:val="00E53362"/>
    <w:rsid w:val="00E62436"/>
    <w:rsid w:val="00ED4047"/>
    <w:rsid w:val="00F4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C8195"/>
  <w15:chartTrackingRefBased/>
  <w15:docId w15:val="{1F5A0D6A-6CCF-A541-8729-E6F89176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0FB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0B50FB"/>
    <w:pPr>
      <w:spacing w:line="360" w:lineRule="auto"/>
      <w:outlineLvl w:val="0"/>
    </w:pPr>
    <w:rPr>
      <w:rFonts w:ascii="Times New Roman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0B50FB"/>
    <w:pPr>
      <w:keepNext/>
      <w:keepLines/>
      <w:spacing w:beforeLines="100" w:before="100" w:afterLines="50" w:after="50" w:line="360" w:lineRule="auto"/>
      <w:outlineLvl w:val="1"/>
    </w:pPr>
    <w:rPr>
      <w:rFonts w:ascii="Times New Roman" w:eastAsia="Times New Roman" w:hAnsi="Times New Roman" w:cs="Times New Roman"/>
      <w:b/>
      <w:bCs/>
      <w:i/>
    </w:rPr>
  </w:style>
  <w:style w:type="paragraph" w:styleId="3">
    <w:name w:val="heading 3"/>
    <w:basedOn w:val="a"/>
    <w:next w:val="a"/>
    <w:link w:val="30"/>
    <w:uiPriority w:val="9"/>
    <w:unhideWhenUsed/>
    <w:qFormat/>
    <w:rsid w:val="000B50FB"/>
    <w:pPr>
      <w:keepNext/>
      <w:keepLines/>
      <w:numPr>
        <w:ilvl w:val="1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B50F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0B50FB"/>
    <w:rPr>
      <w:rFonts w:ascii="Times New Roman" w:eastAsia="宋体" w:hAnsi="Times New Roman" w:cs="Times New Roman"/>
      <w:b/>
      <w:kern w:val="0"/>
      <w:sz w:val="24"/>
    </w:rPr>
  </w:style>
  <w:style w:type="character" w:customStyle="1" w:styleId="20">
    <w:name w:val="标题 2 字符"/>
    <w:basedOn w:val="a0"/>
    <w:link w:val="2"/>
    <w:uiPriority w:val="9"/>
    <w:qFormat/>
    <w:rsid w:val="000B50FB"/>
    <w:rPr>
      <w:rFonts w:ascii="Times New Roman" w:eastAsia="Times New Roman" w:hAnsi="Times New Roman" w:cs="Times New Roman"/>
      <w:b/>
      <w:bCs/>
      <w:i/>
      <w:kern w:val="0"/>
      <w:sz w:val="24"/>
    </w:rPr>
  </w:style>
  <w:style w:type="character" w:customStyle="1" w:styleId="30">
    <w:name w:val="标题 3 字符"/>
    <w:basedOn w:val="a0"/>
    <w:link w:val="3"/>
    <w:uiPriority w:val="9"/>
    <w:qFormat/>
    <w:rsid w:val="000B50FB"/>
    <w:rPr>
      <w:rFonts w:ascii="宋体" w:eastAsia="宋体" w:hAnsi="宋体" w:cs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sid w:val="000B50FB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a3">
    <w:name w:val="annotation text"/>
    <w:basedOn w:val="a"/>
    <w:link w:val="a4"/>
    <w:uiPriority w:val="99"/>
    <w:unhideWhenUsed/>
    <w:qFormat/>
    <w:rsid w:val="000B50FB"/>
  </w:style>
  <w:style w:type="character" w:customStyle="1" w:styleId="a4">
    <w:name w:val="批注文字 字符"/>
    <w:basedOn w:val="a0"/>
    <w:link w:val="a3"/>
    <w:uiPriority w:val="99"/>
    <w:qFormat/>
    <w:rsid w:val="000B50FB"/>
    <w:rPr>
      <w:rFonts w:ascii="宋体" w:eastAsia="宋体" w:hAnsi="宋体" w:cs="宋体"/>
      <w:kern w:val="0"/>
      <w:sz w:val="24"/>
    </w:rPr>
  </w:style>
  <w:style w:type="paragraph" w:styleId="a5">
    <w:name w:val="Balloon Text"/>
    <w:basedOn w:val="a"/>
    <w:link w:val="a6"/>
    <w:uiPriority w:val="99"/>
    <w:semiHidden/>
    <w:unhideWhenUsed/>
    <w:qFormat/>
    <w:rsid w:val="000B50FB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0B50FB"/>
    <w:rPr>
      <w:rFonts w:ascii="宋体" w:eastAsia="宋体" w:hAnsi="宋体" w:cs="宋体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0B50F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0B50FB"/>
    <w:rPr>
      <w:rFonts w:ascii="宋体" w:eastAsia="宋体" w:hAnsi="宋体" w:cs="宋体"/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0B5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sid w:val="000B50FB"/>
    <w:rPr>
      <w:rFonts w:ascii="宋体" w:eastAsia="宋体" w:hAnsi="宋体" w:cs="宋体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0B5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character" w:customStyle="1" w:styleId="HTML0">
    <w:name w:val="HTML 预设格式 字符"/>
    <w:basedOn w:val="a0"/>
    <w:link w:val="HTML"/>
    <w:uiPriority w:val="99"/>
    <w:semiHidden/>
    <w:qFormat/>
    <w:rsid w:val="000B50FB"/>
    <w:rPr>
      <w:rFonts w:ascii="宋体" w:eastAsia="宋体" w:hAnsi="宋体" w:cs="宋体"/>
      <w:kern w:val="0"/>
      <w:sz w:val="24"/>
    </w:rPr>
  </w:style>
  <w:style w:type="paragraph" w:styleId="ab">
    <w:name w:val="Normal (Web)"/>
    <w:basedOn w:val="a"/>
    <w:uiPriority w:val="99"/>
    <w:unhideWhenUsed/>
    <w:qFormat/>
    <w:rsid w:val="000B50FB"/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sid w:val="000B50FB"/>
    <w:rPr>
      <w:b/>
      <w:bCs/>
    </w:rPr>
  </w:style>
  <w:style w:type="character" w:customStyle="1" w:styleId="ad">
    <w:name w:val="批注主题 字符"/>
    <w:basedOn w:val="a4"/>
    <w:link w:val="ac"/>
    <w:uiPriority w:val="99"/>
    <w:semiHidden/>
    <w:qFormat/>
    <w:rsid w:val="000B50FB"/>
    <w:rPr>
      <w:rFonts w:ascii="宋体" w:eastAsia="宋体" w:hAnsi="宋体" w:cs="宋体"/>
      <w:b/>
      <w:bCs/>
      <w:kern w:val="0"/>
      <w:sz w:val="24"/>
    </w:rPr>
  </w:style>
  <w:style w:type="character" w:styleId="ae">
    <w:name w:val="Strong"/>
    <w:basedOn w:val="a0"/>
    <w:uiPriority w:val="22"/>
    <w:qFormat/>
    <w:rsid w:val="000B50FB"/>
    <w:rPr>
      <w:b/>
      <w:bCs/>
    </w:rPr>
  </w:style>
  <w:style w:type="character" w:styleId="af">
    <w:name w:val="Emphasis"/>
    <w:basedOn w:val="a0"/>
    <w:uiPriority w:val="20"/>
    <w:qFormat/>
    <w:rsid w:val="000B50FB"/>
    <w:rPr>
      <w:i/>
      <w:iCs/>
    </w:rPr>
  </w:style>
  <w:style w:type="character" w:styleId="af0">
    <w:name w:val="Hyperlink"/>
    <w:basedOn w:val="a0"/>
    <w:uiPriority w:val="99"/>
    <w:unhideWhenUsed/>
    <w:qFormat/>
    <w:rsid w:val="000B50FB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sid w:val="000B50FB"/>
    <w:rPr>
      <w:sz w:val="21"/>
      <w:szCs w:val="21"/>
    </w:rPr>
  </w:style>
  <w:style w:type="paragraph" w:customStyle="1" w:styleId="paragraph">
    <w:name w:val="paragraph"/>
    <w:basedOn w:val="a"/>
    <w:link w:val="paragraph0"/>
    <w:qFormat/>
    <w:rsid w:val="000B50FB"/>
    <w:pPr>
      <w:spacing w:before="100" w:beforeAutospacing="1" w:after="100" w:afterAutospacing="1"/>
    </w:pPr>
  </w:style>
  <w:style w:type="character" w:customStyle="1" w:styleId="paragraph0">
    <w:name w:val="paragraph 字符"/>
    <w:basedOn w:val="a0"/>
    <w:link w:val="paragraph"/>
    <w:qFormat/>
    <w:rsid w:val="000B50FB"/>
    <w:rPr>
      <w:rFonts w:ascii="宋体" w:eastAsia="宋体" w:hAnsi="宋体" w:cs="宋体"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qFormat/>
    <w:rsid w:val="000B50FB"/>
    <w:pPr>
      <w:jc w:val="center"/>
    </w:pPr>
    <w:rPr>
      <w:rFonts w:ascii="Times New Roman" w:eastAsia="DengXian" w:hAnsi="Times New Roman" w:cs="Times New Roman"/>
      <w:kern w:val="2"/>
      <w:sz w:val="20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0B50FB"/>
    <w:rPr>
      <w:rFonts w:ascii="Times New Roman" w:eastAsia="DengXian" w:hAnsi="Times New Roman" w:cs="Times New Roman"/>
      <w:sz w:val="20"/>
      <w:szCs w:val="22"/>
    </w:rPr>
  </w:style>
  <w:style w:type="paragraph" w:customStyle="1" w:styleId="EndNoteBibliography">
    <w:name w:val="EndNote Bibliography"/>
    <w:basedOn w:val="a"/>
    <w:link w:val="EndNoteBibliography0"/>
    <w:qFormat/>
    <w:rsid w:val="000B50FB"/>
    <w:pPr>
      <w:widowControl w:val="0"/>
      <w:jc w:val="both"/>
    </w:pPr>
    <w:rPr>
      <w:rFonts w:ascii="Times New Roman" w:eastAsia="DengXian" w:hAnsi="Times New Roman" w:cs="Times New Roman"/>
      <w:kern w:val="2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qFormat/>
    <w:rsid w:val="000B50FB"/>
    <w:rPr>
      <w:rFonts w:ascii="Times New Roman" w:eastAsia="DengXian" w:hAnsi="Times New Roman" w:cs="Times New Roman"/>
      <w:sz w:val="20"/>
      <w:szCs w:val="22"/>
    </w:rPr>
  </w:style>
  <w:style w:type="paragraph" w:styleId="af2">
    <w:name w:val="List Paragraph"/>
    <w:basedOn w:val="a"/>
    <w:uiPriority w:val="34"/>
    <w:qFormat/>
    <w:rsid w:val="000B50FB"/>
    <w:pPr>
      <w:ind w:firstLineChars="200" w:firstLine="420"/>
    </w:pPr>
  </w:style>
  <w:style w:type="paragraph" w:customStyle="1" w:styleId="11">
    <w:name w:val="修订1"/>
    <w:hidden/>
    <w:uiPriority w:val="99"/>
    <w:semiHidden/>
    <w:qFormat/>
    <w:rsid w:val="000B50FB"/>
    <w:rPr>
      <w:szCs w:val="22"/>
    </w:rPr>
  </w:style>
  <w:style w:type="character" w:customStyle="1" w:styleId="apple-converted-space">
    <w:name w:val="apple-converted-space"/>
    <w:basedOn w:val="a0"/>
    <w:qFormat/>
    <w:rsid w:val="000B50FB"/>
  </w:style>
  <w:style w:type="character" w:customStyle="1" w:styleId="jlqj4b">
    <w:name w:val="jlqj4b"/>
    <w:basedOn w:val="a0"/>
    <w:qFormat/>
    <w:rsid w:val="000B50FB"/>
  </w:style>
  <w:style w:type="character" w:customStyle="1" w:styleId="tgt">
    <w:name w:val="tgt"/>
    <w:basedOn w:val="a0"/>
    <w:qFormat/>
    <w:rsid w:val="000B50FB"/>
  </w:style>
  <w:style w:type="character" w:customStyle="1" w:styleId="src">
    <w:name w:val="src"/>
    <w:basedOn w:val="a0"/>
    <w:qFormat/>
    <w:rsid w:val="000B50FB"/>
  </w:style>
  <w:style w:type="character" w:customStyle="1" w:styleId="tran">
    <w:name w:val="tran"/>
    <w:basedOn w:val="a0"/>
    <w:qFormat/>
    <w:rsid w:val="000B50FB"/>
  </w:style>
  <w:style w:type="character" w:customStyle="1" w:styleId="viiyi">
    <w:name w:val="viiyi"/>
    <w:basedOn w:val="a0"/>
    <w:qFormat/>
    <w:rsid w:val="000B50FB"/>
  </w:style>
  <w:style w:type="character" w:customStyle="1" w:styleId="skip">
    <w:name w:val="skip"/>
    <w:basedOn w:val="a0"/>
    <w:qFormat/>
    <w:rsid w:val="000B50FB"/>
  </w:style>
  <w:style w:type="character" w:customStyle="1" w:styleId="tgt1">
    <w:name w:val="tgt1"/>
    <w:basedOn w:val="a0"/>
    <w:qFormat/>
    <w:rsid w:val="000B50FB"/>
  </w:style>
  <w:style w:type="character" w:customStyle="1" w:styleId="result-html">
    <w:name w:val="result-html"/>
    <w:basedOn w:val="a0"/>
    <w:qFormat/>
    <w:rsid w:val="000B50FB"/>
  </w:style>
  <w:style w:type="character" w:customStyle="1" w:styleId="q4iawc">
    <w:name w:val="q4iawc"/>
    <w:basedOn w:val="a0"/>
    <w:qFormat/>
    <w:rsid w:val="000B50FB"/>
  </w:style>
  <w:style w:type="character" w:customStyle="1" w:styleId="ztplmc">
    <w:name w:val="ztplmc"/>
    <w:basedOn w:val="a0"/>
    <w:qFormat/>
    <w:rsid w:val="000B50FB"/>
  </w:style>
  <w:style w:type="character" w:customStyle="1" w:styleId="12">
    <w:name w:val="未处理的提及1"/>
    <w:basedOn w:val="a0"/>
    <w:uiPriority w:val="99"/>
    <w:semiHidden/>
    <w:unhideWhenUsed/>
    <w:qFormat/>
    <w:rsid w:val="000B50FB"/>
    <w:rPr>
      <w:color w:val="605E5C"/>
      <w:shd w:val="clear" w:color="auto" w:fill="E1DFDD"/>
    </w:rPr>
  </w:style>
  <w:style w:type="paragraph" w:customStyle="1" w:styleId="p1">
    <w:name w:val="p1"/>
    <w:basedOn w:val="a"/>
    <w:qFormat/>
    <w:rsid w:val="000B50FB"/>
    <w:rPr>
      <w:rFonts w:ascii="PingFang SC" w:eastAsia="PingFang SC" w:hAnsi="PingFang SC" w:cs="Times New Roman"/>
    </w:rPr>
  </w:style>
  <w:style w:type="paragraph" w:customStyle="1" w:styleId="21">
    <w:name w:val="修订2"/>
    <w:hidden/>
    <w:uiPriority w:val="99"/>
    <w:semiHidden/>
    <w:qFormat/>
    <w:rsid w:val="000B50FB"/>
    <w:rPr>
      <w:szCs w:val="22"/>
    </w:rPr>
  </w:style>
  <w:style w:type="character" w:customStyle="1" w:styleId="22">
    <w:name w:val="未处理的提及2"/>
    <w:basedOn w:val="a0"/>
    <w:uiPriority w:val="99"/>
    <w:semiHidden/>
    <w:unhideWhenUsed/>
    <w:qFormat/>
    <w:rsid w:val="000B50FB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a0"/>
    <w:qFormat/>
    <w:rsid w:val="000B50FB"/>
  </w:style>
  <w:style w:type="character" w:customStyle="1" w:styleId="ts-alignment-element-highlighted">
    <w:name w:val="ts-alignment-element-highlighted"/>
    <w:basedOn w:val="a0"/>
    <w:qFormat/>
    <w:rsid w:val="000B50FB"/>
  </w:style>
  <w:style w:type="character" w:styleId="af3">
    <w:name w:val="Placeholder Text"/>
    <w:basedOn w:val="a0"/>
    <w:uiPriority w:val="99"/>
    <w:semiHidden/>
    <w:qFormat/>
    <w:rsid w:val="000B50FB"/>
    <w:rPr>
      <w:color w:val="808080"/>
    </w:rPr>
  </w:style>
  <w:style w:type="paragraph" w:customStyle="1" w:styleId="31">
    <w:name w:val="修订3"/>
    <w:hidden/>
    <w:uiPriority w:val="99"/>
    <w:semiHidden/>
    <w:qFormat/>
    <w:rsid w:val="000B50FB"/>
    <w:rPr>
      <w:rFonts w:ascii="宋体" w:eastAsia="宋体" w:hAnsi="宋体" w:cs="宋体"/>
      <w:kern w:val="0"/>
      <w:sz w:val="24"/>
    </w:rPr>
  </w:style>
  <w:style w:type="character" w:customStyle="1" w:styleId="highlight">
    <w:name w:val="highlight"/>
    <w:basedOn w:val="a0"/>
    <w:qFormat/>
    <w:rsid w:val="000B50FB"/>
  </w:style>
  <w:style w:type="character" w:customStyle="1" w:styleId="jss715">
    <w:name w:val="jss715"/>
    <w:basedOn w:val="a0"/>
    <w:qFormat/>
    <w:rsid w:val="000B50FB"/>
  </w:style>
  <w:style w:type="character" w:customStyle="1" w:styleId="jss743">
    <w:name w:val="jss743"/>
    <w:basedOn w:val="a0"/>
    <w:qFormat/>
    <w:rsid w:val="000B50FB"/>
  </w:style>
  <w:style w:type="character" w:customStyle="1" w:styleId="jss840">
    <w:name w:val="jss840"/>
    <w:basedOn w:val="a0"/>
    <w:qFormat/>
    <w:rsid w:val="000B50FB"/>
  </w:style>
  <w:style w:type="character" w:customStyle="1" w:styleId="jss1166">
    <w:name w:val="jss1166"/>
    <w:basedOn w:val="a0"/>
    <w:qFormat/>
    <w:rsid w:val="000B50FB"/>
  </w:style>
  <w:style w:type="character" w:customStyle="1" w:styleId="jss859">
    <w:name w:val="jss859"/>
    <w:basedOn w:val="a0"/>
    <w:qFormat/>
    <w:rsid w:val="000B50FB"/>
  </w:style>
  <w:style w:type="character" w:customStyle="1" w:styleId="jss618">
    <w:name w:val="jss618"/>
    <w:basedOn w:val="a0"/>
    <w:qFormat/>
    <w:rsid w:val="000B50FB"/>
  </w:style>
  <w:style w:type="paragraph" w:styleId="af4">
    <w:name w:val="Revision"/>
    <w:hidden/>
    <w:uiPriority w:val="99"/>
    <w:semiHidden/>
    <w:rsid w:val="000B50FB"/>
    <w:rPr>
      <w:rFonts w:ascii="宋体" w:eastAsia="宋体" w:hAnsi="宋体" w:cs="宋体"/>
      <w:kern w:val="0"/>
      <w:sz w:val="24"/>
    </w:rPr>
  </w:style>
  <w:style w:type="paragraph" w:customStyle="1" w:styleId="mb-25">
    <w:name w:val="mb-2.5"/>
    <w:basedOn w:val="a"/>
    <w:rsid w:val="000B50FB"/>
    <w:pPr>
      <w:spacing w:before="100" w:beforeAutospacing="1" w:after="100" w:afterAutospacing="1"/>
    </w:pPr>
  </w:style>
  <w:style w:type="character" w:customStyle="1" w:styleId="issue-underline">
    <w:name w:val="issue-underline"/>
    <w:basedOn w:val="a0"/>
    <w:rsid w:val="000B50FB"/>
  </w:style>
  <w:style w:type="table" w:styleId="af5">
    <w:name w:val="Table Grid"/>
    <w:basedOn w:val="a1"/>
    <w:uiPriority w:val="39"/>
    <w:rsid w:val="000B50F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1">
    <w:name w:val="Paragraph"/>
    <w:basedOn w:val="a"/>
    <w:rsid w:val="000B50FB"/>
    <w:pPr>
      <w:spacing w:before="120"/>
      <w:ind w:firstLine="720"/>
    </w:pPr>
    <w:rPr>
      <w:rFonts w:ascii="Times New Roman" w:eastAsia="Times New Roman" w:hAnsi="Times New Roman" w:cs="Times New Roman"/>
      <w:lang w:eastAsia="en-US"/>
    </w:rPr>
  </w:style>
  <w:style w:type="paragraph" w:customStyle="1" w:styleId="Refhead">
    <w:name w:val="Ref head"/>
    <w:basedOn w:val="a"/>
    <w:rsid w:val="000B50FB"/>
    <w:pPr>
      <w:keepNext/>
      <w:spacing w:before="120" w:after="120"/>
      <w:outlineLvl w:val="0"/>
    </w:pPr>
    <w:rPr>
      <w:rFonts w:ascii="Times New Roman" w:eastAsia="Times New Roman" w:hAnsi="Times New Roman" w:cs="Times New Roman"/>
      <w:b/>
      <w:bCs/>
      <w:kern w:val="28"/>
      <w:lang w:eastAsia="en-US"/>
    </w:rPr>
  </w:style>
  <w:style w:type="paragraph" w:customStyle="1" w:styleId="Acknowledgement">
    <w:name w:val="Acknowledgement"/>
    <w:basedOn w:val="a"/>
    <w:rsid w:val="000B50FB"/>
    <w:pPr>
      <w:spacing w:before="120"/>
      <w:ind w:left="720" w:hanging="72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12</Pages>
  <Words>1414</Words>
  <Characters>8061</Characters>
  <Application>Microsoft Office Word</Application>
  <DocSecurity>0</DocSecurity>
  <Lines>67</Lines>
  <Paragraphs>18</Paragraphs>
  <ScaleCrop>false</ScaleCrop>
  <Company/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hl</dc:creator>
  <cp:keywords/>
  <dc:description/>
  <cp:lastModifiedBy>g hl</cp:lastModifiedBy>
  <cp:revision>14</cp:revision>
  <dcterms:created xsi:type="dcterms:W3CDTF">2022-12-02T09:44:00Z</dcterms:created>
  <dcterms:modified xsi:type="dcterms:W3CDTF">2022-12-15T02:44:00Z</dcterms:modified>
</cp:coreProperties>
</file>