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C5" w:rsidRPr="00725F29" w:rsidRDefault="00A216C5" w:rsidP="00A216C5">
      <w:pPr>
        <w:rPr>
          <w:rFonts w:ascii="Times New Roman" w:hAnsi="Times New Roman" w:cs="Times New Roman"/>
          <w:b/>
          <w:sz w:val="24"/>
          <w:lang w:val="en-US"/>
        </w:rPr>
      </w:pPr>
      <w:r w:rsidRPr="00725F29">
        <w:rPr>
          <w:rFonts w:ascii="Times New Roman" w:hAnsi="Times New Roman" w:cs="Times New Roman"/>
          <w:b/>
          <w:sz w:val="24"/>
          <w:lang w:val="en-US"/>
        </w:rPr>
        <w:t xml:space="preserve">Appendix </w:t>
      </w:r>
    </w:p>
    <w:p w:rsidR="00A216C5" w:rsidRDefault="00A216C5" w:rsidP="00A216C5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5F29">
        <w:rPr>
          <w:rFonts w:ascii="Times New Roman" w:hAnsi="Times New Roman" w:cs="Times New Roman"/>
          <w:sz w:val="24"/>
          <w:szCs w:val="24"/>
          <w:lang w:val="en-US"/>
        </w:rPr>
        <w:t>We test the hypothesis of slope homogeneity using the test developed by Pesaran and</w:t>
      </w:r>
      <w:r w:rsidRPr="00725F29">
        <w:rPr>
          <w:rFonts w:ascii="Times New Roman" w:hAnsi="Times New Roman" w:cs="Times New Roman"/>
          <w:lang w:val="en-US"/>
        </w:rPr>
        <w:t xml:space="preserve"> </w:t>
      </w:r>
      <w:r w:rsidRPr="00725F29">
        <w:rPr>
          <w:rFonts w:ascii="Times New Roman" w:hAnsi="Times New Roman" w:cs="Times New Roman"/>
          <w:sz w:val="24"/>
          <w:szCs w:val="24"/>
          <w:lang w:val="en-US"/>
        </w:rPr>
        <w:t>Yamagata (2008), Blomquist and Westerlund (2013).</w:t>
      </w:r>
      <w:r w:rsidRPr="00725F29">
        <w:rPr>
          <w:rFonts w:ascii="Times New Roman" w:hAnsi="Times New Roman" w:cs="Times New Roman"/>
          <w:sz w:val="24"/>
          <w:lang w:val="en-US"/>
        </w:rPr>
        <w:t xml:space="preserve"> </w:t>
      </w:r>
      <w:r w:rsidRPr="00725F29">
        <w:rPr>
          <w:rFonts w:ascii="Times New Roman" w:hAnsi="Times New Roman" w:cs="Times New Roman"/>
          <w:sz w:val="24"/>
          <w:szCs w:val="24"/>
          <w:lang w:val="en-US"/>
        </w:rPr>
        <w:t>This test determine of whether slope coefficients of the cointegration equation</w:t>
      </w:r>
      <w:r w:rsidRPr="00725F29">
        <w:rPr>
          <w:rFonts w:ascii="Times New Roman" w:hAnsi="Times New Roman" w:cs="Times New Roman"/>
          <w:lang w:val="en-US"/>
        </w:rPr>
        <w:t xml:space="preserve"> </w:t>
      </w:r>
      <w:r w:rsidRPr="00725F29">
        <w:rPr>
          <w:rFonts w:ascii="Times New Roman" w:hAnsi="Times New Roman" w:cs="Times New Roman"/>
          <w:sz w:val="24"/>
          <w:szCs w:val="24"/>
          <w:lang w:val="en-US"/>
        </w:rPr>
        <w:t>are homogeneous. The null hypothesis of the test is of homogenous slopes, implying that all slope coefficients are identical across cross-sectional units. Table 3 displays the slope homogeneity test results.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53"/>
        <w:gridCol w:w="2306"/>
        <w:gridCol w:w="2186"/>
      </w:tblGrid>
      <w:tr w:rsidR="00A216C5" w:rsidRPr="00243C22" w:rsidTr="00C658FC">
        <w:trPr>
          <w:trHeight w:val="415"/>
          <w:jc w:val="center"/>
        </w:trPr>
        <w:tc>
          <w:tcPr>
            <w:tcW w:w="744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C658FC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sz w:val="24"/>
                <w:lang w:val="en-US"/>
              </w:rPr>
              <w:t>Table A1.</w:t>
            </w:r>
            <w:r w:rsidRPr="00AD7DC8">
              <w:rPr>
                <w:rFonts w:ascii="Times New Roman" w:hAnsi="Times New Roman" w:cs="Times New Roman"/>
                <w:sz w:val="24"/>
                <w:lang w:val="en-US"/>
              </w:rPr>
              <w:t xml:space="preserve"> Results of </w:t>
            </w:r>
            <w:r w:rsidRPr="00AD7DC8">
              <w:rPr>
                <w:rFonts w:ascii="TimesNewRomanPSMT" w:hAnsi="TimesNewRomanPSMT"/>
                <w:sz w:val="24"/>
                <w:szCs w:val="24"/>
                <w:lang w:val="en-US"/>
              </w:rPr>
              <w:t>slope homogeneity test</w:t>
            </w:r>
          </w:p>
        </w:tc>
      </w:tr>
      <w:tr w:rsidR="00A216C5" w:rsidRPr="00AD7DC8" w:rsidTr="00C658FC">
        <w:trPr>
          <w:trHeight w:val="377"/>
          <w:jc w:val="center"/>
        </w:trPr>
        <w:tc>
          <w:tcPr>
            <w:tcW w:w="295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C658FC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0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C658F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>Delta</w:t>
            </w:r>
          </w:p>
        </w:tc>
        <w:tc>
          <w:tcPr>
            <w:tcW w:w="21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C658F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A216C5" w:rsidRPr="00AD7DC8" w:rsidTr="00C658FC">
        <w:trPr>
          <w:trHeight w:val="377"/>
          <w:jc w:val="center"/>
        </w:trPr>
        <w:tc>
          <w:tcPr>
            <w:tcW w:w="295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C658FC">
            <w:pPr>
              <w:tabs>
                <w:tab w:val="left" w:pos="708"/>
              </w:tabs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Delta test</w:t>
            </w:r>
          </w:p>
        </w:tc>
        <w:tc>
          <w:tcPr>
            <w:tcW w:w="230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C658F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-4.392</w:t>
            </w:r>
            <w:r w:rsidRPr="00AD7DC8">
              <w:rPr>
                <w:rFonts w:ascii="TimesNewRomanPSMT" w:hAnsi="TimesNewRomanPSMT"/>
                <w:vertAlign w:val="superscript"/>
                <w:lang w:val="en-US"/>
              </w:rPr>
              <w:t>***</w:t>
            </w:r>
          </w:p>
        </w:tc>
        <w:tc>
          <w:tcPr>
            <w:tcW w:w="218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C65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A216C5" w:rsidRPr="00AD7DC8" w:rsidTr="00C658FC">
        <w:trPr>
          <w:trHeight w:val="397"/>
          <w:jc w:val="center"/>
        </w:trPr>
        <w:tc>
          <w:tcPr>
            <w:tcW w:w="295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C658FC">
            <w:pPr>
              <w:tabs>
                <w:tab w:val="left" w:pos="708"/>
              </w:tabs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Delta adj. test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C658FC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-8.784</w:t>
            </w:r>
            <w:r w:rsidRPr="00AD7DC8">
              <w:rPr>
                <w:rFonts w:ascii="TimesNewRomanPSMT" w:hAnsi="TimesNewRomanPSMT"/>
                <w:vertAlign w:val="superscript"/>
                <w:lang w:val="en-US"/>
              </w:rPr>
              <w:t>***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C658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</w:tbl>
    <w:p w:rsidR="00A216C5" w:rsidRPr="00AD7DC8" w:rsidRDefault="00A216C5" w:rsidP="00A216C5">
      <w:pPr>
        <w:tabs>
          <w:tab w:val="left" w:pos="708"/>
        </w:tabs>
        <w:spacing w:line="360" w:lineRule="auto"/>
        <w:rPr>
          <w:rFonts w:ascii="TimesNewRomanPSMT" w:hAnsi="TimesNewRomanPSMT"/>
          <w:sz w:val="16"/>
          <w:szCs w:val="20"/>
          <w:lang w:val="en-US"/>
        </w:rPr>
      </w:pPr>
      <w:r w:rsidRPr="00AD7DC8">
        <w:rPr>
          <w:rFonts w:ascii="TimesNewRomanPS-ItalicMT" w:hAnsi="TimesNewRomanPS-ItalicMT"/>
          <w:b/>
          <w:i/>
          <w:iCs/>
          <w:sz w:val="16"/>
          <w:szCs w:val="20"/>
          <w:lang w:val="en-US"/>
        </w:rPr>
        <w:t xml:space="preserve">                       </w:t>
      </w:r>
      <w:r w:rsidRPr="00AD7DC8">
        <w:rPr>
          <w:rFonts w:ascii="TimesNewRomanPS-ItalicMT" w:hAnsi="TimesNewRomanPS-ItalicMT"/>
          <w:b/>
          <w:iCs/>
          <w:sz w:val="16"/>
          <w:szCs w:val="20"/>
          <w:lang w:val="en-US"/>
        </w:rPr>
        <w:t>Note</w:t>
      </w:r>
      <w:r w:rsidRPr="00AD7DC8">
        <w:rPr>
          <w:rFonts w:ascii="TimesNewRomanPS-ItalicMT" w:hAnsi="TimesNewRomanPS-ItalicMT"/>
          <w:b/>
          <w:i/>
          <w:iCs/>
          <w:sz w:val="16"/>
          <w:szCs w:val="20"/>
          <w:lang w:val="en-US"/>
        </w:rPr>
        <w:t>:</w:t>
      </w:r>
      <w:r w:rsidRPr="00AD7DC8">
        <w:rPr>
          <w:rFonts w:ascii="TimesNewRomanPS-ItalicMT" w:hAnsi="TimesNewRomanPS-ItalicMT"/>
          <w:i/>
          <w:iCs/>
          <w:sz w:val="16"/>
          <w:szCs w:val="20"/>
          <w:lang w:val="en-US"/>
        </w:rPr>
        <w:t xml:space="preserve"> </w:t>
      </w:r>
      <w:r w:rsidRPr="00AD7DC8">
        <w:rPr>
          <w:rFonts w:ascii="TimesNewRomanPSMT" w:hAnsi="TimesNewRomanPSMT"/>
          <w:sz w:val="16"/>
          <w:szCs w:val="20"/>
          <w:lang w:val="en-US"/>
        </w:rPr>
        <w:t>*** is the significance for at 1% level.</w:t>
      </w:r>
    </w:p>
    <w:p w:rsidR="00A216C5" w:rsidRDefault="00A216C5" w:rsidP="00A216C5">
      <w:pPr>
        <w:spacing w:after="24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725F29">
        <w:rPr>
          <w:rFonts w:ascii="Times New Roman" w:hAnsi="Times New Roman" w:cs="Times New Roman"/>
          <w:sz w:val="24"/>
          <w:szCs w:val="24"/>
          <w:lang w:val="en-US"/>
        </w:rPr>
        <w:t>The null hypothesis of slope homogeneity is can be rejected in all cases because the probability</w:t>
      </w:r>
      <w:r w:rsidRPr="00725F29">
        <w:rPr>
          <w:rFonts w:ascii="Times New Roman" w:hAnsi="Times New Roman" w:cs="Times New Roman"/>
          <w:lang w:val="en-US"/>
        </w:rPr>
        <w:t xml:space="preserve"> </w:t>
      </w:r>
      <w:r w:rsidRPr="00725F29">
        <w:rPr>
          <w:rFonts w:ascii="Times New Roman" w:hAnsi="Times New Roman" w:cs="Times New Roman"/>
          <w:sz w:val="24"/>
          <w:szCs w:val="24"/>
          <w:lang w:val="en-US"/>
        </w:rPr>
        <w:t>values smaller than 0.01. The slope coefficients are not homogeneous. Heterogeneity exists</w:t>
      </w:r>
      <w:r w:rsidRPr="00725F29">
        <w:rPr>
          <w:rFonts w:ascii="Times New Roman" w:hAnsi="Times New Roman" w:cs="Times New Roman"/>
          <w:lang w:val="en-US"/>
        </w:rPr>
        <w:t xml:space="preserve"> </w:t>
      </w:r>
      <w:r w:rsidRPr="00725F29">
        <w:rPr>
          <w:rFonts w:ascii="Times New Roman" w:hAnsi="Times New Roman" w:cs="Times New Roman"/>
          <w:sz w:val="24"/>
          <w:szCs w:val="24"/>
          <w:lang w:val="en-US"/>
        </w:rPr>
        <w:t>across sample countries. Therefore, we should properly employ heterogeneous panel techniques.</w:t>
      </w:r>
      <w:r w:rsidRPr="00725F29">
        <w:rPr>
          <w:rFonts w:ascii="Times New Roman" w:hAnsi="Times New Roman" w:cs="Times New Roman"/>
          <w:sz w:val="24"/>
          <w:lang w:val="en-US"/>
        </w:rPr>
        <w:t xml:space="preserve"> The CD test rejects the null of weak cross-sectional dependence for all variables and the estimated exponent of cross-sectional dependence is well above 0.5. This is evidence that an estimation method taking cross-sectional dependence into account is necessary.</w:t>
      </w:r>
    </w:p>
    <w:p w:rsidR="00A216C5" w:rsidRPr="00AD7DC8" w:rsidRDefault="00A216C5" w:rsidP="00A216C5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AD7DC8">
        <w:rPr>
          <w:rFonts w:ascii="Times New Roman" w:hAnsi="Times New Roman" w:cs="Times New Roman"/>
          <w:b/>
          <w:sz w:val="24"/>
          <w:lang w:val="en-US"/>
        </w:rPr>
        <w:t xml:space="preserve">Table A2. </w:t>
      </w:r>
      <w:r w:rsidRPr="00AD7DC8">
        <w:rPr>
          <w:rFonts w:ascii="Times New Roman" w:hAnsi="Times New Roman" w:cs="Times New Roman"/>
          <w:sz w:val="24"/>
          <w:lang w:val="en-US"/>
        </w:rPr>
        <w:t>Cross-Sectional Dependence Test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01"/>
        <w:gridCol w:w="1667"/>
        <w:gridCol w:w="1799"/>
        <w:gridCol w:w="1522"/>
        <w:gridCol w:w="1483"/>
      </w:tblGrid>
      <w:tr w:rsidR="00A216C5" w:rsidRPr="00AD7DC8" w:rsidTr="00C658FC">
        <w:trPr>
          <w:trHeight w:val="408"/>
        </w:trPr>
        <w:tc>
          <w:tcPr>
            <w:tcW w:w="26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 xml:space="preserve">Variable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>CD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>N_g</w:t>
            </w:r>
          </w:p>
        </w:tc>
        <w:tc>
          <w:tcPr>
            <w:tcW w:w="152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</w:tr>
      <w:tr w:rsidR="00A216C5" w:rsidRPr="00AD7DC8" w:rsidTr="00C658FC">
        <w:tc>
          <w:tcPr>
            <w:tcW w:w="266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Mortality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17.789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Pr="00AD7DC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Health capital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13.958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Pr="00AD7DC8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 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16.759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7.805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Alcohol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24.035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Pr="00AD7DC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-0.411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Jobless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15.630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Pr="00AD7DC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left="-108" w:right="-108" w:firstLine="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Urban population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8.064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Pr="00AD7DC8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A216C5" w:rsidRPr="00AD7DC8" w:rsidTr="00C658FC">
        <w:tc>
          <w:tcPr>
            <w:tcW w:w="26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GDP per capita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61.124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</w:tbl>
    <w:p w:rsidR="00A216C5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216C5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216C5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216C5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216C5" w:rsidRPr="00AD7DC8" w:rsidRDefault="00A216C5" w:rsidP="00A216C5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AD7DC8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A3. </w:t>
      </w:r>
      <w:r w:rsidRPr="00AD7DC8">
        <w:rPr>
          <w:rFonts w:ascii="Times New Roman" w:hAnsi="Times New Roman" w:cs="Times New Roman"/>
          <w:sz w:val="24"/>
          <w:lang w:val="en-US"/>
        </w:rPr>
        <w:t>The determinants of chronic diseases mortality by gender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9"/>
        <w:gridCol w:w="700"/>
        <w:gridCol w:w="1809"/>
        <w:gridCol w:w="1379"/>
        <w:gridCol w:w="1809"/>
        <w:gridCol w:w="1616"/>
      </w:tblGrid>
      <w:tr w:rsidR="00A216C5" w:rsidRPr="00AD7DC8" w:rsidTr="00C658FC">
        <w:trPr>
          <w:trHeight w:val="428"/>
        </w:trPr>
        <w:tc>
          <w:tcPr>
            <w:tcW w:w="251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 xml:space="preserve">Male </w:t>
            </w:r>
          </w:p>
        </w:tc>
        <w:tc>
          <w:tcPr>
            <w:tcW w:w="3510" w:type="dxa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DC8">
              <w:rPr>
                <w:rFonts w:ascii="Times New Roman" w:hAnsi="Times New Roman" w:cs="Times New Roman"/>
                <w:b/>
                <w:lang w:val="en-US"/>
              </w:rPr>
              <w:t xml:space="preserve">Female </w:t>
            </w:r>
          </w:p>
        </w:tc>
      </w:tr>
      <w:tr w:rsidR="00A216C5" w:rsidRPr="00AD7DC8" w:rsidTr="00C658FC">
        <w:trPr>
          <w:trHeight w:val="284"/>
        </w:trPr>
        <w:tc>
          <w:tcPr>
            <w:tcW w:w="251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843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Coefficient</w:t>
            </w:r>
          </w:p>
        </w:tc>
        <w:tc>
          <w:tcPr>
            <w:tcW w:w="141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P &gt; |z|</w:t>
            </w:r>
          </w:p>
        </w:tc>
        <w:tc>
          <w:tcPr>
            <w:tcW w:w="1843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Coefficient</w:t>
            </w:r>
          </w:p>
        </w:tc>
        <w:tc>
          <w:tcPr>
            <w:tcW w:w="1667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P &gt; |z|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Lagged term of Mortality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0.9403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(0.0072)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0.9500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(0.0178)</w:t>
            </w:r>
          </w:p>
        </w:tc>
        <w:tc>
          <w:tcPr>
            <w:tcW w:w="16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Health capital Investment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0.1085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(0.0163)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-0.0285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(0.0237)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</w:t>
            </w:r>
            <w:r w:rsidRPr="00AD7DC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0.0742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0.0689 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(0.0065)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Overweight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0.0188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0.12</w:t>
            </w:r>
            <w:r w:rsidRPr="00AD7DC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0.0276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(0.0131)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Alcohol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-0.0050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-0.0168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(0.0178)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08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Tobacco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0.0021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</w:t>
            </w:r>
            <w:r w:rsidRPr="00AD7DC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0.0241 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(0.0047)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Pr="00AD7DC8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Jobless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-0.0926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-0.1083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(0.0131)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left="-108" w:right="-108" w:firstLine="108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Urban population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0.0139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0.0279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(0.0045)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GDP per capita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-0.4704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(0.1024)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-0.7041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(0.1092)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Foreign Direct Investment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-0.2191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(0.0614)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-0.0585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(0.0400)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0.14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Constant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2.4136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(0.6318)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 xml:space="preserve">2.2897   </w:t>
            </w:r>
          </w:p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DC8">
              <w:rPr>
                <w:rFonts w:ascii="Times New Roman" w:hAnsi="Times New Roman" w:cs="Times New Roman"/>
                <w:lang w:val="en-US"/>
              </w:rPr>
              <w:t>(1.0761)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  <w:r w:rsidRPr="00AD7DC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Observations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640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640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Countries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40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instruments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Autocorrelation test of order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-2.5771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-2.5699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0.0102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Autocorrelation test of order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-1.4348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-2.3633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0.0181</w:t>
            </w:r>
          </w:p>
        </w:tc>
      </w:tr>
      <w:tr w:rsidR="00A216C5" w:rsidRPr="00AD7DC8" w:rsidTr="00C658FC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Autocorrelation test of order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0.6284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0.5316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0.5950</w:t>
            </w:r>
          </w:p>
        </w:tc>
      </w:tr>
      <w:tr w:rsidR="00A216C5" w:rsidRPr="00AD7DC8" w:rsidTr="00C658FC">
        <w:trPr>
          <w:trHeight w:val="7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Sargan-Hansen test: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ind w:right="-120"/>
              <w:rPr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2-step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29.8825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31.9530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0.3697</w:t>
            </w:r>
          </w:p>
        </w:tc>
      </w:tr>
      <w:tr w:rsidR="00A216C5" w:rsidRPr="00AD7DC8" w:rsidTr="00C658FC">
        <w:tc>
          <w:tcPr>
            <w:tcW w:w="18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216C5" w:rsidRPr="00AD7DC8" w:rsidRDefault="00A216C5" w:rsidP="00A216C5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3-step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216C5" w:rsidRPr="00AD7DC8" w:rsidRDefault="00A216C5" w:rsidP="00A21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D7D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0.1002</w:t>
            </w:r>
          </w:p>
        </w:tc>
      </w:tr>
    </w:tbl>
    <w:bookmarkEnd w:id="0"/>
    <w:p w:rsidR="00A216C5" w:rsidRPr="00AD7DC8" w:rsidRDefault="00A216C5" w:rsidP="00A216C5">
      <w:pPr>
        <w:spacing w:after="0" w:line="240" w:lineRule="auto"/>
        <w:jc w:val="both"/>
        <w:rPr>
          <w:rFonts w:ascii="Times New Roman" w:hAnsi="Times New Roman" w:cs="Times New Roman"/>
          <w:sz w:val="16"/>
          <w:lang w:val="en-US"/>
        </w:rPr>
      </w:pPr>
      <w:r w:rsidRPr="00AD7DC8">
        <w:rPr>
          <w:rFonts w:ascii="Times New Roman" w:hAnsi="Times New Roman" w:cs="Times New Roman"/>
          <w:sz w:val="16"/>
          <w:szCs w:val="16"/>
          <w:lang w:val="en-US"/>
        </w:rPr>
        <w:t>Note: (</w:t>
      </w:r>
      <w:r w:rsidRPr="00AD7DC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***</w:t>
      </w:r>
      <w:r w:rsidRPr="00AD7DC8">
        <w:rPr>
          <w:rFonts w:ascii="Times New Roman" w:hAnsi="Times New Roman" w:cs="Times New Roman"/>
          <w:sz w:val="16"/>
          <w:szCs w:val="16"/>
          <w:lang w:val="en-US"/>
        </w:rPr>
        <w:t>), (</w:t>
      </w:r>
      <w:r w:rsidRPr="00AD7DC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**</w:t>
      </w:r>
      <w:r w:rsidRPr="00AD7DC8">
        <w:rPr>
          <w:rFonts w:ascii="Times New Roman" w:hAnsi="Times New Roman" w:cs="Times New Roman"/>
          <w:sz w:val="16"/>
          <w:szCs w:val="16"/>
          <w:lang w:val="en-US"/>
        </w:rPr>
        <w:t>) and (</w:t>
      </w:r>
      <w:r w:rsidRPr="00AD7DC8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</w:t>
      </w:r>
      <w:r w:rsidRPr="00AD7DC8">
        <w:rPr>
          <w:rFonts w:ascii="Times New Roman" w:hAnsi="Times New Roman" w:cs="Times New Roman"/>
          <w:sz w:val="16"/>
          <w:szCs w:val="16"/>
          <w:lang w:val="en-US"/>
        </w:rPr>
        <w:t>) indicates statistically significant at 1%, 5% and 10% respectively.</w:t>
      </w:r>
      <w:r w:rsidRPr="00AD7DC8">
        <w:rPr>
          <w:rFonts w:ascii="Times New Roman" w:hAnsi="Times New Roman" w:cs="Times New Roman"/>
          <w:sz w:val="16"/>
          <w:lang w:val="en-US"/>
        </w:rPr>
        <w:t xml:space="preserve"> </w:t>
      </w:r>
      <w:r w:rsidRPr="00AD7DC8">
        <w:rPr>
          <w:rFonts w:ascii="GaramondThree" w:hAnsi="GaramondThree"/>
          <w:sz w:val="16"/>
          <w:szCs w:val="16"/>
          <w:lang w:val="en-US"/>
        </w:rPr>
        <w:t>Robust standard errors are in parentheses</w:t>
      </w:r>
      <w:r w:rsidRPr="00AD7DC8">
        <w:rPr>
          <w:lang w:val="en-US"/>
        </w:rPr>
        <w:t>.</w:t>
      </w:r>
    </w:p>
    <w:p w:rsidR="00A216C5" w:rsidRPr="00725F29" w:rsidRDefault="00A216C5" w:rsidP="00A216C5">
      <w:pPr>
        <w:spacing w:after="24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A216C5" w:rsidRPr="00725F29" w:rsidRDefault="00A216C5" w:rsidP="00A216C5">
      <w:pPr>
        <w:spacing w:after="0"/>
        <w:rPr>
          <w:rFonts w:ascii="Times New Roman" w:hAnsi="Times New Roman" w:cs="Times New Roman"/>
          <w:b/>
          <w:sz w:val="24"/>
          <w:lang w:val="en-US"/>
        </w:rPr>
      </w:pPr>
    </w:p>
    <w:p w:rsidR="00A216C5" w:rsidRPr="00725F29" w:rsidRDefault="00A216C5" w:rsidP="00A216C5">
      <w:pPr>
        <w:rPr>
          <w:rFonts w:ascii="Times New Roman" w:hAnsi="Times New Roman" w:cs="Times New Roman"/>
          <w:lang w:val="en-US"/>
        </w:rPr>
      </w:pPr>
    </w:p>
    <w:p w:rsidR="00A216C5" w:rsidRPr="00725F29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16C5" w:rsidRPr="00725F29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16C5" w:rsidRPr="00725F29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16C5" w:rsidRPr="00725F29" w:rsidRDefault="00A216C5" w:rsidP="00A216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66A2" w:rsidRDefault="001366A2"/>
    <w:sectPr w:rsidR="001366A2" w:rsidSect="00AF77C3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GaramondThree">
    <w:altName w:val="Times New Roman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232069"/>
      <w:docPartObj>
        <w:docPartGallery w:val="Page Numbers (Bottom of Page)"/>
        <w:docPartUnique/>
      </w:docPartObj>
    </w:sdtPr>
    <w:sdtEndPr>
      <w:rPr>
        <w:rFonts w:ascii="Arial Rounded MT Bold" w:hAnsi="Arial Rounded MT Bold"/>
        <w:sz w:val="24"/>
      </w:rPr>
    </w:sdtEndPr>
    <w:sdtContent>
      <w:p w:rsidR="00243C22" w:rsidRPr="00590C57" w:rsidRDefault="00A216C5" w:rsidP="00590C57">
        <w:pPr>
          <w:pStyle w:val="Pieddepage"/>
          <w:jc w:val="right"/>
          <w:rPr>
            <w:rFonts w:ascii="Arial Rounded MT Bold" w:hAnsi="Arial Rounded MT Bold"/>
            <w:sz w:val="24"/>
          </w:rPr>
        </w:pPr>
        <w:r w:rsidRPr="00590C57">
          <w:rPr>
            <w:rFonts w:ascii="Arial Rounded MT Bold" w:hAnsi="Arial Rounded MT Bold"/>
            <w:sz w:val="24"/>
          </w:rPr>
          <w:fldChar w:fldCharType="begin"/>
        </w:r>
        <w:r w:rsidRPr="00590C57">
          <w:rPr>
            <w:rFonts w:ascii="Arial Rounded MT Bold" w:hAnsi="Arial Rounded MT Bold"/>
            <w:sz w:val="24"/>
          </w:rPr>
          <w:instrText>PAGE   \* MERGEFORMAT</w:instrText>
        </w:r>
        <w:r w:rsidRPr="00590C57">
          <w:rPr>
            <w:rFonts w:ascii="Arial Rounded MT Bold" w:hAnsi="Arial Rounded MT Bold"/>
            <w:sz w:val="24"/>
          </w:rPr>
          <w:fldChar w:fldCharType="separate"/>
        </w:r>
        <w:r>
          <w:rPr>
            <w:rFonts w:ascii="Arial Rounded MT Bold" w:hAnsi="Arial Rounded MT Bold"/>
            <w:noProof/>
            <w:sz w:val="24"/>
          </w:rPr>
          <w:t>2</w:t>
        </w:r>
        <w:r w:rsidRPr="00590C57">
          <w:rPr>
            <w:rFonts w:ascii="Arial Rounded MT Bold" w:hAnsi="Arial Rounded MT Bold"/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5"/>
    <w:rsid w:val="001366A2"/>
    <w:rsid w:val="00445812"/>
    <w:rsid w:val="00A2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14-3B1B-48B2-BC16-7EB0E4D9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5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216C5"/>
    <w:pPr>
      <w:spacing w:after="0" w:line="240" w:lineRule="auto"/>
    </w:pPr>
    <w:rPr>
      <w:rFonts w:eastAsiaTheme="minorEastAsia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A21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16C5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2022-12-26T21:46:00Z</dcterms:created>
  <dcterms:modified xsi:type="dcterms:W3CDTF">2022-12-26T21:47:00Z</dcterms:modified>
</cp:coreProperties>
</file>