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51CD" w:rsidRDefault="00EC2279">
      <w:pPr>
        <w:spacing w:line="480"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Supplemental Materials </w:t>
      </w:r>
    </w:p>
    <w:p w:rsidR="002951CD" w:rsidRDefault="002951CD">
      <w:pPr>
        <w:spacing w:line="480" w:lineRule="auto"/>
        <w:rPr>
          <w:rFonts w:ascii="Times New Roman" w:hAnsi="Times New Roman" w:cs="Times New Roman"/>
          <w:color w:val="000000" w:themeColor="text1"/>
          <w:sz w:val="24"/>
          <w:szCs w:val="24"/>
        </w:rPr>
      </w:pPr>
    </w:p>
    <w:p w:rsidR="002951CD" w:rsidRDefault="00EC2279">
      <w:pPr>
        <w:spacing w:line="480"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1. </w:t>
      </w:r>
      <w:r>
        <w:rPr>
          <w:rFonts w:ascii="Times New Roman" w:hAnsi="Times New Roman" w:cs="Times New Roman" w:hint="eastAsia"/>
          <w:b/>
          <w:color w:val="000000" w:themeColor="text1"/>
          <w:sz w:val="28"/>
          <w:szCs w:val="28"/>
        </w:rPr>
        <w:t>Materials and Methods</w:t>
      </w:r>
    </w:p>
    <w:p w:rsidR="002951CD" w:rsidRDefault="00EC2279">
      <w:pPr>
        <w:spacing w:line="480" w:lineRule="auto"/>
        <w:rPr>
          <w:rFonts w:ascii="Times New Roman" w:eastAsia="宋体" w:hAnsi="Times New Roman" w:cs="Times New Roman"/>
          <w:b/>
          <w:i/>
          <w:color w:val="000000" w:themeColor="text1"/>
          <w:sz w:val="24"/>
          <w:szCs w:val="24"/>
          <w:lang w:eastAsia="zh-CN"/>
        </w:rPr>
      </w:pPr>
      <w:r>
        <w:rPr>
          <w:rFonts w:ascii="Times New Roman" w:eastAsia="宋体" w:hAnsi="Times New Roman" w:cs="Times New Roman"/>
          <w:b/>
          <w:i/>
          <w:color w:val="000000" w:themeColor="text1"/>
          <w:sz w:val="24"/>
          <w:szCs w:val="24"/>
          <w:lang w:eastAsia="zh-CN"/>
        </w:rPr>
        <w:t>1.</w:t>
      </w:r>
      <w:r>
        <w:rPr>
          <w:rFonts w:ascii="Times New Roman" w:eastAsia="宋体" w:hAnsi="Times New Roman" w:cs="Times New Roman"/>
          <w:b/>
          <w:i/>
          <w:color w:val="000000" w:themeColor="text1"/>
          <w:sz w:val="24"/>
          <w:szCs w:val="24"/>
          <w:lang w:eastAsia="zh-CN"/>
        </w:rPr>
        <w:t>1</w:t>
      </w:r>
      <w:r>
        <w:rPr>
          <w:rFonts w:ascii="Times New Roman" w:eastAsia="宋体" w:hAnsi="Times New Roman" w:cs="Times New Roman"/>
          <w:b/>
          <w:i/>
          <w:color w:val="000000" w:themeColor="text1"/>
          <w:sz w:val="24"/>
          <w:szCs w:val="24"/>
          <w:lang w:eastAsia="zh-CN"/>
        </w:rPr>
        <w:t xml:space="preserve"> Cell lines, reagents, plasmids and siRNAs</w:t>
      </w: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Human TCC-derived T24, EJ and J82 cells were obtained from </w:t>
      </w:r>
      <w:r>
        <w:rPr>
          <w:rFonts w:ascii="Times New Roman" w:hAnsi="Times New Roman" w:cs="Times New Roman" w:hint="eastAsia"/>
          <w:color w:val="000000" w:themeColor="text1"/>
          <w:sz w:val="24"/>
          <w:szCs w:val="24"/>
        </w:rPr>
        <w:t>Chinese cell bank collection cell center</w:t>
      </w:r>
      <w:r>
        <w:rPr>
          <w:rFonts w:ascii="Times New Roman" w:hAnsi="Times New Roman" w:cs="Times New Roman"/>
          <w:color w:val="000000" w:themeColor="text1"/>
          <w:sz w:val="24"/>
          <w:szCs w:val="24"/>
        </w:rPr>
        <w:t xml:space="preserve"> </w:t>
      </w:r>
      <w:r>
        <w:rPr>
          <w:rFonts w:ascii="Times New Roman" w:eastAsia="宋体" w:hAnsi="Times New Roman" w:cs="Times New Roman" w:hint="eastAsia"/>
          <w:color w:val="000000" w:themeColor="text1"/>
          <w:sz w:val="24"/>
          <w:szCs w:val="24"/>
          <w:lang w:eastAsia="zh-CN"/>
        </w:rPr>
        <w:t>(Wuhan,</w:t>
      </w:r>
      <w:r>
        <w:rPr>
          <w:rFonts w:ascii="Times New Roman" w:eastAsia="宋体" w:hAnsi="Times New Roman" w:cs="Times New Roman"/>
          <w:color w:val="000000" w:themeColor="text1"/>
          <w:sz w:val="24"/>
          <w:szCs w:val="24"/>
          <w:lang w:eastAsia="zh-CN"/>
        </w:rPr>
        <w:t xml:space="preserve"> </w:t>
      </w:r>
      <w:r>
        <w:rPr>
          <w:rFonts w:ascii="Times New Roman" w:eastAsia="宋体" w:hAnsi="Times New Roman" w:cs="Times New Roman" w:hint="eastAsia"/>
          <w:color w:val="000000" w:themeColor="text1"/>
          <w:sz w:val="24"/>
          <w:szCs w:val="24"/>
          <w:lang w:eastAsia="zh-CN"/>
        </w:rPr>
        <w:t>China)</w:t>
      </w:r>
      <w:r>
        <w:rPr>
          <w:rFonts w:ascii="Times New Roman" w:hAnsi="Times New Roman" w:cs="Times New Roman"/>
          <w:color w:val="000000" w:themeColor="text1"/>
          <w:sz w:val="24"/>
          <w:szCs w:val="24"/>
        </w:rPr>
        <w:t xml:space="preserve">. Cells were cultured in RPMI1640 </w:t>
      </w:r>
      <w:r>
        <w:rPr>
          <w:rFonts w:ascii="Times New Roman" w:hAnsi="Times New Roman" w:cs="Times New Roman"/>
          <w:color w:val="000000" w:themeColor="text1"/>
          <w:sz w:val="24"/>
          <w:szCs w:val="24"/>
        </w:rPr>
        <w:t>medium supplemented with heat-inactivated 10% (v/v) FBS at 37</w:t>
      </w:r>
      <w:r>
        <w:rPr>
          <w:rFonts w:ascii="Times New Roman" w:eastAsia="MS Mincho" w:hAnsi="Times New Roman" w:cs="Times New Roman"/>
          <w:color w:val="000000" w:themeColor="text1"/>
          <w:sz w:val="24"/>
          <w:szCs w:val="24"/>
        </w:rPr>
        <w:sym w:font="Symbol" w:char="F0B0"/>
      </w:r>
      <w:r>
        <w:rPr>
          <w:rFonts w:ascii="Times New Roman" w:hAnsi="Times New Roman" w:cs="Times New Roman"/>
          <w:color w:val="000000" w:themeColor="text1"/>
          <w:sz w:val="24"/>
          <w:szCs w:val="24"/>
        </w:rPr>
        <w:t>C in a humidified atmosphere with 95% air and 5% CO</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rPr>
        <w:t>. Oridonin, pyrrolidine dithiocarbamate (PDTC) and actinomycin D were obtained from Sigma</w:t>
      </w:r>
      <w:r>
        <w:rPr>
          <w:rFonts w:ascii="Times New Roman" w:eastAsia="宋体" w:hAnsi="Times New Roman" w:cs="Times New Roman" w:hint="eastAsia"/>
          <w:color w:val="000000" w:themeColor="text1"/>
          <w:sz w:val="24"/>
          <w:szCs w:val="24"/>
          <w:lang w:eastAsia="zh-CN"/>
        </w:rPr>
        <w:t xml:space="preserve">, and </w:t>
      </w:r>
      <w:r>
        <w:rPr>
          <w:rFonts w:ascii="Times New Roman" w:hAnsi="Times New Roman" w:cs="Times New Roman"/>
          <w:color w:val="000000" w:themeColor="text1"/>
          <w:sz w:val="24"/>
          <w:szCs w:val="24"/>
        </w:rPr>
        <w:t>TNF</w:t>
      </w:r>
      <w:r>
        <w:rPr>
          <w:rFonts w:ascii="Symbol" w:hAnsi="Symbol" w:cs="Times New Roman"/>
          <w:color w:val="000000" w:themeColor="text1"/>
          <w:sz w:val="24"/>
          <w:szCs w:val="24"/>
        </w:rPr>
        <w:t></w:t>
      </w:r>
      <w:r>
        <w:rPr>
          <w:rFonts w:ascii="Times New Roman" w:eastAsia="宋体" w:hAnsi="Times New Roman" w:cs="Times New Roman" w:hint="eastAsia"/>
          <w:color w:val="000000" w:themeColor="text1"/>
          <w:sz w:val="24"/>
          <w:szCs w:val="24"/>
          <w:lang w:eastAsia="zh-CN"/>
        </w:rPr>
        <w:t xml:space="preserve"> from R&amp;D systems</w:t>
      </w:r>
      <w:r>
        <w:rPr>
          <w:rFonts w:ascii="Times New Roman" w:hAnsi="Times New Roman" w:cs="Times New Roman"/>
          <w:color w:val="000000" w:themeColor="text1"/>
          <w:sz w:val="24"/>
          <w:szCs w:val="24"/>
        </w:rPr>
        <w:t xml:space="preserve">. </w:t>
      </w:r>
      <w:r>
        <w:rPr>
          <w:rFonts w:ascii="Times New Roman" w:hAnsi="Times New Roman" w:cs="Times New Roman"/>
          <w:i/>
          <w:color w:val="000000" w:themeColor="text1"/>
          <w:sz w:val="24"/>
          <w:szCs w:val="24"/>
        </w:rPr>
        <w:t>Netrin-1</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siRNA</w:t>
      </w:r>
      <w:r>
        <w:rPr>
          <w:rFonts w:ascii="Times New Roman" w:hAnsi="Times New Roman" w:cs="Times New Roman" w:hint="eastAsia"/>
          <w:color w:val="000000" w:themeColor="text1"/>
          <w:sz w:val="24"/>
          <w:szCs w:val="24"/>
        </w:rPr>
        <w:t>s</w:t>
      </w:r>
      <w:r>
        <w:rPr>
          <w:rFonts w:ascii="Times New Roman" w:hAnsi="Times New Roman" w:cs="Times New Roman"/>
          <w:color w:val="000000" w:themeColor="text1"/>
          <w:sz w:val="24"/>
          <w:szCs w:val="24"/>
        </w:rPr>
        <w:t xml:space="preserve"> were purchased from Santa Cruz, which were</w:t>
      </w:r>
      <w:r>
        <w:rPr>
          <w:color w:val="000000" w:themeColor="text1"/>
        </w:rPr>
        <w:t xml:space="preserve"> a </w:t>
      </w:r>
      <w:r>
        <w:rPr>
          <w:rFonts w:ascii="Times New Roman" w:hAnsi="Times New Roman" w:cs="Times New Roman"/>
          <w:color w:val="000000" w:themeColor="text1"/>
          <w:sz w:val="24"/>
          <w:szCs w:val="24"/>
        </w:rPr>
        <w:t>pool of 3 target-specific 19-25 nucleotides</w:t>
      </w:r>
      <w:r>
        <w:rPr>
          <w:rFonts w:ascii="Times New Roman" w:hAnsi="Times New Roman" w:cs="Times New Roman" w:hint="eastAsia"/>
          <w:color w:val="000000" w:themeColor="text1"/>
          <w:sz w:val="24"/>
          <w:szCs w:val="24"/>
        </w:rPr>
        <w:t xml:space="preserve">, or </w:t>
      </w:r>
      <w:r>
        <w:rPr>
          <w:rFonts w:ascii="Times New Roman" w:hAnsi="Times New Roman" w:cs="Times New Roman"/>
          <w:color w:val="000000" w:themeColor="text1"/>
          <w:sz w:val="24"/>
          <w:szCs w:val="24"/>
        </w:rPr>
        <w:t>specially synthesized</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 xml:space="preserve">(sense: 5’-GGGAAGCUGAAGAUUAACATT-3’; antisense: 5’-UGUUAAUCUUCAGCUUCCCTT-3’; GenePharma, Shanghai, China). The lentiviral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expressio</w:t>
      </w:r>
      <w:r>
        <w:rPr>
          <w:rFonts w:ascii="Times New Roman" w:hAnsi="Times New Roman" w:cs="Times New Roman"/>
          <w:color w:val="000000" w:themeColor="text1"/>
          <w:sz w:val="24"/>
          <w:szCs w:val="24"/>
        </w:rPr>
        <w:t>n plasmid was constructed by Genechem (Shanghai, China). p65 expression plasmid was purchased from Genechem (Shanghai, China). Transfection of the expression vectors and siRNA were conducted using Lipofectamine 2000 and RNAiMAX reagents (Invitrogen), respe</w:t>
      </w:r>
      <w:r>
        <w:rPr>
          <w:rFonts w:ascii="Times New Roman" w:hAnsi="Times New Roman" w:cs="Times New Roman"/>
          <w:color w:val="000000" w:themeColor="text1"/>
          <w:sz w:val="24"/>
          <w:szCs w:val="24"/>
        </w:rPr>
        <w:t xml:space="preserve">ctively. </w:t>
      </w:r>
    </w:p>
    <w:p w:rsidR="002951CD" w:rsidRDefault="002951CD">
      <w:pPr>
        <w:spacing w:line="480" w:lineRule="auto"/>
        <w:rPr>
          <w:rFonts w:ascii="Times New Roman" w:eastAsia="宋体" w:hAnsi="Times New Roman" w:cs="Times New Roman"/>
          <w:b/>
          <w:color w:val="000000" w:themeColor="text1"/>
          <w:sz w:val="24"/>
          <w:szCs w:val="24"/>
          <w:lang w:eastAsia="zh-CN"/>
        </w:rPr>
      </w:pPr>
    </w:p>
    <w:p w:rsidR="002951CD" w:rsidRDefault="00EC2279">
      <w:pPr>
        <w:spacing w:line="480" w:lineRule="auto"/>
        <w:rPr>
          <w:rFonts w:ascii="Times New Roman" w:hAnsi="Times New Roman" w:cs="Times New Roman"/>
          <w:b/>
          <w:i/>
          <w:color w:val="000000" w:themeColor="text1"/>
          <w:sz w:val="24"/>
          <w:szCs w:val="24"/>
        </w:rPr>
      </w:pPr>
      <w:r>
        <w:rPr>
          <w:rFonts w:ascii="Times New Roman" w:hAnsi="Times New Roman" w:cs="Times New Roman"/>
          <w:b/>
          <w:i/>
          <w:color w:val="000000" w:themeColor="text1"/>
          <w:sz w:val="24"/>
          <w:szCs w:val="24"/>
        </w:rPr>
        <w:t>1.2</w:t>
      </w:r>
      <w:r>
        <w:rPr>
          <w:rFonts w:ascii="Times New Roman" w:hAnsi="Times New Roman" w:cs="Times New Roman"/>
          <w:b/>
          <w:i/>
          <w:color w:val="000000" w:themeColor="text1"/>
          <w:sz w:val="24"/>
          <w:szCs w:val="24"/>
        </w:rPr>
        <w:t xml:space="preserve"> RNA isolation and q</w:t>
      </w:r>
      <w:r>
        <w:rPr>
          <w:rFonts w:ascii="Times New Roman" w:hAnsi="Times New Roman" w:cs="Times New Roman" w:hint="eastAsia"/>
          <w:b/>
          <w:i/>
          <w:color w:val="000000" w:themeColor="text1"/>
          <w:sz w:val="24"/>
          <w:szCs w:val="24"/>
        </w:rPr>
        <w:t>ua</w:t>
      </w:r>
      <w:r>
        <w:rPr>
          <w:rFonts w:ascii="Times New Roman" w:hAnsi="Times New Roman" w:cs="Times New Roman"/>
          <w:b/>
          <w:i/>
          <w:color w:val="000000" w:themeColor="text1"/>
          <w:sz w:val="24"/>
          <w:szCs w:val="24"/>
        </w:rPr>
        <w:t>ntitative RT-PCR</w:t>
      </w: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Total RNA was extracted from the fresh-frozen tumors and TCC cells using TRIZOL reagent (Invitrogen) and RNeasy mini kit (Qiagen), respectively. For xenograft tumor tissues, total RNA was prepared by the standard acid guanidinium thiocyanate-phenol-chlorof</w:t>
      </w:r>
      <w:r>
        <w:rPr>
          <w:rFonts w:ascii="Times New Roman" w:hAnsi="Times New Roman" w:cs="Times New Roman"/>
          <w:color w:val="000000" w:themeColor="text1"/>
          <w:sz w:val="24"/>
          <w:szCs w:val="24"/>
        </w:rPr>
        <w:t>orm extraction procedure. cDNA was synthesized using SuperScript II first-strand synthesis system (Invitrogen). Quantitative RT-PCR analysis was performed by ABI7700 Prism sequence detector (Applied Biosystems) using the specific primers and SYBR Green PCR</w:t>
      </w:r>
      <w:r>
        <w:rPr>
          <w:rFonts w:ascii="Times New Roman" w:hAnsi="Times New Roman" w:cs="Times New Roman"/>
          <w:color w:val="000000" w:themeColor="text1"/>
          <w:sz w:val="24"/>
          <w:szCs w:val="24"/>
        </w:rPr>
        <w:t xml:space="preserve"> master mix following the manufacturer’s instructions. For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mRNA stability analysis, T24 cells were treated with or without oridonin (10 μM) for 10 min followed by the addition of actinomycin D (10 mg/ml). Total RNA was isolated at the indicated ti</w:t>
      </w:r>
      <w:r>
        <w:rPr>
          <w:rFonts w:ascii="Times New Roman" w:hAnsi="Times New Roman" w:cs="Times New Roman"/>
          <w:color w:val="000000" w:themeColor="text1"/>
          <w:sz w:val="24"/>
          <w:szCs w:val="24"/>
        </w:rPr>
        <w:t xml:space="preserve">me points after the treatment and processed for quantitative PCR. </w:t>
      </w:r>
    </w:p>
    <w:p w:rsidR="002951CD" w:rsidRDefault="002951CD">
      <w:pPr>
        <w:spacing w:line="480" w:lineRule="auto"/>
        <w:rPr>
          <w:rFonts w:ascii="Times New Roman" w:hAnsi="Times New Roman" w:cs="Times New Roman"/>
          <w:color w:val="000000" w:themeColor="text1"/>
          <w:sz w:val="24"/>
          <w:szCs w:val="24"/>
        </w:rPr>
      </w:pPr>
    </w:p>
    <w:p w:rsidR="002951CD" w:rsidRDefault="00EC2279">
      <w:pPr>
        <w:spacing w:line="480" w:lineRule="auto"/>
        <w:rPr>
          <w:rFonts w:ascii="Times New Roman" w:hAnsi="Times New Roman" w:cs="Times New Roman"/>
          <w:b/>
          <w:i/>
          <w:color w:val="000000" w:themeColor="text1"/>
          <w:sz w:val="24"/>
          <w:szCs w:val="24"/>
        </w:rPr>
      </w:pPr>
      <w:r>
        <w:rPr>
          <w:rFonts w:ascii="Times New Roman" w:hAnsi="Times New Roman" w:cs="Times New Roman"/>
          <w:b/>
          <w:i/>
          <w:color w:val="000000" w:themeColor="text1"/>
          <w:sz w:val="24"/>
          <w:szCs w:val="24"/>
        </w:rPr>
        <w:t>1.3 Immunohistochemical (IHC) staining</w:t>
      </w:r>
    </w:p>
    <w:p w:rsidR="002951CD" w:rsidRDefault="00EC2279">
      <w:pPr>
        <w:spacing w:line="480" w:lineRule="auto"/>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Human TCC tumor tissue arrays with 65 TCC tumors and 22 paired normal tissues were employed for IHC staining with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-specific antibody (Santa Curz) using the Dako Cytomation EnVisionþ System-HRP (DAB) detection kit. Briefly, the tissue array sections in 5 mm in thick were dehydrated and subjected to the peroxidase blocking. Netrin-1 antibody was added to the reaction mi</w:t>
      </w:r>
      <w:r>
        <w:rPr>
          <w:rFonts w:ascii="Times New Roman" w:hAnsi="Times New Roman" w:cs="Times New Roman"/>
          <w:color w:val="000000" w:themeColor="text1"/>
          <w:sz w:val="24"/>
          <w:szCs w:val="24"/>
        </w:rPr>
        <w:t xml:space="preserve">xture at a dilution of 1:100 and the reaction mixture was incubated at room temperature for 30 min on the Dako AutoStainer </w:t>
      </w:r>
      <w:r>
        <w:rPr>
          <w:rFonts w:ascii="Times New Roman" w:hAnsi="Times New Roman" w:cs="Times New Roman"/>
          <w:color w:val="000000" w:themeColor="text1"/>
          <w:sz w:val="24"/>
          <w:szCs w:val="24"/>
        </w:rPr>
        <w:lastRenderedPageBreak/>
        <w:t>(Carpinteria, CA, USA) followed by the incubation with Dako Cytomation EnVisionþ System-HRP (DAB) detection kit. The slides were then</w:t>
      </w:r>
      <w:r>
        <w:rPr>
          <w:rFonts w:ascii="Times New Roman" w:hAnsi="Times New Roman" w:cs="Times New Roman"/>
          <w:color w:val="000000" w:themeColor="text1"/>
          <w:sz w:val="24"/>
          <w:szCs w:val="24"/>
        </w:rPr>
        <w:t xml:space="preserve"> counterstained with hematoxylin. </w:t>
      </w:r>
      <w:r>
        <w:rPr>
          <w:rFonts w:ascii="Times New Roman" w:eastAsia="宋体" w:hAnsi="Times New Roman" w:cs="Times New Roman"/>
          <w:color w:val="000000" w:themeColor="text1"/>
          <w:sz w:val="24"/>
          <w:szCs w:val="24"/>
          <w:lang w:eastAsia="zh-CN"/>
        </w:rPr>
        <w:t xml:space="preserve">The above stained sections were reviewed and scored separately by two independent pathologists blinded to the clinical parameters. Expression levels of </w:t>
      </w:r>
      <w:r>
        <w:rPr>
          <w:rFonts w:ascii="Times New Roman" w:eastAsia="宋体" w:hAnsi="Times New Roman" w:cs="Times New Roman"/>
          <w:i/>
          <w:color w:val="000000" w:themeColor="text1"/>
          <w:sz w:val="24"/>
          <w:szCs w:val="24"/>
          <w:lang w:eastAsia="zh-CN"/>
        </w:rPr>
        <w:t>netrin-1</w:t>
      </w:r>
      <w:r>
        <w:rPr>
          <w:rFonts w:ascii="Times New Roman" w:eastAsia="宋体" w:hAnsi="Times New Roman" w:cs="Times New Roman"/>
          <w:color w:val="000000" w:themeColor="text1"/>
          <w:sz w:val="24"/>
          <w:szCs w:val="24"/>
          <w:lang w:eastAsia="zh-CN"/>
        </w:rPr>
        <w:t xml:space="preserve"> were evaluated based on the overall staining intensity in cyt</w:t>
      </w:r>
      <w:r>
        <w:rPr>
          <w:rFonts w:ascii="Times New Roman" w:eastAsia="宋体" w:hAnsi="Times New Roman" w:cs="Times New Roman"/>
          <w:color w:val="000000" w:themeColor="text1"/>
          <w:sz w:val="24"/>
          <w:szCs w:val="24"/>
          <w:lang w:eastAsia="zh-CN"/>
        </w:rPr>
        <w:t>oplasm and membrane along with the percentage of the positively</w:t>
      </w:r>
      <w:r>
        <w:rPr>
          <w:rFonts w:ascii="Times New Roman" w:hAnsi="Times New Roman" w:cs="Times New Roman"/>
          <w:color w:val="000000" w:themeColor="text1"/>
          <w:sz w:val="24"/>
          <w:szCs w:val="24"/>
        </w:rPr>
        <w:t xml:space="preserve"> </w:t>
      </w:r>
      <w:r>
        <w:rPr>
          <w:rFonts w:ascii="Times New Roman" w:eastAsia="宋体" w:hAnsi="Times New Roman" w:cs="Times New Roman"/>
          <w:color w:val="000000" w:themeColor="text1"/>
          <w:sz w:val="24"/>
          <w:szCs w:val="24"/>
          <w:lang w:eastAsia="zh-CN"/>
        </w:rPr>
        <w:t xml:space="preserve">stained tumor cells. The staining intensity was scored on a scale of 0 – 3. Tumor cells that were positively stained were counted in three independent visual fields and the average percentage </w:t>
      </w:r>
      <w:r>
        <w:rPr>
          <w:rFonts w:ascii="Times New Roman" w:eastAsia="宋体" w:hAnsi="Times New Roman" w:cs="Times New Roman"/>
          <w:color w:val="000000" w:themeColor="text1"/>
          <w:sz w:val="24"/>
          <w:szCs w:val="24"/>
          <w:lang w:eastAsia="zh-CN"/>
        </w:rPr>
        <w:t xml:space="preserve">of positive cells were calculated and graded on a scale of 0 – 3 (0: &lt;10%, 1: 10–25%, 2: 26–75% and 3: ≥76%). The samples with a summed score of </w:t>
      </w:r>
      <w:r>
        <w:rPr>
          <w:rFonts w:ascii="Times New Roman" w:hAnsi="Times New Roman" w:cs="Times New Roman"/>
          <w:color w:val="000000" w:themeColor="text1"/>
          <w:sz w:val="24"/>
          <w:szCs w:val="24"/>
          <w:lang w:eastAsia="zh-CN"/>
        </w:rPr>
        <w:t>0 – 4</w:t>
      </w:r>
      <w:r>
        <w:rPr>
          <w:rFonts w:ascii="Times New Roman" w:eastAsia="宋体" w:hAnsi="Times New Roman" w:cs="Times New Roman"/>
          <w:color w:val="000000" w:themeColor="text1"/>
          <w:sz w:val="24"/>
          <w:szCs w:val="24"/>
          <w:lang w:eastAsia="zh-CN"/>
        </w:rPr>
        <w:t xml:space="preserve"> were classified into </w:t>
      </w:r>
      <w:r>
        <w:rPr>
          <w:rFonts w:ascii="Times New Roman" w:eastAsia="宋体" w:hAnsi="Times New Roman" w:cs="Times New Roman"/>
          <w:i/>
          <w:color w:val="000000" w:themeColor="text1"/>
          <w:sz w:val="24"/>
          <w:szCs w:val="24"/>
          <w:lang w:eastAsia="zh-CN"/>
        </w:rPr>
        <w:t>netrin-1</w:t>
      </w:r>
      <w:r>
        <w:rPr>
          <w:rFonts w:ascii="Times New Roman" w:eastAsia="宋体" w:hAnsi="Times New Roman" w:cs="Times New Roman"/>
          <w:color w:val="000000" w:themeColor="text1"/>
          <w:sz w:val="24"/>
          <w:szCs w:val="24"/>
          <w:lang w:eastAsia="zh-CN"/>
        </w:rPr>
        <w:t xml:space="preserve">-low group and those with a summed score of 5 – 6 into </w:t>
      </w:r>
      <w:r>
        <w:rPr>
          <w:rFonts w:ascii="Times New Roman" w:eastAsia="宋体" w:hAnsi="Times New Roman" w:cs="Times New Roman"/>
          <w:i/>
          <w:color w:val="000000" w:themeColor="text1"/>
          <w:sz w:val="24"/>
          <w:szCs w:val="24"/>
          <w:lang w:eastAsia="zh-CN"/>
        </w:rPr>
        <w:t>netrin-1</w:t>
      </w:r>
      <w:r>
        <w:rPr>
          <w:rFonts w:ascii="Times New Roman" w:eastAsia="宋体" w:hAnsi="Times New Roman" w:cs="Times New Roman"/>
          <w:color w:val="000000" w:themeColor="text1"/>
          <w:sz w:val="24"/>
          <w:szCs w:val="24"/>
          <w:lang w:eastAsia="zh-CN"/>
        </w:rPr>
        <w:t xml:space="preserve">-high group. </w:t>
      </w:r>
    </w:p>
    <w:p w:rsidR="002951CD" w:rsidRDefault="002951CD">
      <w:pPr>
        <w:spacing w:line="480" w:lineRule="auto"/>
        <w:rPr>
          <w:rFonts w:ascii="Times New Roman" w:hAnsi="Times New Roman" w:cs="Times New Roman"/>
          <w:b/>
          <w:color w:val="000000" w:themeColor="text1"/>
          <w:sz w:val="24"/>
          <w:szCs w:val="24"/>
        </w:rPr>
      </w:pPr>
    </w:p>
    <w:p w:rsidR="002951CD" w:rsidRDefault="00EC2279">
      <w:pPr>
        <w:spacing w:line="480" w:lineRule="auto"/>
        <w:rPr>
          <w:rFonts w:ascii="Times New Roman" w:hAnsi="Times New Roman" w:cs="Times New Roman"/>
          <w:b/>
          <w:i/>
          <w:color w:val="000000" w:themeColor="text1"/>
          <w:sz w:val="24"/>
          <w:szCs w:val="24"/>
        </w:rPr>
      </w:pPr>
      <w:r>
        <w:rPr>
          <w:rFonts w:ascii="Times New Roman" w:hAnsi="Times New Roman" w:cs="Times New Roman"/>
          <w:b/>
          <w:i/>
          <w:color w:val="000000" w:themeColor="text1"/>
          <w:sz w:val="24"/>
          <w:szCs w:val="24"/>
        </w:rPr>
        <w:t>1.4</w:t>
      </w:r>
      <w:r>
        <w:rPr>
          <w:rFonts w:ascii="Times New Roman" w:hAnsi="Times New Roman" w:cs="Times New Roman"/>
          <w:b/>
          <w:i/>
          <w:color w:val="000000" w:themeColor="text1"/>
          <w:sz w:val="24"/>
          <w:szCs w:val="24"/>
        </w:rPr>
        <w:t xml:space="preserve"> Colony formation assay </w:t>
      </w: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Soft agar assay was conducted in 6-well plates. The base layer contained 1.5 ml of normal medium with 0.6% low melting point agarose. After </w:t>
      </w:r>
      <w:r>
        <w:rPr>
          <w:rFonts w:ascii="Times New Roman" w:hAnsi="Times New Roman" w:cs="Times New Roman"/>
          <w:color w:val="000000" w:themeColor="text1"/>
          <w:sz w:val="24"/>
          <w:szCs w:val="24"/>
        </w:rPr>
        <w:t>transfection with the indicated siRNAs for 48 hours, cells were harvested by the trypsinization. Cells (5</w:t>
      </w:r>
      <w:r>
        <w:rPr>
          <w:rFonts w:ascii="Times New Roman" w:hAnsi="Times New Roman" w:cs="Times New Roman"/>
          <w:color w:val="000000" w:themeColor="text1"/>
          <w:sz w:val="24"/>
          <w:szCs w:val="24"/>
        </w:rPr>
        <w:sym w:font="Symbol" w:char="F0B4"/>
      </w:r>
      <w:r>
        <w:rPr>
          <w:rFonts w:ascii="Times New Roman" w:hAnsi="Times New Roman" w:cs="Times New Roman"/>
          <w:color w:val="000000" w:themeColor="text1"/>
          <w:sz w:val="24"/>
          <w:szCs w:val="24"/>
        </w:rPr>
        <w:t>10</w:t>
      </w:r>
      <w:r>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 xml:space="preserve"> cells) were mixed with 1 ml of fresh medium containing 0.35% agarose and poured onto the base layer. Plates were chilled at 4</w:t>
      </w:r>
      <w:r>
        <w:rPr>
          <w:rFonts w:ascii="Times New Roman" w:hAnsi="Times New Roman" w:cs="Times New Roman"/>
          <w:color w:val="000000" w:themeColor="text1"/>
          <w:sz w:val="24"/>
          <w:szCs w:val="24"/>
        </w:rPr>
        <w:sym w:font="Symbol" w:char="F0B0"/>
      </w:r>
      <w:r>
        <w:rPr>
          <w:rFonts w:ascii="Times New Roman" w:hAnsi="Times New Roman" w:cs="Times New Roman"/>
          <w:color w:val="000000" w:themeColor="text1"/>
          <w:sz w:val="24"/>
          <w:szCs w:val="24"/>
        </w:rPr>
        <w:t>C for 10 min until t</w:t>
      </w:r>
      <w:r>
        <w:rPr>
          <w:rFonts w:ascii="Times New Roman" w:hAnsi="Times New Roman" w:cs="Times New Roman"/>
          <w:color w:val="000000" w:themeColor="text1"/>
          <w:sz w:val="24"/>
          <w:szCs w:val="24"/>
        </w:rPr>
        <w:t xml:space="preserve">he top layer became solid, and then </w:t>
      </w:r>
      <w:r>
        <w:rPr>
          <w:rFonts w:ascii="Times New Roman" w:hAnsi="Times New Roman" w:cs="Times New Roman"/>
          <w:color w:val="000000" w:themeColor="text1"/>
          <w:sz w:val="24"/>
          <w:szCs w:val="24"/>
        </w:rPr>
        <w:lastRenderedPageBreak/>
        <w:t>moved into the incubator. For each cell, the plates were prepared in triplicate. After incubation for 3 weeks, colonies with a diameter ≥ 100 μm were counted in each plate.</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For colony formation assay, 2 × 10</w:t>
      </w:r>
      <w:r>
        <w:rPr>
          <w:rFonts w:ascii="Times New Roman" w:hAnsi="Times New Roman" w:cs="Times New Roman"/>
          <w:color w:val="000000" w:themeColor="text1"/>
          <w:sz w:val="24"/>
          <w:szCs w:val="24"/>
          <w:vertAlign w:val="superscript"/>
        </w:rPr>
        <w:t>5</w:t>
      </w:r>
      <w:r>
        <w:rPr>
          <w:rFonts w:ascii="Times New Roman" w:hAnsi="Times New Roman" w:cs="Times New Roman"/>
          <w:color w:val="000000" w:themeColor="text1"/>
          <w:sz w:val="24"/>
          <w:szCs w:val="24"/>
        </w:rPr>
        <w:t xml:space="preserve"> cells were transfected with the indicated siRNAs. Forty-eight hours after the transfection, cells were harvested and counted. T24 cells (1.5 × 10</w:t>
      </w:r>
      <w:r>
        <w:rPr>
          <w:rFonts w:ascii="Times New Roman" w:hAnsi="Times New Roman" w:cs="Times New Roman"/>
          <w:color w:val="000000" w:themeColor="text1"/>
          <w:sz w:val="24"/>
          <w:szCs w:val="24"/>
          <w:vertAlign w:val="superscript"/>
        </w:rPr>
        <w:t>5</w:t>
      </w:r>
      <w:r>
        <w:rPr>
          <w:rFonts w:ascii="Times New Roman" w:hAnsi="Times New Roman" w:cs="Times New Roman"/>
          <w:color w:val="000000" w:themeColor="text1"/>
          <w:sz w:val="24"/>
          <w:szCs w:val="24"/>
        </w:rPr>
        <w:t xml:space="preserve"> cells) and EJ cells (1 × 10</w:t>
      </w:r>
      <w:r>
        <w:rPr>
          <w:rFonts w:ascii="Times New Roman" w:hAnsi="Times New Roman" w:cs="Times New Roman"/>
          <w:color w:val="000000" w:themeColor="text1"/>
          <w:sz w:val="24"/>
          <w:szCs w:val="24"/>
          <w:vertAlign w:val="superscript"/>
        </w:rPr>
        <w:t>5</w:t>
      </w:r>
      <w:r>
        <w:rPr>
          <w:rFonts w:ascii="Times New Roman" w:hAnsi="Times New Roman" w:cs="Times New Roman"/>
          <w:color w:val="000000" w:themeColor="text1"/>
          <w:sz w:val="24"/>
          <w:szCs w:val="24"/>
        </w:rPr>
        <w:t xml:space="preserve"> cells) were then reseeded in 6-well plates in triplicate, and maintained for ad</w:t>
      </w:r>
      <w:r>
        <w:rPr>
          <w:rFonts w:ascii="Times New Roman" w:hAnsi="Times New Roman" w:cs="Times New Roman"/>
          <w:color w:val="000000" w:themeColor="text1"/>
          <w:sz w:val="24"/>
          <w:szCs w:val="24"/>
        </w:rPr>
        <w:t xml:space="preserve">ditional 24 hours. Twenty-two hours after oridonin treatment (7.5 μM for T24 cells and 10 μM for EJ cells), cells were incubated in normal medium for 7 days. The plates were then fixed and stained with Giemsa’s solution. </w:t>
      </w:r>
    </w:p>
    <w:p w:rsidR="002951CD" w:rsidRDefault="002951CD">
      <w:pPr>
        <w:spacing w:line="480" w:lineRule="auto"/>
        <w:rPr>
          <w:rFonts w:ascii="Times New Roman" w:hAnsi="Times New Roman" w:cs="Times New Roman"/>
          <w:b/>
          <w:color w:val="000000" w:themeColor="text1"/>
          <w:sz w:val="24"/>
          <w:szCs w:val="24"/>
          <w:lang w:eastAsia="zh-CN"/>
        </w:rPr>
      </w:pPr>
    </w:p>
    <w:p w:rsidR="002951CD" w:rsidRDefault="00EC2279">
      <w:pPr>
        <w:spacing w:line="480" w:lineRule="auto"/>
        <w:rPr>
          <w:rFonts w:ascii="Times New Roman" w:hAnsi="Times New Roman" w:cs="Times New Roman"/>
          <w:b/>
          <w:i/>
          <w:color w:val="000000" w:themeColor="text1"/>
          <w:sz w:val="24"/>
          <w:szCs w:val="24"/>
        </w:rPr>
      </w:pPr>
      <w:r>
        <w:rPr>
          <w:rFonts w:ascii="Times New Roman" w:hAnsi="Times New Roman" w:cs="Times New Roman"/>
          <w:b/>
          <w:i/>
          <w:color w:val="000000" w:themeColor="text1"/>
          <w:sz w:val="24"/>
          <w:szCs w:val="24"/>
        </w:rPr>
        <w:t>1.5</w:t>
      </w:r>
      <w:r>
        <w:rPr>
          <w:rFonts w:ascii="Times New Roman" w:hAnsi="Times New Roman" w:cs="Times New Roman"/>
          <w:b/>
          <w:i/>
          <w:color w:val="000000" w:themeColor="text1"/>
          <w:sz w:val="24"/>
          <w:szCs w:val="24"/>
        </w:rPr>
        <w:t xml:space="preserve"> Cell proliferation and cell </w:t>
      </w:r>
      <w:r>
        <w:rPr>
          <w:rFonts w:ascii="Times New Roman" w:hAnsi="Times New Roman" w:cs="Times New Roman"/>
          <w:b/>
          <w:i/>
          <w:color w:val="000000" w:themeColor="text1"/>
          <w:sz w:val="24"/>
          <w:szCs w:val="24"/>
        </w:rPr>
        <w:t>death analysis</w:t>
      </w:r>
    </w:p>
    <w:p w:rsidR="002951CD" w:rsidRDefault="00EC2279">
      <w:pPr>
        <w:spacing w:line="480" w:lineRule="auto"/>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For growth curve assay</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1 × 10</w:t>
      </w:r>
      <w:r>
        <w:rPr>
          <w:rFonts w:ascii="Times New Roman" w:hAnsi="Times New Roman" w:cs="Times New Roman"/>
          <w:color w:val="000000" w:themeColor="text1"/>
          <w:sz w:val="24"/>
          <w:szCs w:val="24"/>
          <w:vertAlign w:val="superscript"/>
        </w:rPr>
        <w:t>5</w:t>
      </w:r>
      <w:r>
        <w:rPr>
          <w:rFonts w:ascii="Times New Roman" w:hAnsi="Times New Roman" w:cs="Times New Roman"/>
          <w:color w:val="000000" w:themeColor="text1"/>
          <w:sz w:val="24"/>
          <w:szCs w:val="24"/>
        </w:rPr>
        <w:t xml:space="preserve"> cells were seeded in 6-well plates. For each cell, cells were prepared in triplicate at each time point. Twenty-four hours after the seeding, cells were harvested and counted using a hemocytometer at intervals of 24 hours up to 96 hours. Cell proliferatio</w:t>
      </w:r>
      <w:r>
        <w:rPr>
          <w:rFonts w:ascii="Times New Roman" w:hAnsi="Times New Roman" w:cs="Times New Roman"/>
          <w:color w:val="000000" w:themeColor="text1"/>
          <w:sz w:val="24"/>
          <w:szCs w:val="24"/>
        </w:rPr>
        <w:t>n was assessed using cell counting Kit-8 (Dojindo, Japan). Cell viability was evaluated by trypan blue exclusion assay. Trypan blue-positive cells were considered dead cells. FACS analysis was employed to measure number of cells undergoing apoptotic cell d</w:t>
      </w:r>
      <w:r>
        <w:rPr>
          <w:rFonts w:ascii="Times New Roman" w:hAnsi="Times New Roman" w:cs="Times New Roman"/>
          <w:color w:val="000000" w:themeColor="text1"/>
          <w:sz w:val="24"/>
          <w:szCs w:val="24"/>
        </w:rPr>
        <w:t>eath.</w:t>
      </w:r>
      <w:r>
        <w:rPr>
          <w:color w:val="000000" w:themeColor="text1"/>
        </w:rPr>
        <w:t xml:space="preserve"> </w:t>
      </w:r>
      <w:r>
        <w:rPr>
          <w:rFonts w:ascii="Times New Roman" w:hAnsi="Times New Roman" w:cs="Times New Roman"/>
          <w:color w:val="000000" w:themeColor="text1"/>
          <w:sz w:val="24"/>
          <w:szCs w:val="24"/>
        </w:rPr>
        <w:t xml:space="preserve">After the fixation in 70% ethanol at -20Cº overnight, cells were stained with propidium iodide (25 μg/ml) in the presence of RNase A (25 μg/ml) for 30 </w:t>
      </w:r>
      <w:r>
        <w:rPr>
          <w:rFonts w:ascii="Times New Roman" w:hAnsi="Times New Roman" w:cs="Times New Roman"/>
          <w:color w:val="000000" w:themeColor="text1"/>
          <w:sz w:val="24"/>
          <w:szCs w:val="24"/>
        </w:rPr>
        <w:lastRenderedPageBreak/>
        <w:t xml:space="preserve">min and then analyzed by FACS Calibur system (Becton Dickinson). Data analyses were done using CELLQuest </w:t>
      </w:r>
      <w:r>
        <w:rPr>
          <w:rFonts w:ascii="Times New Roman" w:hAnsi="Times New Roman" w:cs="Times New Roman"/>
          <w:color w:val="000000" w:themeColor="text1"/>
          <w:sz w:val="24"/>
          <w:szCs w:val="24"/>
        </w:rPr>
        <w:t xml:space="preserve">software (version 3.0). </w:t>
      </w:r>
    </w:p>
    <w:p w:rsidR="002951CD" w:rsidRDefault="002951CD">
      <w:pPr>
        <w:spacing w:line="480" w:lineRule="auto"/>
        <w:rPr>
          <w:rFonts w:ascii="Times New Roman" w:hAnsi="Times New Roman" w:cs="Times New Roman"/>
          <w:b/>
          <w:color w:val="000000" w:themeColor="text1"/>
          <w:sz w:val="24"/>
          <w:szCs w:val="24"/>
        </w:rPr>
      </w:pPr>
    </w:p>
    <w:p w:rsidR="002951CD" w:rsidRDefault="00EC2279">
      <w:pPr>
        <w:spacing w:line="480" w:lineRule="auto"/>
        <w:rPr>
          <w:rFonts w:ascii="Times New Roman" w:hAnsi="Times New Roman" w:cs="Times New Roman"/>
          <w:b/>
          <w:i/>
          <w:color w:val="000000" w:themeColor="text1"/>
          <w:sz w:val="24"/>
          <w:szCs w:val="24"/>
        </w:rPr>
      </w:pPr>
      <w:r>
        <w:rPr>
          <w:rFonts w:ascii="Times New Roman" w:hAnsi="Times New Roman" w:cs="Times New Roman"/>
          <w:b/>
          <w:i/>
          <w:color w:val="000000" w:themeColor="text1"/>
          <w:sz w:val="24"/>
          <w:szCs w:val="24"/>
        </w:rPr>
        <w:t>1.6</w:t>
      </w:r>
      <w:r>
        <w:rPr>
          <w:rFonts w:ascii="Times New Roman" w:hAnsi="Times New Roman" w:cs="Times New Roman" w:hint="eastAsia"/>
          <w:b/>
          <w:i/>
          <w:color w:val="000000" w:themeColor="text1"/>
          <w:sz w:val="24"/>
          <w:szCs w:val="24"/>
        </w:rPr>
        <w:t xml:space="preserve"> </w:t>
      </w:r>
      <w:r>
        <w:rPr>
          <w:rFonts w:ascii="Times New Roman" w:hAnsi="Times New Roman" w:cs="Times New Roman"/>
          <w:b/>
          <w:i/>
          <w:color w:val="000000" w:themeColor="text1"/>
          <w:sz w:val="24"/>
          <w:szCs w:val="24"/>
        </w:rPr>
        <w:t>Sphere formation assay</w:t>
      </w: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T24 cells were infected with </w:t>
      </w:r>
      <w:r>
        <w:rPr>
          <w:rFonts w:ascii="Times New Roman" w:hAnsi="Times New Roman" w:cs="Times New Roman"/>
          <w:color w:val="000000" w:themeColor="text1"/>
          <w:sz w:val="24"/>
          <w:szCs w:val="24"/>
        </w:rPr>
        <w:t xml:space="preserve">the empty lentivirus or with the lentivirus vector for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and then selected in the presence of 0.5 μg/ml puromycin for 3 weeks. The stable transfectants were established and collected. Cell pellets were resuspended in sphere formation medium (SFM) including DMEM:F-12, 1:1 (Thermo Fisher Scientific), 2% of B-27 s</w:t>
      </w:r>
      <w:r>
        <w:rPr>
          <w:rFonts w:ascii="Times New Roman" w:hAnsi="Times New Roman" w:cs="Times New Roman"/>
          <w:color w:val="000000" w:themeColor="text1"/>
          <w:sz w:val="24"/>
          <w:szCs w:val="24"/>
        </w:rPr>
        <w:t>upplement (Thermo Fisher Scientific), 25 ng/ml of EGF (Thermo Fisher Scientific), 25 ng/ml of bFGF (Thermo Fisher Scientific) and 1</w:t>
      </w:r>
      <w:r>
        <w:rPr>
          <w:rFonts w:ascii="Times New Roman" w:hAnsi="Times New Roman" w:cs="Times New Roman"/>
          <w:color w:val="000000" w:themeColor="text1"/>
          <w:sz w:val="24"/>
          <w:szCs w:val="24"/>
        </w:rPr>
        <w:sym w:font="Symbol" w:char="F0B4"/>
      </w:r>
      <w:r>
        <w:rPr>
          <w:rFonts w:ascii="Times New Roman" w:hAnsi="Times New Roman" w:cs="Times New Roman"/>
          <w:color w:val="000000" w:themeColor="text1"/>
          <w:sz w:val="24"/>
          <w:szCs w:val="24"/>
        </w:rPr>
        <w:t xml:space="preserve"> antibiotic-antimycotic (Thermo Fisher Scientific), and strained through the sterile cell strainers (mesh size: 40μm, BMBio)</w:t>
      </w:r>
      <w:r>
        <w:rPr>
          <w:rFonts w:ascii="Times New Roman" w:hAnsi="Times New Roman" w:cs="Times New Roman"/>
          <w:color w:val="000000" w:themeColor="text1"/>
          <w:sz w:val="24"/>
          <w:szCs w:val="24"/>
        </w:rPr>
        <w:t xml:space="preserve"> to produce the single cell suspension. Cells (1</w:t>
      </w:r>
      <w:r>
        <w:rPr>
          <w:rFonts w:ascii="Times New Roman" w:hAnsi="Times New Roman" w:cs="Times New Roman"/>
          <w:color w:val="000000" w:themeColor="text1"/>
          <w:sz w:val="24"/>
          <w:szCs w:val="24"/>
        </w:rPr>
        <w:sym w:font="Symbol" w:char="F0B4"/>
      </w:r>
      <w:r>
        <w:rPr>
          <w:rFonts w:ascii="Times New Roman" w:hAnsi="Times New Roman" w:cs="Times New Roman"/>
          <w:color w:val="000000" w:themeColor="text1"/>
          <w:sz w:val="24"/>
          <w:szCs w:val="24"/>
        </w:rPr>
        <w:t>10</w:t>
      </w:r>
      <w:r>
        <w:rPr>
          <w:rFonts w:ascii="Times New Roman" w:hAnsi="Times New Roman" w:cs="Times New Roman"/>
          <w:color w:val="000000" w:themeColor="text1"/>
          <w:sz w:val="24"/>
          <w:szCs w:val="24"/>
          <w:vertAlign w:val="superscript"/>
        </w:rPr>
        <w:t xml:space="preserve">4 </w:t>
      </w:r>
      <w:r>
        <w:rPr>
          <w:rFonts w:ascii="Times New Roman" w:hAnsi="Times New Roman" w:cs="Times New Roman"/>
          <w:color w:val="000000" w:themeColor="text1"/>
          <w:sz w:val="24"/>
          <w:szCs w:val="24"/>
        </w:rPr>
        <w:t xml:space="preserve">cells) were then seeded into an ultra-low attachment Nunclon Sphera 6-well multidish (Thermo Fisher Scientific) with 2 ml SFM per well and cultured for 10 days. Number of tumor spheres with a diameter ≥ </w:t>
      </w:r>
      <w:r>
        <w:rPr>
          <w:rFonts w:ascii="Times New Roman" w:hAnsi="Times New Roman" w:cs="Times New Roman"/>
          <w:color w:val="000000" w:themeColor="text1"/>
          <w:sz w:val="24"/>
          <w:szCs w:val="24"/>
        </w:rPr>
        <w:t xml:space="preserve">100 μM was scored. </w:t>
      </w:r>
    </w:p>
    <w:p w:rsidR="002951CD" w:rsidRDefault="002951CD">
      <w:pPr>
        <w:spacing w:line="480" w:lineRule="auto"/>
        <w:rPr>
          <w:rFonts w:ascii="Times New Roman" w:hAnsi="Times New Roman" w:cs="Times New Roman"/>
          <w:b/>
          <w:i/>
          <w:color w:val="000000" w:themeColor="text1"/>
          <w:sz w:val="24"/>
          <w:szCs w:val="24"/>
        </w:rPr>
      </w:pPr>
    </w:p>
    <w:p w:rsidR="002951CD" w:rsidRDefault="00EC2279">
      <w:pPr>
        <w:spacing w:line="480" w:lineRule="auto"/>
        <w:rPr>
          <w:rFonts w:ascii="Times New Roman" w:hAnsi="Times New Roman" w:cs="Times New Roman"/>
          <w:b/>
          <w:i/>
          <w:color w:val="000000" w:themeColor="text1"/>
          <w:sz w:val="24"/>
          <w:szCs w:val="24"/>
        </w:rPr>
      </w:pPr>
      <w:r>
        <w:rPr>
          <w:rFonts w:ascii="Times New Roman" w:hAnsi="Times New Roman" w:cs="Times New Roman"/>
          <w:b/>
          <w:i/>
          <w:color w:val="000000" w:themeColor="text1"/>
          <w:sz w:val="24"/>
          <w:szCs w:val="24"/>
        </w:rPr>
        <w:t>1.</w:t>
      </w:r>
      <w:r>
        <w:rPr>
          <w:rFonts w:ascii="Times New Roman" w:hAnsi="Times New Roman" w:cs="Times New Roman"/>
          <w:b/>
          <w:i/>
          <w:color w:val="000000" w:themeColor="text1"/>
          <w:sz w:val="24"/>
          <w:szCs w:val="24"/>
        </w:rPr>
        <w:t>7</w:t>
      </w:r>
      <w:r>
        <w:rPr>
          <w:rFonts w:ascii="Times New Roman" w:hAnsi="Times New Roman" w:cs="Times New Roman"/>
          <w:b/>
          <w:i/>
          <w:color w:val="000000" w:themeColor="text1"/>
          <w:sz w:val="24"/>
          <w:szCs w:val="24"/>
        </w:rPr>
        <w:t xml:space="preserve"> Detection of autophagic vacuoles by Monodansylcadaverine (MDC) vital staining </w:t>
      </w:r>
    </w:p>
    <w:p w:rsidR="002951CD" w:rsidRDefault="00EC2279">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color w:val="000000" w:themeColor="text1"/>
          <w:sz w:val="24"/>
          <w:szCs w:val="24"/>
        </w:rPr>
        <w:t>Cells were seeded on the co</w:t>
      </w:r>
      <w:r>
        <w:rPr>
          <w:rFonts w:ascii="Times New Roman" w:hAnsi="Times New Roman" w:cs="Times New Roman"/>
          <w:color w:val="000000" w:themeColor="text1"/>
          <w:sz w:val="24"/>
          <w:szCs w:val="24"/>
        </w:rPr>
        <w:t>ver glasses and incubated overnight at 37</w:t>
      </w:r>
      <w:r>
        <w:rPr>
          <w:rFonts w:ascii="Times New Roman" w:hAnsi="Times New Roman" w:cs="Times New Roman"/>
          <w:color w:val="000000" w:themeColor="text1"/>
          <w:sz w:val="24"/>
          <w:szCs w:val="24"/>
        </w:rPr>
        <w:sym w:font="Symbol" w:char="F0B0"/>
      </w:r>
      <w:r>
        <w:rPr>
          <w:rFonts w:ascii="Times New Roman" w:hAnsi="Times New Roman" w:cs="Times New Roman"/>
          <w:color w:val="000000" w:themeColor="text1"/>
          <w:sz w:val="24"/>
          <w:szCs w:val="24"/>
        </w:rPr>
        <w:t xml:space="preserve">C. Cells were then </w:t>
      </w:r>
      <w:r>
        <w:rPr>
          <w:rFonts w:ascii="Times New Roman" w:hAnsi="Times New Roman" w:cs="Times New Roman"/>
          <w:color w:val="000000" w:themeColor="text1"/>
          <w:sz w:val="24"/>
          <w:szCs w:val="24"/>
        </w:rPr>
        <w:lastRenderedPageBreak/>
        <w:t xml:space="preserve">treated with or without oridonin (Sigma) at the final </w:t>
      </w:r>
      <w:r>
        <w:rPr>
          <w:rFonts w:ascii="Times New Roman" w:hAnsi="Times New Roman" w:cs="Times New Roman"/>
          <w:color w:val="000000" w:themeColor="text1"/>
          <w:sz w:val="24"/>
          <w:szCs w:val="24"/>
        </w:rPr>
        <w:t>concentrations of 15, 20 and 40 μM for T24, EJ and J82 cells, respectively. Twenty-four hours after the treatment, cells were exposed to the freshly prepared normal medium containing 0.05 mM MDC (Sigma) at 37</w:t>
      </w:r>
      <w:r>
        <w:rPr>
          <w:rFonts w:ascii="Times New Roman" w:hAnsi="Times New Roman" w:cs="Times New Roman"/>
          <w:color w:val="000000" w:themeColor="text1"/>
          <w:sz w:val="24"/>
          <w:szCs w:val="24"/>
        </w:rPr>
        <w:sym w:font="Symbol" w:char="F0B0"/>
      </w:r>
      <w:r>
        <w:rPr>
          <w:rFonts w:ascii="Times New Roman" w:hAnsi="Times New Roman" w:cs="Times New Roman"/>
          <w:color w:val="000000" w:themeColor="text1"/>
          <w:sz w:val="24"/>
          <w:szCs w:val="24"/>
        </w:rPr>
        <w:t xml:space="preserve">C for 1 hour. After two washes in 1 </w:t>
      </w:r>
      <w:r>
        <w:rPr>
          <w:rFonts w:ascii="Times New Roman" w:eastAsia="MS Mincho"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P</w:t>
      </w:r>
      <w:r>
        <w:rPr>
          <w:rFonts w:ascii="Times New Roman" w:hAnsi="Times New Roman" w:cs="Times New Roman"/>
          <w:color w:val="000000" w:themeColor="text1"/>
          <w:sz w:val="24"/>
          <w:szCs w:val="24"/>
        </w:rPr>
        <w:t xml:space="preserve">BS (pH 7.4), the cover glasses were loaded on the slide glasses and immediately analyzed by fluorescence microscope (Leica Microsystems, 400 </w:t>
      </w:r>
      <w:r>
        <w:rPr>
          <w:rFonts w:ascii="Times New Roman" w:eastAsia="MS Mincho"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rsidR="002951CD" w:rsidRDefault="002951CD">
      <w:pPr>
        <w:spacing w:line="480" w:lineRule="auto"/>
        <w:rPr>
          <w:rFonts w:ascii="Times New Roman" w:hAnsi="Times New Roman" w:cs="Times New Roman"/>
          <w:b/>
          <w:color w:val="000000" w:themeColor="text1"/>
          <w:sz w:val="24"/>
          <w:szCs w:val="24"/>
        </w:rPr>
      </w:pPr>
    </w:p>
    <w:p w:rsidR="002951CD" w:rsidRDefault="00EC2279">
      <w:pPr>
        <w:spacing w:line="480" w:lineRule="auto"/>
        <w:rPr>
          <w:rFonts w:ascii="Times New Roman" w:hAnsi="Times New Roman" w:cs="Times New Roman"/>
          <w:b/>
          <w:i/>
          <w:color w:val="000000" w:themeColor="text1"/>
          <w:sz w:val="24"/>
        </w:rPr>
      </w:pPr>
      <w:r>
        <w:rPr>
          <w:rFonts w:ascii="Times New Roman" w:hAnsi="Times New Roman" w:cs="Times New Roman"/>
          <w:b/>
          <w:i/>
          <w:color w:val="000000" w:themeColor="text1"/>
          <w:sz w:val="24"/>
        </w:rPr>
        <w:t>1.8</w:t>
      </w:r>
      <w:r>
        <w:rPr>
          <w:rFonts w:ascii="Times New Roman" w:hAnsi="Times New Roman" w:cs="Times New Roman"/>
          <w:b/>
          <w:i/>
          <w:color w:val="000000" w:themeColor="text1"/>
          <w:sz w:val="24"/>
        </w:rPr>
        <w:t xml:space="preserve"> Netrin-1 quantitation by enzyme-linked immunosorbent assay (ELISA)</w:t>
      </w:r>
    </w:p>
    <w:p w:rsidR="002951CD" w:rsidRDefault="00EC2279">
      <w:pPr>
        <w:spacing w:line="48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Netrin-1 concentrations in the urine samples as well as </w:t>
      </w:r>
      <w:r>
        <w:rPr>
          <w:rFonts w:ascii="Times New Roman" w:hAnsi="Times New Roman" w:cs="Times New Roman" w:hint="eastAsia"/>
          <w:color w:val="000000" w:themeColor="text1"/>
          <w:sz w:val="24"/>
        </w:rPr>
        <w:t>the supernatants of T24</w:t>
      </w:r>
      <w:r>
        <w:rPr>
          <w:rFonts w:ascii="Times New Roman" w:hAnsi="Times New Roman" w:cs="Times New Roman" w:hint="eastAsia"/>
          <w:color w:val="000000" w:themeColor="text1"/>
          <w:sz w:val="24"/>
        </w:rPr>
        <w:t>，</w:t>
      </w:r>
      <w:r>
        <w:rPr>
          <w:rFonts w:ascii="Times New Roman" w:hAnsi="Times New Roman" w:cs="Times New Roman" w:hint="eastAsia"/>
          <w:color w:val="000000" w:themeColor="text1"/>
          <w:sz w:val="24"/>
        </w:rPr>
        <w:t>EJ and J82 cell cultures</w:t>
      </w:r>
      <w:r>
        <w:rPr>
          <w:rFonts w:ascii="Times New Roman" w:hAnsi="Times New Roman" w:cs="Times New Roman"/>
          <w:color w:val="000000" w:themeColor="text1"/>
          <w:sz w:val="24"/>
        </w:rPr>
        <w:t xml:space="preserve"> were analyzed with ELISA kit (catalogue no. E1827h; USCN Life Science, Wuhan, China) as described previously </w:t>
      </w:r>
      <w:r>
        <w:rPr>
          <w:rFonts w:ascii="Times New Roman" w:eastAsia="宋体" w:hAnsi="Times New Roman" w:cs="Times New Roman"/>
          <w:color w:val="000000" w:themeColor="text1"/>
          <w:lang w:eastAsia="zh-CN"/>
        </w:rPr>
        <w:t>[25]</w:t>
      </w:r>
      <w:r>
        <w:rPr>
          <w:rFonts w:ascii="Times New Roman" w:hAnsi="Times New Roman" w:cs="Times New Roman"/>
          <w:color w:val="000000" w:themeColor="text1"/>
          <w:sz w:val="24"/>
        </w:rPr>
        <w:t>. The optical density (OD) values were</w:t>
      </w:r>
      <w:r>
        <w:rPr>
          <w:rFonts w:ascii="Times New Roman" w:hAnsi="Times New Roman" w:cs="Times New Roman"/>
          <w:color w:val="000000" w:themeColor="text1"/>
          <w:sz w:val="24"/>
        </w:rPr>
        <w:t xml:space="preserve"> measured using a plate reader (Labsystems) at a wavelength of 450 nm. The concentration of </w:t>
      </w:r>
      <w:r>
        <w:rPr>
          <w:rFonts w:ascii="Times New Roman" w:hAnsi="Times New Roman" w:cs="Times New Roman"/>
          <w:i/>
          <w:color w:val="000000" w:themeColor="text1"/>
          <w:sz w:val="24"/>
        </w:rPr>
        <w:t>netrin-1</w:t>
      </w:r>
      <w:r>
        <w:rPr>
          <w:rFonts w:ascii="Times New Roman" w:hAnsi="Times New Roman" w:cs="Times New Roman"/>
          <w:color w:val="000000" w:themeColor="text1"/>
          <w:sz w:val="24"/>
        </w:rPr>
        <w:t xml:space="preserve"> in the samples was determined by comparing the OD of the samples to the standard curve, with a minimal limit of the detection of 7.8 pg/ml. All measurement</w:t>
      </w:r>
      <w:r>
        <w:rPr>
          <w:rFonts w:ascii="Times New Roman" w:hAnsi="Times New Roman" w:cs="Times New Roman"/>
          <w:color w:val="000000" w:themeColor="text1"/>
          <w:sz w:val="24"/>
        </w:rPr>
        <w:t xml:space="preserve">s were carried out in duplicate. </w:t>
      </w:r>
    </w:p>
    <w:p w:rsidR="002951CD" w:rsidRDefault="002951CD">
      <w:pPr>
        <w:spacing w:line="480" w:lineRule="auto"/>
        <w:rPr>
          <w:rFonts w:ascii="Times New Roman" w:hAnsi="Times New Roman" w:cs="Times New Roman"/>
          <w:color w:val="000000" w:themeColor="text1"/>
          <w:sz w:val="24"/>
        </w:rPr>
      </w:pPr>
    </w:p>
    <w:p w:rsidR="002951CD" w:rsidRDefault="00EC2279">
      <w:pPr>
        <w:rPr>
          <w:rFonts w:ascii="Times New Roman" w:hAnsi="Times New Roman"/>
          <w:b/>
          <w:bCs/>
          <w:color w:val="000000" w:themeColor="text1"/>
          <w:sz w:val="24"/>
        </w:rPr>
      </w:pPr>
      <w:r>
        <w:rPr>
          <w:rFonts w:ascii="Times New Roman" w:hAnsi="Times New Roman" w:cs="Times New Roman"/>
          <w:b/>
          <w:i/>
          <w:color w:val="000000" w:themeColor="text1"/>
          <w:sz w:val="24"/>
        </w:rPr>
        <w:t xml:space="preserve">1.9 </w:t>
      </w:r>
      <w:r>
        <w:rPr>
          <w:rFonts w:ascii="Times New Roman" w:hAnsi="Times New Roman" w:hint="eastAsia"/>
          <w:b/>
          <w:bCs/>
          <w:i/>
          <w:color w:val="000000" w:themeColor="text1"/>
          <w:sz w:val="24"/>
        </w:rPr>
        <w:t>Migration</w:t>
      </w:r>
      <w:r>
        <w:rPr>
          <w:rFonts w:ascii="Times New Roman" w:hAnsi="Times New Roman"/>
          <w:b/>
          <w:bCs/>
          <w:i/>
          <w:color w:val="000000" w:themeColor="text1"/>
          <w:sz w:val="24"/>
        </w:rPr>
        <w:t xml:space="preserve"> </w:t>
      </w:r>
      <w:r>
        <w:rPr>
          <w:rFonts w:ascii="Times New Roman" w:hAnsi="Times New Roman" w:hint="eastAsia"/>
          <w:b/>
          <w:bCs/>
          <w:i/>
          <w:color w:val="000000" w:themeColor="text1"/>
          <w:sz w:val="24"/>
        </w:rPr>
        <w:t xml:space="preserve">and </w:t>
      </w:r>
      <w:r>
        <w:rPr>
          <w:rFonts w:ascii="Times New Roman" w:hAnsi="Times New Roman"/>
          <w:b/>
          <w:bCs/>
          <w:i/>
          <w:color w:val="000000" w:themeColor="text1"/>
          <w:sz w:val="24"/>
        </w:rPr>
        <w:t>invasion</w:t>
      </w:r>
      <w:r>
        <w:rPr>
          <w:rFonts w:ascii="Times New Roman" w:hAnsi="Times New Roman" w:hint="eastAsia"/>
          <w:b/>
          <w:bCs/>
          <w:i/>
          <w:color w:val="000000" w:themeColor="text1"/>
          <w:sz w:val="24"/>
        </w:rPr>
        <w:t xml:space="preserve"> </w:t>
      </w:r>
      <w:r>
        <w:rPr>
          <w:rFonts w:ascii="Times New Roman" w:hAnsi="Times New Roman"/>
          <w:b/>
          <w:bCs/>
          <w:i/>
          <w:color w:val="000000" w:themeColor="text1"/>
          <w:sz w:val="24"/>
        </w:rPr>
        <w:t>assays</w:t>
      </w:r>
    </w:p>
    <w:p w:rsidR="002951CD" w:rsidRDefault="00EC2279">
      <w:pPr>
        <w:spacing w:line="480" w:lineRule="auto"/>
        <w:rPr>
          <w:rFonts w:ascii="Times New Roman" w:hAnsi="Times New Roman" w:cs="Times New Roman"/>
          <w:b/>
          <w:i/>
          <w:color w:val="000000" w:themeColor="text1"/>
          <w:sz w:val="24"/>
        </w:rPr>
      </w:pPr>
      <w:r>
        <w:rPr>
          <w:rFonts w:ascii="Times New Roman" w:hAnsi="Times New Roman" w:hint="eastAsia"/>
          <w:color w:val="000000" w:themeColor="text1"/>
          <w:sz w:val="24"/>
        </w:rPr>
        <w:t xml:space="preserve">Migration and </w:t>
      </w:r>
      <w:r>
        <w:rPr>
          <w:rFonts w:ascii="Times New Roman" w:hAnsi="Times New Roman"/>
          <w:color w:val="000000" w:themeColor="text1"/>
          <w:sz w:val="24"/>
        </w:rPr>
        <w:t xml:space="preserve">invasion assays were performed in transwells (Corning Glass) with an 8.0-mm pore size coated </w:t>
      </w:r>
      <w:r>
        <w:rPr>
          <w:rFonts w:ascii="Times New Roman" w:hAnsi="Times New Roman" w:hint="eastAsia"/>
          <w:color w:val="000000" w:themeColor="text1"/>
          <w:sz w:val="24"/>
        </w:rPr>
        <w:t xml:space="preserve">with or </w:t>
      </w:r>
      <w:r>
        <w:rPr>
          <w:rFonts w:ascii="Times New Roman" w:hAnsi="Times New Roman"/>
          <w:color w:val="000000" w:themeColor="text1"/>
          <w:sz w:val="24"/>
        </w:rPr>
        <w:t xml:space="preserve">without BD Matrigel Basement Membrane Matrix (BD </w:t>
      </w:r>
      <w:r>
        <w:rPr>
          <w:rFonts w:ascii="Times New Roman" w:hAnsi="Times New Roman"/>
          <w:color w:val="000000" w:themeColor="text1"/>
          <w:sz w:val="24"/>
        </w:rPr>
        <w:lastRenderedPageBreak/>
        <w:t>Biosciences; 0.1 mg/mL). Twenty-four hours after the culture, cells migrated through the filters were stained with Diff-Quick Cell Staining Kit (Dade Behring Inc.). Four random fields were examined under a p</w:t>
      </w:r>
      <w:r>
        <w:rPr>
          <w:rFonts w:ascii="Times New Roman" w:hAnsi="Times New Roman"/>
          <w:color w:val="000000" w:themeColor="text1"/>
          <w:sz w:val="24"/>
        </w:rPr>
        <w:t xml:space="preserve">hase-contrast microscope. Results were shown as the average of three independent experiments. </w:t>
      </w:r>
    </w:p>
    <w:p w:rsidR="002951CD" w:rsidRDefault="002951CD">
      <w:pPr>
        <w:spacing w:line="480" w:lineRule="auto"/>
        <w:rPr>
          <w:rFonts w:ascii="Times New Roman" w:hAnsi="Times New Roman" w:cs="Times New Roman"/>
          <w:b/>
          <w:color w:val="000000" w:themeColor="text1"/>
          <w:sz w:val="24"/>
        </w:rPr>
      </w:pPr>
    </w:p>
    <w:p w:rsidR="002951CD" w:rsidRDefault="00EC2279">
      <w:pPr>
        <w:spacing w:line="480" w:lineRule="auto"/>
        <w:rPr>
          <w:rFonts w:ascii="Times New Roman" w:hAnsi="Times New Roman" w:cs="Times New Roman"/>
          <w:b/>
          <w:i/>
          <w:color w:val="000000" w:themeColor="text1"/>
          <w:sz w:val="24"/>
        </w:rPr>
      </w:pPr>
      <w:r>
        <w:rPr>
          <w:rFonts w:ascii="Times New Roman" w:hAnsi="Times New Roman" w:cs="Times New Roman"/>
          <w:b/>
          <w:i/>
          <w:color w:val="000000" w:themeColor="text1"/>
          <w:sz w:val="24"/>
        </w:rPr>
        <w:t>2.</w:t>
      </w:r>
      <w:r>
        <w:rPr>
          <w:rFonts w:ascii="Times New Roman" w:hAnsi="Times New Roman" w:cs="Times New Roman"/>
          <w:b/>
          <w:i/>
          <w:color w:val="000000" w:themeColor="text1"/>
          <w:sz w:val="24"/>
        </w:rPr>
        <w:t>0</w:t>
      </w:r>
      <w:r>
        <w:rPr>
          <w:rFonts w:ascii="Times New Roman" w:hAnsi="Times New Roman" w:cs="Times New Roman"/>
          <w:b/>
          <w:i/>
          <w:color w:val="000000" w:themeColor="text1"/>
          <w:sz w:val="24"/>
        </w:rPr>
        <w:t xml:space="preserve"> Luciferase </w:t>
      </w:r>
      <w:r>
        <w:rPr>
          <w:rFonts w:ascii="Times New Roman" w:hAnsi="Times New Roman" w:cs="Times New Roman" w:hint="eastAsia"/>
          <w:b/>
          <w:i/>
          <w:color w:val="000000" w:themeColor="text1"/>
          <w:sz w:val="24"/>
        </w:rPr>
        <w:t>r</w:t>
      </w:r>
      <w:r>
        <w:rPr>
          <w:rFonts w:ascii="Times New Roman" w:hAnsi="Times New Roman" w:cs="Times New Roman"/>
          <w:b/>
          <w:i/>
          <w:color w:val="000000" w:themeColor="text1"/>
          <w:sz w:val="24"/>
        </w:rPr>
        <w:t>eporter assay</w:t>
      </w:r>
    </w:p>
    <w:p w:rsidR="002951CD" w:rsidRDefault="00EC2279">
      <w:pPr>
        <w:spacing w:line="48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A 500-bp DNA fragment upstream of </w:t>
      </w:r>
      <w:r>
        <w:rPr>
          <w:rFonts w:ascii="Times New Roman" w:hAnsi="Times New Roman" w:cs="Times New Roman"/>
          <w:i/>
          <w:color w:val="000000" w:themeColor="text1"/>
          <w:sz w:val="24"/>
        </w:rPr>
        <w:t xml:space="preserve">netrin-1 </w:t>
      </w:r>
      <w:r>
        <w:rPr>
          <w:rFonts w:ascii="Times New Roman" w:hAnsi="Times New Roman" w:cs="Times New Roman"/>
          <w:color w:val="000000" w:themeColor="text1"/>
          <w:sz w:val="24"/>
        </w:rPr>
        <w:t xml:space="preserve">transcription start site (+1) was cloned into a basic luciferase reporter vector to </w:t>
      </w:r>
      <w:r>
        <w:rPr>
          <w:rFonts w:ascii="Times New Roman" w:hAnsi="Times New Roman" w:cs="Times New Roman"/>
          <w:color w:val="000000" w:themeColor="text1"/>
          <w:sz w:val="24"/>
        </w:rPr>
        <w:t>give pGL3-</w:t>
      </w:r>
      <w:r>
        <w:rPr>
          <w:rFonts w:ascii="Times New Roman" w:hAnsi="Times New Roman" w:cs="Times New Roman"/>
          <w:i/>
          <w:color w:val="000000" w:themeColor="text1"/>
          <w:sz w:val="24"/>
        </w:rPr>
        <w:t>netrin-1</w:t>
      </w:r>
      <w:r>
        <w:rPr>
          <w:rFonts w:ascii="Times New Roman" w:hAnsi="Times New Roman" w:cs="Times New Roman"/>
          <w:color w:val="000000" w:themeColor="text1"/>
          <w:sz w:val="24"/>
        </w:rPr>
        <w:t>. pGL3-NF-κB reporter vector (pGL3-NF-κB) containing three copies of NF-κB-binding site was purchased from Promega. For NF-κB reporter assay, T24 cells transfected with pGL3-NF-κB. Twenty-four hours after transfection, cells were preincub</w:t>
      </w:r>
      <w:r>
        <w:rPr>
          <w:rFonts w:ascii="Times New Roman" w:hAnsi="Times New Roman" w:cs="Times New Roman"/>
          <w:color w:val="000000" w:themeColor="text1"/>
          <w:sz w:val="24"/>
        </w:rPr>
        <w:t xml:space="preserve">ated with oridonin (10 μM) or with the control solvent for 1 hour. Cells were then washed in PBS twice, and subsequently treated with or without TNF-α (10 ng/ml) for additional 6 hours. For </w:t>
      </w:r>
      <w:r>
        <w:rPr>
          <w:rFonts w:ascii="Times New Roman" w:hAnsi="Times New Roman" w:cs="Times New Roman"/>
          <w:i/>
          <w:color w:val="000000" w:themeColor="text1"/>
          <w:sz w:val="24"/>
        </w:rPr>
        <w:t>netrin-1</w:t>
      </w:r>
      <w:r>
        <w:rPr>
          <w:rFonts w:ascii="Times New Roman" w:hAnsi="Times New Roman" w:cs="Times New Roman"/>
          <w:color w:val="000000" w:themeColor="text1"/>
          <w:sz w:val="24"/>
        </w:rPr>
        <w:t xml:space="preserve"> promoter reporter assay, T24 cells were transfected with </w:t>
      </w:r>
      <w:r>
        <w:rPr>
          <w:rFonts w:ascii="Times New Roman" w:hAnsi="Times New Roman" w:cs="Times New Roman"/>
          <w:color w:val="000000" w:themeColor="text1"/>
          <w:sz w:val="24"/>
        </w:rPr>
        <w:t>pGL3-</w:t>
      </w:r>
      <w:r>
        <w:rPr>
          <w:rFonts w:ascii="Times New Roman" w:hAnsi="Times New Roman" w:cs="Times New Roman"/>
          <w:i/>
          <w:color w:val="000000" w:themeColor="text1"/>
          <w:sz w:val="24"/>
        </w:rPr>
        <w:t>netrin-1</w:t>
      </w:r>
      <w:r>
        <w:rPr>
          <w:rFonts w:ascii="Times New Roman" w:hAnsi="Times New Roman" w:cs="Times New Roman"/>
          <w:color w:val="000000" w:themeColor="text1"/>
          <w:sz w:val="24"/>
        </w:rPr>
        <w:t xml:space="preserve">. Thirty-six hours after transfection, cells were treated with or without oridonin (10 μM) for 6 hours. Luciferase activity was measured using the dual luciferase reporter assay system (Promega) </w:t>
      </w:r>
      <w:r>
        <w:rPr>
          <w:rFonts w:ascii="Times New Roman" w:hAnsi="Times New Roman" w:cs="Times New Roman"/>
          <w:color w:val="000000" w:themeColor="text1"/>
          <w:sz w:val="24"/>
          <w:szCs w:val="24"/>
        </w:rPr>
        <w:t>according to the manufacturer’s protocol</w:t>
      </w:r>
      <w:r>
        <w:rPr>
          <w:rFonts w:ascii="Times New Roman" w:hAnsi="Times New Roman" w:cs="Times New Roman"/>
          <w:color w:val="000000" w:themeColor="text1"/>
          <w:sz w:val="24"/>
        </w:rPr>
        <w:t>. All ex</w:t>
      </w:r>
      <w:r>
        <w:rPr>
          <w:rFonts w:ascii="Times New Roman" w:hAnsi="Times New Roman" w:cs="Times New Roman"/>
          <w:color w:val="000000" w:themeColor="text1"/>
          <w:sz w:val="24"/>
        </w:rPr>
        <w:t xml:space="preserve">periments were done in triplicate and repeated at least twice. Relative luciferase activity was presented as fold changes in luciferase activity </w:t>
      </w:r>
      <w:r>
        <w:rPr>
          <w:rFonts w:ascii="Times New Roman" w:hAnsi="Times New Roman" w:cs="Times New Roman"/>
          <w:color w:val="000000" w:themeColor="text1"/>
          <w:sz w:val="24"/>
        </w:rPr>
        <w:lastRenderedPageBreak/>
        <w:t xml:space="preserve">relative to the untreated cells. </w:t>
      </w:r>
    </w:p>
    <w:p w:rsidR="002951CD" w:rsidRDefault="002951CD">
      <w:pPr>
        <w:spacing w:line="480" w:lineRule="auto"/>
        <w:rPr>
          <w:rFonts w:ascii="Times New Roman" w:hAnsi="Times New Roman" w:cs="Times New Roman"/>
          <w:b/>
          <w:color w:val="000000" w:themeColor="text1"/>
          <w:sz w:val="28"/>
          <w:szCs w:val="28"/>
        </w:rPr>
      </w:pPr>
    </w:p>
    <w:p w:rsidR="002951CD" w:rsidRDefault="00EC2279">
      <w:pPr>
        <w:spacing w:line="480"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 Legends of Supplementary Figur</w:t>
      </w:r>
      <w:r>
        <w:rPr>
          <w:rFonts w:ascii="Times New Roman" w:hAnsi="Times New Roman" w:cs="Times New Roman"/>
          <w:b/>
          <w:color w:val="000000" w:themeColor="text1"/>
          <w:sz w:val="28"/>
          <w:szCs w:val="28"/>
        </w:rPr>
        <w:t>es</w:t>
      </w: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Fig. </w:t>
      </w:r>
      <w:r>
        <w:rPr>
          <w:rFonts w:ascii="Times New Roman" w:eastAsia="宋体" w:hAnsi="Times New Roman" w:cs="Times New Roman"/>
          <w:b/>
          <w:color w:val="000000" w:themeColor="text1"/>
          <w:sz w:val="24"/>
          <w:szCs w:val="24"/>
          <w:lang w:eastAsia="zh-CN"/>
        </w:rPr>
        <w:t>2</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sym w:font="Symbol" w:char="F02D"/>
      </w:r>
      <w:r>
        <w:rPr>
          <w:rFonts w:ascii="Times New Roman" w:hAnsi="Times New Roman" w:cs="Times New Roman"/>
          <w:b/>
          <w:color w:val="000000" w:themeColor="text1"/>
          <w:sz w:val="24"/>
          <w:szCs w:val="24"/>
        </w:rPr>
        <w:t xml:space="preserve"> Expression of </w:t>
      </w:r>
      <w:r>
        <w:rPr>
          <w:rFonts w:ascii="Times New Roman" w:hAnsi="Times New Roman" w:cs="Times New Roman"/>
          <w:b/>
          <w:i/>
          <w:color w:val="000000" w:themeColor="text1"/>
          <w:sz w:val="24"/>
          <w:szCs w:val="24"/>
        </w:rPr>
        <w:t>UNC5</w:t>
      </w:r>
      <w:r>
        <w:rPr>
          <w:rFonts w:ascii="Times New Roman" w:hAnsi="Times New Roman" w:cs="Times New Roman"/>
          <w:b/>
          <w:color w:val="000000" w:themeColor="text1"/>
          <w:sz w:val="24"/>
          <w:szCs w:val="24"/>
        </w:rPr>
        <w:t xml:space="preserve"> family in a cohort of 35 primary TCCs. </w:t>
      </w:r>
      <w:r>
        <w:rPr>
          <w:rFonts w:ascii="Times New Roman" w:hAnsi="Times New Roman" w:cs="Times New Roman"/>
          <w:color w:val="000000" w:themeColor="text1"/>
          <w:sz w:val="24"/>
          <w:szCs w:val="24"/>
        </w:rPr>
        <w:t xml:space="preserve">Expression level of </w:t>
      </w:r>
      <w:r>
        <w:rPr>
          <w:rFonts w:ascii="Times New Roman" w:hAnsi="Times New Roman" w:cs="Times New Roman"/>
          <w:i/>
          <w:color w:val="000000" w:themeColor="text1"/>
          <w:sz w:val="24"/>
          <w:szCs w:val="24"/>
        </w:rPr>
        <w:t>UNC5</w:t>
      </w:r>
      <w:r>
        <w:rPr>
          <w:rFonts w:ascii="Times New Roman" w:hAnsi="Times New Roman" w:cs="Times New Roman"/>
          <w:color w:val="000000" w:themeColor="text1"/>
          <w:sz w:val="24"/>
          <w:szCs w:val="24"/>
        </w:rPr>
        <w:t xml:space="preserve"> family was examined by quantitative RT-PCR in a cohort of 35 primary TCCs. Mann-Whitney U Test was used to explore the difference in their expression levels between non-invasive and invasive tumors.</w:t>
      </w:r>
    </w:p>
    <w:p w:rsidR="002951CD" w:rsidRDefault="002951CD">
      <w:pPr>
        <w:spacing w:line="480" w:lineRule="auto"/>
        <w:rPr>
          <w:rFonts w:ascii="Times New Roman" w:hAnsi="Times New Roman" w:cs="Times New Roman"/>
          <w:color w:val="000000" w:themeColor="text1"/>
          <w:sz w:val="24"/>
          <w:szCs w:val="24"/>
        </w:rPr>
      </w:pPr>
    </w:p>
    <w:p w:rsidR="002951CD" w:rsidRDefault="00EC2279">
      <w:pPr>
        <w:spacing w:line="480" w:lineRule="auto"/>
        <w:rPr>
          <w:rFonts w:ascii="Times New Roman" w:hAnsi="Times New Roman" w:cs="Times New Roman"/>
          <w:color w:val="000000" w:themeColor="text1"/>
          <w:sz w:val="24"/>
          <w:szCs w:val="24"/>
          <w:lang w:eastAsia="zh-CN"/>
        </w:rPr>
      </w:pPr>
      <w:r>
        <w:rPr>
          <w:rFonts w:ascii="Times New Roman" w:hAnsi="Times New Roman" w:cs="Times New Roman"/>
          <w:b/>
          <w:color w:val="000000" w:themeColor="text1"/>
          <w:sz w:val="24"/>
          <w:szCs w:val="24"/>
        </w:rPr>
        <w:t xml:space="preserve">Supplementary Fig. </w:t>
      </w:r>
      <w:r>
        <w:rPr>
          <w:rFonts w:ascii="Times New Roman" w:eastAsia="宋体" w:hAnsi="Times New Roman" w:cs="Times New Roman"/>
          <w:b/>
          <w:color w:val="000000" w:themeColor="text1"/>
          <w:sz w:val="24"/>
          <w:szCs w:val="24"/>
          <w:lang w:eastAsia="zh-CN"/>
        </w:rPr>
        <w:t>1</w:t>
      </w:r>
      <w:r>
        <w:rPr>
          <w:rFonts w:ascii="Times New Roman" w:hAnsi="Times New Roman" w:cs="Times New Roman"/>
          <w:color w:val="000000" w:themeColor="text1"/>
          <w:sz w:val="24"/>
          <w:szCs w:val="24"/>
        </w:rPr>
        <w:sym w:font="Symbol" w:char="F02D"/>
      </w:r>
      <w:r>
        <w:rPr>
          <w:rFonts w:ascii="Times New Roman" w:hAnsi="Times New Roman" w:cs="Times New Roman"/>
          <w:color w:val="000000" w:themeColor="text1"/>
          <w:sz w:val="24"/>
          <w:szCs w:val="24"/>
          <w:lang w:eastAsia="zh-CN"/>
        </w:rPr>
        <w:t xml:space="preserve"> Correlation between </w:t>
      </w:r>
      <w:r>
        <w:rPr>
          <w:rFonts w:ascii="Times New Roman" w:hAnsi="Times New Roman" w:cs="Times New Roman"/>
          <w:i/>
          <w:color w:val="000000" w:themeColor="text1"/>
          <w:sz w:val="24"/>
          <w:szCs w:val="24"/>
          <w:lang w:eastAsia="zh-CN"/>
        </w:rPr>
        <w:t>netrin-1</w:t>
      </w:r>
      <w:r>
        <w:rPr>
          <w:rFonts w:ascii="Times New Roman" w:hAnsi="Times New Roman" w:cs="Times New Roman"/>
          <w:color w:val="000000" w:themeColor="text1"/>
          <w:sz w:val="24"/>
          <w:szCs w:val="24"/>
          <w:lang w:eastAsia="zh-CN"/>
        </w:rPr>
        <w:t xml:space="preserve"> and pro-oncogenic signals in human BC. Gene</w:t>
      </w:r>
      <w:r>
        <w:rPr>
          <w:rFonts w:ascii="Times New Roman" w:hAnsi="Times New Roman" w:cs="Times New Roman" w:hint="eastAsia"/>
          <w:color w:val="000000" w:themeColor="text1"/>
          <w:sz w:val="24"/>
          <w:szCs w:val="24"/>
          <w:lang w:eastAsia="zh-CN"/>
        </w:rPr>
        <w:t xml:space="preserve"> </w:t>
      </w:r>
      <w:r>
        <w:rPr>
          <w:rFonts w:ascii="Times New Roman" w:hAnsi="Times New Roman" w:cs="Times New Roman"/>
          <w:color w:val="000000" w:themeColor="text1"/>
          <w:sz w:val="24"/>
          <w:szCs w:val="24"/>
          <w:lang w:eastAsia="zh-CN"/>
        </w:rPr>
        <w:t xml:space="preserve">set enrichment analysis (GSEA) comparing </w:t>
      </w:r>
      <w:r>
        <w:rPr>
          <w:rFonts w:ascii="Times New Roman" w:hAnsi="Times New Roman" w:cs="Times New Roman"/>
          <w:i/>
          <w:color w:val="000000" w:themeColor="text1"/>
          <w:sz w:val="24"/>
          <w:szCs w:val="24"/>
          <w:lang w:eastAsia="zh-CN"/>
        </w:rPr>
        <w:t>netrin-1</w:t>
      </w:r>
      <w:r>
        <w:rPr>
          <w:rFonts w:ascii="Times New Roman" w:hAnsi="Times New Roman" w:cs="Times New Roman"/>
          <w:color w:val="000000" w:themeColor="text1"/>
          <w:sz w:val="24"/>
          <w:szCs w:val="24"/>
          <w:lang w:eastAsia="zh-CN"/>
        </w:rPr>
        <w:t xml:space="preserve">-high with NTN- low BC tumors in the indicated microarray data sets (total = 412). </w:t>
      </w:r>
    </w:p>
    <w:p w:rsidR="002951CD" w:rsidRDefault="002951CD">
      <w:pPr>
        <w:spacing w:line="480" w:lineRule="auto"/>
        <w:rPr>
          <w:rFonts w:ascii="Calibri" w:eastAsia="宋体" w:hAnsi="Calibri" w:cs="Times New Roman"/>
          <w:color w:val="000000" w:themeColor="text1"/>
          <w:sz w:val="24"/>
          <w:szCs w:val="24"/>
          <w:lang w:eastAsia="zh-CN"/>
        </w:rPr>
      </w:pP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Fig. </w:t>
      </w:r>
      <w:r>
        <w:rPr>
          <w:rFonts w:ascii="Times New Roman" w:eastAsia="宋体" w:hAnsi="Times New Roman" w:cs="Times New Roman" w:hint="eastAsia"/>
          <w:b/>
          <w:color w:val="000000" w:themeColor="text1"/>
          <w:sz w:val="24"/>
          <w:szCs w:val="24"/>
          <w:lang w:eastAsia="zh-CN"/>
        </w:rPr>
        <w:t>3</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rPr>
        <w:sym w:font="Symbol" w:char="F02D"/>
      </w:r>
      <w:r>
        <w:rPr>
          <w:rFonts w:ascii="Times New Roman" w:hAnsi="Times New Roman" w:cs="Times New Roman"/>
          <w:b/>
          <w:color w:val="000000" w:themeColor="text1"/>
          <w:sz w:val="24"/>
          <w:szCs w:val="24"/>
        </w:rPr>
        <w:t xml:space="preserve"> Netrin-1 is highly expressed in TCC cells with high invasive potential.</w:t>
      </w:r>
      <w:r>
        <w:rPr>
          <w:rFonts w:ascii="Times New Roman" w:hAnsi="Times New Roman" w:cs="Times New Roman"/>
          <w:color w:val="000000" w:themeColor="text1"/>
          <w:sz w:val="24"/>
          <w:szCs w:val="24"/>
        </w:rPr>
        <w:t xml:space="preserve"> (A) Growth curves of 3 TCC cells. (B) Relative expression levels of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w:t>
      </w:r>
      <w:r>
        <w:rPr>
          <w:rFonts w:ascii="Times New Roman" w:hAnsi="Times New Roman" w:cs="Times New Roman"/>
          <w:i/>
          <w:color w:val="000000" w:themeColor="text1"/>
          <w:sz w:val="24"/>
          <w:szCs w:val="24"/>
        </w:rPr>
        <w:t>UNC5A</w:t>
      </w:r>
      <w:r>
        <w:rPr>
          <w:rFonts w:ascii="Times New Roman" w:hAnsi="Times New Roman" w:cs="Times New Roman"/>
          <w:color w:val="000000" w:themeColor="text1"/>
          <w:sz w:val="24"/>
          <w:szCs w:val="24"/>
        </w:rPr>
        <w:t xml:space="preserve"> and </w:t>
      </w:r>
      <w:r>
        <w:rPr>
          <w:rFonts w:ascii="Times New Roman" w:hAnsi="Times New Roman" w:cs="Times New Roman"/>
          <w:i/>
          <w:color w:val="000000" w:themeColor="text1"/>
          <w:sz w:val="24"/>
          <w:szCs w:val="24"/>
        </w:rPr>
        <w:t>UNC5D</w:t>
      </w:r>
      <w:r>
        <w:rPr>
          <w:rFonts w:ascii="Times New Roman" w:hAnsi="Times New Roman" w:cs="Times New Roman"/>
          <w:color w:val="000000" w:themeColor="text1"/>
          <w:sz w:val="24"/>
          <w:szCs w:val="24"/>
        </w:rPr>
        <w:t xml:space="preserve"> in 3 TCC cells. Expression levels of 3 genes were measured by quantitative RT-PCR and normalized to </w:t>
      </w:r>
      <w:r>
        <w:rPr>
          <w:rFonts w:ascii="Times New Roman" w:hAnsi="Times New Roman" w:cs="Times New Roman"/>
          <w:i/>
          <w:color w:val="000000" w:themeColor="text1"/>
          <w:sz w:val="24"/>
          <w:szCs w:val="24"/>
        </w:rPr>
        <w:t>β-actin</w:t>
      </w:r>
      <w:r>
        <w:rPr>
          <w:rFonts w:ascii="Times New Roman" w:hAnsi="Times New Roman" w:cs="Times New Roman"/>
          <w:color w:val="000000" w:themeColor="text1"/>
          <w:sz w:val="24"/>
          <w:szCs w:val="24"/>
        </w:rPr>
        <w:t xml:space="preserve"> expression level. Human neuroblastoma SK-N-AS cells was used as a positive control for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expression [9]. (C) Expression levels of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a</w:t>
      </w:r>
      <w:r>
        <w:rPr>
          <w:rFonts w:ascii="Times New Roman" w:hAnsi="Times New Roman" w:cs="Times New Roman"/>
          <w:color w:val="000000" w:themeColor="text1"/>
          <w:sz w:val="24"/>
          <w:szCs w:val="24"/>
        </w:rPr>
        <w:t xml:space="preserve">nd its receptors in 3 TCC cells. Expression levels of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and its </w:t>
      </w:r>
      <w:r>
        <w:rPr>
          <w:rFonts w:ascii="Times New Roman" w:hAnsi="Times New Roman" w:cs="Times New Roman"/>
          <w:color w:val="000000" w:themeColor="text1"/>
          <w:sz w:val="24"/>
          <w:szCs w:val="24"/>
        </w:rPr>
        <w:lastRenderedPageBreak/>
        <w:t xml:space="preserve">receptors in 3 TCC cells were examined by semi-quantitative RT-PCR. (D) Expression levels of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protein in 3 TCC cells. Whole cell lysates were extracted from T24, EJ and J82 cell</w:t>
      </w:r>
      <w:r>
        <w:rPr>
          <w:rFonts w:ascii="Times New Roman" w:hAnsi="Times New Roman" w:cs="Times New Roman"/>
          <w:color w:val="000000" w:themeColor="text1"/>
          <w:sz w:val="24"/>
          <w:szCs w:val="24"/>
        </w:rPr>
        <w:t xml:space="preserve">s, and analyzed by western blot. (E) Netrin-1 is highly produced in T24 and EJ cells in an autocrine manner. T24, EJ and J82 cells were cultured in serum-free medium (SFM) or in normal growth medium (NGM). The amounts of the secreted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in the supern</w:t>
      </w:r>
      <w:r>
        <w:rPr>
          <w:rFonts w:ascii="Times New Roman" w:hAnsi="Times New Roman" w:cs="Times New Roman"/>
          <w:color w:val="000000" w:themeColor="text1"/>
          <w:sz w:val="24"/>
          <w:szCs w:val="24"/>
        </w:rPr>
        <w:t xml:space="preserve">atants of cell cultures were measured at the indicated time points by a modified ELISA method. Results were presented as Mean </w:t>
      </w:r>
      <w:r>
        <w:rPr>
          <w:rFonts w:ascii="Times New Roman" w:hAnsi="Times New Roman" w:cs="Times New Roman"/>
          <w:color w:val="000000" w:themeColor="text1"/>
          <w:sz w:val="24"/>
          <w:szCs w:val="24"/>
        </w:rPr>
        <w:sym w:font="Symbol" w:char="F0B1"/>
      </w:r>
      <w:r>
        <w:rPr>
          <w:rFonts w:ascii="Times New Roman" w:hAnsi="Times New Roman" w:cs="Times New Roman"/>
          <w:color w:val="000000" w:themeColor="text1"/>
          <w:sz w:val="24"/>
          <w:szCs w:val="24"/>
        </w:rPr>
        <w:t xml:space="preserve"> SD of 2 independent experiments. </w:t>
      </w:r>
      <w:r>
        <w:rPr>
          <w:rFonts w:ascii="Times New Roman" w:hAnsi="Times New Roman" w:cs="Times New Roman"/>
          <w:color w:val="000000" w:themeColor="text1"/>
          <w:sz w:val="24"/>
          <w:szCs w:val="24"/>
        </w:rPr>
        <w:sym w:font="Symbol" w:char="F02A"/>
      </w:r>
      <w:r>
        <w:rPr>
          <w:rFonts w:ascii="Times New Roman" w:hAnsi="Times New Roman" w:cs="Times New Roman"/>
          <w:color w:val="000000" w:themeColor="text1"/>
          <w:sz w:val="24"/>
          <w:szCs w:val="24"/>
        </w:rPr>
        <w:t xml:space="preserve">, </w:t>
      </w:r>
      <w:r>
        <w:rPr>
          <w:rFonts w:ascii="Times New Roman" w:hAnsi="Times New Roman" w:cs="Times New Roman"/>
          <w:i/>
          <w:color w:val="000000" w:themeColor="text1"/>
          <w:sz w:val="24"/>
          <w:szCs w:val="24"/>
        </w:rPr>
        <w:t>P</w:t>
      </w:r>
      <w:r>
        <w:rPr>
          <w:rFonts w:ascii="Times New Roman" w:hAnsi="Times New Roman" w:cs="Times New Roman"/>
          <w:color w:val="000000" w:themeColor="text1"/>
          <w:sz w:val="24"/>
          <w:szCs w:val="24"/>
        </w:rPr>
        <w:t xml:space="preserve"> &lt; 0.05; </w:t>
      </w:r>
      <w:r>
        <w:rPr>
          <w:rFonts w:ascii="Times New Roman" w:hAnsi="Times New Roman" w:cs="Times New Roman"/>
          <w:color w:val="000000" w:themeColor="text1"/>
          <w:sz w:val="24"/>
          <w:szCs w:val="24"/>
        </w:rPr>
        <w:sym w:font="Symbol" w:char="F02A"/>
      </w:r>
      <w:r>
        <w:rPr>
          <w:rFonts w:ascii="Times New Roman" w:hAnsi="Times New Roman" w:cs="Times New Roman"/>
          <w:color w:val="000000" w:themeColor="text1"/>
          <w:sz w:val="24"/>
          <w:szCs w:val="24"/>
        </w:rPr>
        <w:sym w:font="Symbol" w:char="F02A"/>
      </w:r>
      <w:r>
        <w:rPr>
          <w:rFonts w:ascii="Times New Roman" w:hAnsi="Times New Roman" w:cs="Times New Roman"/>
          <w:color w:val="000000" w:themeColor="text1"/>
          <w:sz w:val="24"/>
          <w:szCs w:val="24"/>
        </w:rPr>
        <w:t xml:space="preserve">, </w:t>
      </w:r>
      <w:r>
        <w:rPr>
          <w:rFonts w:ascii="Times New Roman" w:hAnsi="Times New Roman" w:cs="Times New Roman"/>
          <w:i/>
          <w:color w:val="000000" w:themeColor="text1"/>
          <w:sz w:val="24"/>
          <w:szCs w:val="24"/>
        </w:rPr>
        <w:t>P</w:t>
      </w:r>
      <w:r>
        <w:rPr>
          <w:rFonts w:ascii="Times New Roman" w:hAnsi="Times New Roman" w:cs="Times New Roman"/>
          <w:color w:val="000000" w:themeColor="text1"/>
          <w:sz w:val="24"/>
          <w:szCs w:val="24"/>
        </w:rPr>
        <w:t xml:space="preserve"> &lt; 0.01.</w:t>
      </w:r>
    </w:p>
    <w:p w:rsidR="002951CD" w:rsidRDefault="002951CD">
      <w:pPr>
        <w:spacing w:line="480" w:lineRule="auto"/>
        <w:rPr>
          <w:rFonts w:ascii="Times New Roman" w:hAnsi="Times New Roman" w:cs="Times New Roman"/>
          <w:color w:val="000000" w:themeColor="text1"/>
          <w:sz w:val="24"/>
          <w:szCs w:val="24"/>
        </w:rPr>
      </w:pP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Fig. 4 </w:t>
      </w:r>
      <w:r>
        <w:rPr>
          <w:rFonts w:ascii="Times New Roman" w:hAnsi="Times New Roman" w:cs="Times New Roman"/>
          <w:b/>
          <w:color w:val="000000" w:themeColor="text1"/>
          <w:sz w:val="24"/>
          <w:szCs w:val="24"/>
        </w:rPr>
        <w:sym w:font="Symbol" w:char="F02D"/>
      </w:r>
      <w:r>
        <w:rPr>
          <w:rFonts w:ascii="Times New Roman" w:hAnsi="Times New Roman" w:cs="Times New Roman"/>
          <w:b/>
          <w:color w:val="000000" w:themeColor="text1"/>
          <w:sz w:val="24"/>
          <w:szCs w:val="24"/>
        </w:rPr>
        <w:t xml:space="preserve"> Oridonin inhibits cell proliferation and induces cell death in 3 TCC cells. </w:t>
      </w:r>
      <w:r>
        <w:rPr>
          <w:rFonts w:ascii="Times New Roman" w:hAnsi="Times New Roman" w:cs="Times New Roman"/>
          <w:color w:val="000000" w:themeColor="text1"/>
          <w:sz w:val="24"/>
          <w:szCs w:val="24"/>
        </w:rPr>
        <w:t>(A) Representative</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histograms of cell cycle distribution of oridonin-treated TCC cells. T24, EJ and J82 cells were treated with the indicated concentrations of oridonin for 24 hou</w:t>
      </w:r>
      <w:r>
        <w:rPr>
          <w:rFonts w:ascii="Times New Roman" w:hAnsi="Times New Roman" w:cs="Times New Roman"/>
          <w:color w:val="000000" w:themeColor="text1"/>
          <w:sz w:val="24"/>
          <w:szCs w:val="24"/>
        </w:rPr>
        <w:t>rs. Cell cycle was analyzed by flow cytometry. (B) Cell cycle analysis of oridonin-treated TCC cells in (A). (C) Monodansylcadaverine (MDC) vital staining. Cells were treated with or without oridonin at the final concentrations of 15, 20 and 40 μM for T24,</w:t>
      </w:r>
      <w:r>
        <w:rPr>
          <w:rFonts w:ascii="Times New Roman" w:hAnsi="Times New Roman" w:cs="Times New Roman"/>
          <w:color w:val="000000" w:themeColor="text1"/>
          <w:sz w:val="24"/>
          <w:szCs w:val="24"/>
        </w:rPr>
        <w:t xml:space="preserve"> EJ and J82 cells, respectively. Twenty-four hours after the treatment, cells were exposed to 0.05 mM MDC at 37°C for 1 hour and the representative pictures immediately taken under a fluorescence microscope (400× magnification). (D) </w:t>
      </w:r>
      <w:r>
        <w:rPr>
          <w:rFonts w:ascii="Times New Roman" w:hAnsi="Times New Roman" w:cs="Times New Roman"/>
          <w:color w:val="000000" w:themeColor="text1"/>
          <w:sz w:val="24"/>
          <w:szCs w:val="24"/>
        </w:rPr>
        <w:lastRenderedPageBreak/>
        <w:t xml:space="preserve">Expression levels of </w:t>
      </w:r>
      <w:r>
        <w:rPr>
          <w:rFonts w:ascii="Times New Roman" w:hAnsi="Times New Roman" w:cs="Times New Roman"/>
          <w:i/>
          <w:color w:val="000000" w:themeColor="text1"/>
          <w:sz w:val="24"/>
          <w:szCs w:val="24"/>
        </w:rPr>
        <w:t>ne</w:t>
      </w:r>
      <w:r>
        <w:rPr>
          <w:rFonts w:ascii="Times New Roman" w:hAnsi="Times New Roman" w:cs="Times New Roman"/>
          <w:i/>
          <w:color w:val="000000" w:themeColor="text1"/>
          <w:sz w:val="24"/>
          <w:szCs w:val="24"/>
        </w:rPr>
        <w:t>trin-1</w:t>
      </w:r>
      <w:r>
        <w:rPr>
          <w:rFonts w:ascii="Times New Roman" w:hAnsi="Times New Roman" w:cs="Times New Roman"/>
          <w:color w:val="000000" w:themeColor="text1"/>
          <w:sz w:val="24"/>
          <w:szCs w:val="24"/>
        </w:rPr>
        <w:t xml:space="preserve"> and its receptors in oridonin-treated TCC cells. T24, EJ and J82 cells were treated with oridonin at 10, 20 and 40 μM, respectively. At the indicated time points after the treatment, expression levels of </w:t>
      </w:r>
      <w:r>
        <w:rPr>
          <w:rFonts w:ascii="Times New Roman" w:hAnsi="Times New Roman" w:cs="Times New Roman"/>
          <w:i/>
          <w:color w:val="000000" w:themeColor="text1"/>
          <w:sz w:val="24"/>
          <w:szCs w:val="24"/>
        </w:rPr>
        <w:t>netrin-1</w:t>
      </w:r>
      <w:r>
        <w:rPr>
          <w:rFonts w:ascii="Times New Roman" w:hAnsi="Times New Roman" w:cs="Times New Roman"/>
          <w:color w:val="000000" w:themeColor="text1"/>
          <w:sz w:val="24"/>
          <w:szCs w:val="24"/>
        </w:rPr>
        <w:t xml:space="preserve"> and its receptors were analyzed by semi-quantitative RT-PCR. (E) Quantitative RT-PCR. Expression levels of </w:t>
      </w:r>
      <w:r>
        <w:rPr>
          <w:rFonts w:ascii="Times New Roman" w:hAnsi="Times New Roman" w:cs="Times New Roman"/>
          <w:i/>
          <w:color w:val="000000" w:themeColor="text1"/>
          <w:sz w:val="24"/>
          <w:szCs w:val="24"/>
        </w:rPr>
        <w:t xml:space="preserve">UNC5A </w:t>
      </w:r>
      <w:r>
        <w:rPr>
          <w:rFonts w:ascii="Times New Roman" w:hAnsi="Times New Roman" w:cs="Times New Roman"/>
          <w:color w:val="000000" w:themeColor="text1"/>
          <w:sz w:val="24"/>
          <w:szCs w:val="24"/>
        </w:rPr>
        <w:t xml:space="preserve">and </w:t>
      </w:r>
      <w:r>
        <w:rPr>
          <w:rFonts w:ascii="Times New Roman" w:hAnsi="Times New Roman" w:cs="Times New Roman"/>
          <w:i/>
          <w:color w:val="000000" w:themeColor="text1"/>
          <w:sz w:val="24"/>
          <w:szCs w:val="24"/>
        </w:rPr>
        <w:t>UNC5D</w:t>
      </w:r>
      <w:r>
        <w:rPr>
          <w:rFonts w:ascii="Times New Roman" w:hAnsi="Times New Roman" w:cs="Times New Roman"/>
          <w:color w:val="000000" w:themeColor="text1"/>
          <w:sz w:val="24"/>
          <w:szCs w:val="24"/>
        </w:rPr>
        <w:t xml:space="preserve"> in TCC cells treated as in (D) were further confirmed by quantitative RT-PCR. </w:t>
      </w:r>
    </w:p>
    <w:p w:rsidR="002951CD" w:rsidRDefault="002951CD">
      <w:pPr>
        <w:spacing w:line="480" w:lineRule="auto"/>
        <w:rPr>
          <w:rFonts w:ascii="Times New Roman" w:hAnsi="Times New Roman" w:cs="Times New Roman"/>
          <w:color w:val="000000" w:themeColor="text1"/>
          <w:sz w:val="24"/>
          <w:szCs w:val="24"/>
        </w:rPr>
      </w:pP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Fig. 5 </w:t>
      </w:r>
      <w:r>
        <w:rPr>
          <w:rFonts w:ascii="Times New Roman" w:hAnsi="Times New Roman" w:cs="Times New Roman"/>
          <w:b/>
          <w:color w:val="000000" w:themeColor="text1"/>
          <w:sz w:val="24"/>
          <w:szCs w:val="24"/>
        </w:rPr>
        <w:sym w:font="Symbol" w:char="F02D"/>
      </w:r>
      <w:r>
        <w:rPr>
          <w:rFonts w:ascii="Times New Roman" w:hAnsi="Times New Roman" w:cs="Times New Roman"/>
          <w:b/>
          <w:color w:val="000000" w:themeColor="text1"/>
          <w:sz w:val="24"/>
          <w:szCs w:val="24"/>
        </w:rPr>
        <w:t xml:space="preserve"> Oridonin has a strong anti-tu</w:t>
      </w:r>
      <w:r>
        <w:rPr>
          <w:rFonts w:ascii="Times New Roman" w:hAnsi="Times New Roman" w:cs="Times New Roman"/>
          <w:b/>
          <w:color w:val="000000" w:themeColor="text1"/>
          <w:sz w:val="24"/>
          <w:szCs w:val="24"/>
        </w:rPr>
        <w:t xml:space="preserve">mor activity against TCC </w:t>
      </w:r>
      <w:r>
        <w:rPr>
          <w:rFonts w:ascii="Times New Roman" w:hAnsi="Times New Roman" w:cs="Times New Roman"/>
          <w:b/>
          <w:i/>
          <w:color w:val="000000" w:themeColor="text1"/>
          <w:sz w:val="24"/>
          <w:szCs w:val="24"/>
        </w:rPr>
        <w:t>in vivo</w:t>
      </w:r>
      <w:r>
        <w:rPr>
          <w:rFonts w:ascii="Times New Roman" w:hAnsi="Times New Roman" w:cs="Times New Roman"/>
          <w:b/>
          <w:color w:val="000000" w:themeColor="text1"/>
          <w:sz w:val="24"/>
          <w:szCs w:val="24"/>
        </w:rPr>
        <w:t xml:space="preserve">. </w:t>
      </w:r>
      <w:r>
        <w:rPr>
          <w:rFonts w:ascii="Times New Roman"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lang w:eastAsia="zh-CN"/>
        </w:rPr>
        <w:t>A</w:t>
      </w:r>
      <w:r>
        <w:rPr>
          <w:rFonts w:ascii="Times New Roman" w:hAnsi="Times New Roman" w:cs="Times New Roman"/>
          <w:color w:val="000000" w:themeColor="text1"/>
          <w:sz w:val="24"/>
          <w:szCs w:val="24"/>
        </w:rPr>
        <w:t>) The body weight curve of the vehicle- or oridonin-treated mice. EJ cells were subcutaneously inoculated into the right flank of nude mice. After tumor volume reached 50 mm</w:t>
      </w:r>
      <w:r>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 xml:space="preserve">, mice were randomly separated into two </w:t>
      </w:r>
      <w:r>
        <w:rPr>
          <w:rFonts w:ascii="Times New Roman" w:hAnsi="Times New Roman" w:cs="Times New Roman"/>
          <w:color w:val="000000" w:themeColor="text1"/>
          <w:sz w:val="24"/>
          <w:szCs w:val="24"/>
        </w:rPr>
        <w:t>groups (n = 6 per group) and administrated with vehicle or oridonin (15 mg/kg/day) by the intraperitoneal injection daily for 20 days. On day 21, mice were sacrificed and xenograft tumors were extracted. (</w:t>
      </w:r>
      <w:r>
        <w:rPr>
          <w:rFonts w:ascii="Times New Roman" w:eastAsia="宋体" w:hAnsi="Times New Roman" w:cs="Times New Roman" w:hint="eastAsia"/>
          <w:b/>
          <w:bCs/>
          <w:color w:val="000000" w:themeColor="text1"/>
          <w:sz w:val="24"/>
          <w:szCs w:val="24"/>
          <w:lang w:eastAsia="zh-CN"/>
        </w:rPr>
        <w:t>B</w:t>
      </w:r>
      <w:r>
        <w:rPr>
          <w:rFonts w:ascii="Times New Roman" w:hAnsi="Times New Roman" w:cs="Times New Roman"/>
          <w:color w:val="000000" w:themeColor="text1"/>
          <w:sz w:val="24"/>
          <w:szCs w:val="24"/>
        </w:rPr>
        <w:t xml:space="preserve">) Expression levels of </w:t>
      </w:r>
      <w:r>
        <w:rPr>
          <w:rFonts w:ascii="Times New Roman" w:hAnsi="Times New Roman" w:cs="Times New Roman"/>
          <w:i/>
          <w:color w:val="000000" w:themeColor="text1"/>
          <w:sz w:val="24"/>
          <w:szCs w:val="24"/>
        </w:rPr>
        <w:t xml:space="preserve">UNC5A </w:t>
      </w:r>
      <w:r>
        <w:rPr>
          <w:rFonts w:ascii="Times New Roman" w:hAnsi="Times New Roman" w:cs="Times New Roman"/>
          <w:color w:val="000000" w:themeColor="text1"/>
          <w:sz w:val="24"/>
          <w:szCs w:val="24"/>
        </w:rPr>
        <w:t xml:space="preserve">and </w:t>
      </w:r>
      <w:r>
        <w:rPr>
          <w:rFonts w:ascii="Times New Roman" w:hAnsi="Times New Roman" w:cs="Times New Roman"/>
          <w:i/>
          <w:color w:val="000000" w:themeColor="text1"/>
          <w:sz w:val="24"/>
          <w:szCs w:val="24"/>
        </w:rPr>
        <w:t>UNC5D</w:t>
      </w:r>
      <w:r>
        <w:rPr>
          <w:rFonts w:ascii="Times New Roman" w:hAnsi="Times New Roman" w:cs="Times New Roman"/>
          <w:color w:val="000000" w:themeColor="text1"/>
          <w:sz w:val="24"/>
          <w:szCs w:val="24"/>
        </w:rPr>
        <w:t xml:space="preserve"> in xenograft tumors. Total RNA was prepared from the xenograft tumors and the expression levels of </w:t>
      </w:r>
      <w:r>
        <w:rPr>
          <w:rFonts w:ascii="Times New Roman" w:hAnsi="Times New Roman" w:cs="Times New Roman"/>
          <w:i/>
          <w:color w:val="000000" w:themeColor="text1"/>
          <w:sz w:val="24"/>
          <w:szCs w:val="24"/>
        </w:rPr>
        <w:t xml:space="preserve">UNC5A </w:t>
      </w:r>
      <w:r>
        <w:rPr>
          <w:rFonts w:ascii="Times New Roman" w:hAnsi="Times New Roman" w:cs="Times New Roman"/>
          <w:color w:val="000000" w:themeColor="text1"/>
          <w:sz w:val="24"/>
          <w:szCs w:val="24"/>
        </w:rPr>
        <w:t xml:space="preserve">and </w:t>
      </w:r>
      <w:r>
        <w:rPr>
          <w:rFonts w:ascii="Times New Roman" w:hAnsi="Times New Roman" w:cs="Times New Roman"/>
          <w:i/>
          <w:color w:val="000000" w:themeColor="text1"/>
          <w:sz w:val="24"/>
          <w:szCs w:val="24"/>
        </w:rPr>
        <w:t xml:space="preserve">UNC5D </w:t>
      </w:r>
      <w:r>
        <w:rPr>
          <w:rFonts w:ascii="Times New Roman" w:hAnsi="Times New Roman" w:cs="Times New Roman"/>
          <w:color w:val="000000" w:themeColor="text1"/>
          <w:sz w:val="24"/>
          <w:szCs w:val="24"/>
        </w:rPr>
        <w:t xml:space="preserve">were examined by quantitative RT-PCR. </w:t>
      </w:r>
    </w:p>
    <w:p w:rsidR="002951CD" w:rsidRDefault="002951CD">
      <w:pPr>
        <w:spacing w:line="480" w:lineRule="auto"/>
        <w:rPr>
          <w:rFonts w:ascii="Times New Roman" w:hAnsi="Times New Roman" w:cs="Times New Roman"/>
          <w:color w:val="000000" w:themeColor="text1"/>
          <w:sz w:val="24"/>
          <w:szCs w:val="24"/>
        </w:rPr>
      </w:pP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Fig. 6 </w:t>
      </w:r>
      <w:r>
        <w:rPr>
          <w:rFonts w:ascii="Times New Roman" w:hAnsi="Times New Roman" w:cs="Times New Roman"/>
          <w:b/>
          <w:color w:val="000000" w:themeColor="text1"/>
          <w:sz w:val="24"/>
          <w:szCs w:val="24"/>
        </w:rPr>
        <w:sym w:font="Symbol" w:char="F02D"/>
      </w:r>
      <w:r>
        <w:rPr>
          <w:rFonts w:ascii="Times New Roman" w:hAnsi="Times New Roman" w:cs="Times New Roman"/>
          <w:b/>
          <w:color w:val="000000" w:themeColor="text1"/>
          <w:sz w:val="24"/>
          <w:szCs w:val="24"/>
        </w:rPr>
        <w:t xml:space="preserve"> Oridonin inhibits NF-κB-mediated up-regulation of Netrin-</w:t>
      </w:r>
      <w:r>
        <w:rPr>
          <w:rFonts w:ascii="Times New Roman" w:hAnsi="Times New Roman" w:cs="Times New Roman"/>
          <w:b/>
          <w:color w:val="000000" w:themeColor="text1"/>
          <w:sz w:val="24"/>
          <w:szCs w:val="24"/>
        </w:rPr>
        <w:lastRenderedPageBreak/>
        <w:t>1 in</w:t>
      </w:r>
      <w:r>
        <w:rPr>
          <w:rFonts w:ascii="Times New Roman" w:hAnsi="Times New Roman" w:cs="Times New Roman" w:hint="eastAsia"/>
          <w:b/>
          <w:color w:val="000000" w:themeColor="text1"/>
          <w:sz w:val="24"/>
          <w:szCs w:val="24"/>
        </w:rPr>
        <w:t xml:space="preserve"> </w:t>
      </w:r>
      <w:r>
        <w:rPr>
          <w:rFonts w:ascii="Times New Roman" w:hAnsi="Times New Roman" w:cs="Times New Roman"/>
          <w:b/>
          <w:color w:val="000000" w:themeColor="text1"/>
          <w:sz w:val="24"/>
          <w:szCs w:val="24"/>
        </w:rPr>
        <w:t xml:space="preserve">bladder cancer cells. </w:t>
      </w:r>
      <w:r>
        <w:rPr>
          <w:rFonts w:ascii="Times New Roman" w:hAnsi="Times New Roman" w:cs="Times New Roman"/>
          <w:color w:val="000000" w:themeColor="text1"/>
          <w:sz w:val="24"/>
          <w:szCs w:val="24"/>
        </w:rPr>
        <w:t>Western blot analysis of oridonin-treated J82 cells. J82 cells were treated with or without oridonin (</w:t>
      </w:r>
      <w:r>
        <w:rPr>
          <w:rFonts w:ascii="Times New Roman" w:eastAsia="宋体" w:hAnsi="Times New Roman" w:cs="Times New Roman" w:hint="eastAsia"/>
          <w:color w:val="000000" w:themeColor="text1"/>
          <w:sz w:val="24"/>
          <w:szCs w:val="24"/>
          <w:lang w:eastAsia="zh-CN"/>
        </w:rPr>
        <w:t>20</w:t>
      </w:r>
      <w:r>
        <w:rPr>
          <w:rFonts w:ascii="Times New Roman" w:hAnsi="Times New Roman" w:cs="Times New Roman"/>
          <w:color w:val="000000" w:themeColor="text1"/>
          <w:sz w:val="24"/>
          <w:szCs w:val="24"/>
        </w:rPr>
        <w:t xml:space="preserve"> μM) for 24 hours and subjected to western blot analysis with the indicated antibodies. </w:t>
      </w:r>
    </w:p>
    <w:p w:rsidR="002951CD" w:rsidRDefault="002951CD">
      <w:pPr>
        <w:spacing w:line="480" w:lineRule="auto"/>
        <w:rPr>
          <w:rFonts w:ascii="Times New Roman" w:hAnsi="Times New Roman" w:cs="Times New Roman"/>
          <w:color w:val="000000" w:themeColor="text1"/>
          <w:sz w:val="24"/>
          <w:szCs w:val="24"/>
        </w:rPr>
      </w:pPr>
    </w:p>
    <w:p w:rsidR="002951CD" w:rsidRDefault="00EC227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Fig. </w:t>
      </w:r>
      <w:r>
        <w:rPr>
          <w:rFonts w:ascii="Times New Roman" w:eastAsia="宋体" w:hAnsi="Times New Roman" w:cs="Times New Roman" w:hint="eastAsia"/>
          <w:b/>
          <w:color w:val="000000" w:themeColor="text1"/>
          <w:sz w:val="24"/>
          <w:szCs w:val="24"/>
          <w:lang w:eastAsia="zh-CN"/>
        </w:rPr>
        <w:t>7</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sym w:font="Symbol" w:char="F02D"/>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lang w:eastAsia="zh-CN"/>
        </w:rPr>
        <w:t xml:space="preserve">Knockdown of the endogenous </w:t>
      </w:r>
      <w:r>
        <w:rPr>
          <w:rFonts w:ascii="Times New Roman" w:hAnsi="Times New Roman" w:cs="Times New Roman"/>
          <w:i/>
          <w:color w:val="000000" w:themeColor="text1"/>
          <w:sz w:val="24"/>
          <w:szCs w:val="24"/>
          <w:lang w:eastAsia="zh-CN"/>
        </w:rPr>
        <w:t>IRE1</w:t>
      </w:r>
      <w:r>
        <w:rPr>
          <w:rFonts w:ascii="Symbol" w:hAnsi="Symbol" w:cs="Times New Roman"/>
          <w:i/>
          <w:color w:val="000000" w:themeColor="text1"/>
          <w:sz w:val="24"/>
          <w:szCs w:val="24"/>
          <w:lang w:eastAsia="zh-CN"/>
        </w:rPr>
        <w:t></w:t>
      </w:r>
      <w:r>
        <w:rPr>
          <w:rFonts w:ascii="Times New Roman" w:hAnsi="Times New Roman" w:cs="Times New Roman"/>
          <w:i/>
          <w:color w:val="000000" w:themeColor="text1"/>
          <w:sz w:val="24"/>
          <w:szCs w:val="24"/>
          <w:lang w:eastAsia="zh-CN"/>
        </w:rPr>
        <w:t xml:space="preserve"> </w:t>
      </w:r>
      <w:r>
        <w:rPr>
          <w:rFonts w:ascii="Times New Roman" w:hAnsi="Times New Roman" w:cs="Times New Roman"/>
          <w:color w:val="000000" w:themeColor="text1"/>
          <w:sz w:val="24"/>
          <w:szCs w:val="24"/>
          <w:lang w:eastAsia="zh-CN"/>
        </w:rPr>
        <w:t xml:space="preserve">significantly increases the amount of </w:t>
      </w:r>
      <w:r>
        <w:rPr>
          <w:rFonts w:ascii="Times New Roman" w:hAnsi="Times New Roman" w:cs="Times New Roman"/>
          <w:i/>
          <w:color w:val="000000" w:themeColor="text1"/>
          <w:sz w:val="24"/>
          <w:szCs w:val="24"/>
          <w:lang w:eastAsia="zh-CN"/>
        </w:rPr>
        <w:t>netrin-1</w:t>
      </w:r>
      <w:r>
        <w:rPr>
          <w:rFonts w:ascii="Times New Roman" w:hAnsi="Times New Roman" w:cs="Times New Roman"/>
          <w:color w:val="000000" w:themeColor="text1"/>
          <w:sz w:val="24"/>
          <w:szCs w:val="24"/>
          <w:lang w:eastAsia="zh-CN"/>
        </w:rPr>
        <w:t xml:space="preserve"> protein. </w:t>
      </w:r>
      <w:r>
        <w:rPr>
          <w:rFonts w:ascii="Times New Roman" w:hAnsi="Times New Roman" w:cs="Times New Roman"/>
          <w:color w:val="000000" w:themeColor="text1"/>
          <w:sz w:val="24"/>
          <w:szCs w:val="24"/>
        </w:rPr>
        <w:t xml:space="preserve">T24 cells transfected with </w:t>
      </w:r>
      <w:r>
        <w:rPr>
          <w:rFonts w:ascii="Times New Roman" w:hAnsi="Times New Roman" w:cs="Times New Roman"/>
          <w:i/>
          <w:color w:val="000000" w:themeColor="text1"/>
          <w:sz w:val="24"/>
          <w:szCs w:val="24"/>
        </w:rPr>
        <w:t xml:space="preserve">netrin-1 </w:t>
      </w:r>
      <w:r>
        <w:rPr>
          <w:rFonts w:ascii="Times New Roman" w:hAnsi="Times New Roman" w:cs="Times New Roman"/>
          <w:color w:val="000000" w:themeColor="text1"/>
          <w:sz w:val="24"/>
          <w:szCs w:val="24"/>
        </w:rPr>
        <w:t xml:space="preserve">siRNAs along with the negative control. Forty-eight hours after the transfection, whole cell lysates were subjected to western blot analyses using the indicated antibodies. </w:t>
      </w:r>
    </w:p>
    <w:p w:rsidR="002951CD" w:rsidRDefault="002951CD">
      <w:pPr>
        <w:spacing w:line="480" w:lineRule="auto"/>
        <w:rPr>
          <w:rFonts w:ascii="Times New Roman" w:hAnsi="Times New Roman" w:cs="Times New Roman"/>
          <w:color w:val="000000" w:themeColor="text1"/>
          <w:sz w:val="24"/>
          <w:szCs w:val="24"/>
        </w:rPr>
      </w:pPr>
    </w:p>
    <w:p w:rsidR="002951CD" w:rsidRDefault="00EC227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Supplementary Table 1. Clinical information and Netrin-1 expression of 35 </w:t>
      </w:r>
      <w:r>
        <w:rPr>
          <w:rFonts w:ascii="Times New Roman" w:hAnsi="Times New Roman" w:cs="Times New Roman"/>
          <w:b/>
          <w:color w:val="000000" w:themeColor="text1"/>
          <w:sz w:val="24"/>
          <w:szCs w:val="24"/>
        </w:rPr>
        <w:t>primary TCCs</w:t>
      </w:r>
    </w:p>
    <w:p w:rsidR="002951CD" w:rsidRDefault="002951CD">
      <w:pPr>
        <w:spacing w:line="480" w:lineRule="auto"/>
        <w:rPr>
          <w:rFonts w:ascii="Times New Roman" w:hAnsi="Times New Roman" w:cs="Times New Roman"/>
          <w:b/>
          <w:color w:val="000000" w:themeColor="text1"/>
          <w:sz w:val="24"/>
          <w:szCs w:val="24"/>
        </w:rPr>
      </w:pPr>
    </w:p>
    <w:p w:rsidR="002951CD" w:rsidRDefault="00EC227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Supplementary Table </w:t>
      </w:r>
      <w:r>
        <w:rPr>
          <w:rFonts w:ascii="Times New Roman" w:eastAsia="宋体" w:hAnsi="Times New Roman" w:cs="Times New Roman" w:hint="eastAsia"/>
          <w:b/>
          <w:color w:val="000000" w:themeColor="text1"/>
          <w:sz w:val="24"/>
          <w:szCs w:val="24"/>
          <w:lang w:eastAsia="zh-CN"/>
        </w:rPr>
        <w:t>2</w:t>
      </w:r>
      <w:r>
        <w:rPr>
          <w:rFonts w:ascii="Times New Roman" w:hAnsi="Times New Roman" w:cs="Times New Roman"/>
          <w:b/>
          <w:color w:val="000000" w:themeColor="text1"/>
          <w:sz w:val="24"/>
          <w:szCs w:val="24"/>
        </w:rPr>
        <w:t>. Clinical information and Netrin-1 expression of 65 TCCs in human TCC tissue array</w:t>
      </w:r>
    </w:p>
    <w:sectPr w:rsidR="002951CD">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2279" w:rsidRDefault="00EC2279">
      <w:r>
        <w:separator/>
      </w:r>
    </w:p>
  </w:endnote>
  <w:endnote w:type="continuationSeparator" w:id="0">
    <w:p w:rsidR="00EC2279" w:rsidRDefault="00EC2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2279" w:rsidRDefault="00EC2279">
      <w:r>
        <w:separator/>
      </w:r>
    </w:p>
  </w:footnote>
  <w:footnote w:type="continuationSeparator" w:id="0">
    <w:p w:rsidR="00EC2279" w:rsidRDefault="00EC22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7814710"/>
    </w:sdtPr>
    <w:sdtEndPr/>
    <w:sdtContent>
      <w:p w:rsidR="002951CD" w:rsidRDefault="0096258B">
        <w:pPr>
          <w:pStyle w:val="a5"/>
          <w:jc w:val="right"/>
        </w:pPr>
        <w:r>
          <w:t>Page</w:t>
        </w:r>
        <w:r w:rsidR="00EC2279">
          <w:fldChar w:fldCharType="begin"/>
        </w:r>
        <w:r w:rsidR="00EC2279">
          <w:instrText>PAGE   \* MERGEFORMAT</w:instrText>
        </w:r>
        <w:r w:rsidR="00EC2279">
          <w:fldChar w:fldCharType="separate"/>
        </w:r>
        <w:r w:rsidR="00EC2279">
          <w:rPr>
            <w:lang w:val="ja-JP"/>
          </w:rPr>
          <w:t>9</w:t>
        </w:r>
        <w:r w:rsidR="00EC2279">
          <w:fldChar w:fldCharType="end"/>
        </w:r>
        <w:r>
          <w:t xml:space="preserve"> of 11</w:t>
        </w:r>
      </w:p>
    </w:sdtContent>
  </w:sdt>
  <w:p w:rsidR="002951CD" w:rsidRDefault="002951CD">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A37"/>
    <w:rsid w:val="00005852"/>
    <w:rsid w:val="000079E0"/>
    <w:rsid w:val="00012D98"/>
    <w:rsid w:val="0009481C"/>
    <w:rsid w:val="000B0D62"/>
    <w:rsid w:val="000B7DA7"/>
    <w:rsid w:val="000E2EE4"/>
    <w:rsid w:val="000F308B"/>
    <w:rsid w:val="00101294"/>
    <w:rsid w:val="0010635E"/>
    <w:rsid w:val="00157E9C"/>
    <w:rsid w:val="001708A5"/>
    <w:rsid w:val="00184CC3"/>
    <w:rsid w:val="001F5F63"/>
    <w:rsid w:val="0020152D"/>
    <w:rsid w:val="0021591C"/>
    <w:rsid w:val="00221D00"/>
    <w:rsid w:val="0022276A"/>
    <w:rsid w:val="0022660C"/>
    <w:rsid w:val="002328D7"/>
    <w:rsid w:val="00236BAF"/>
    <w:rsid w:val="0025039F"/>
    <w:rsid w:val="00265A39"/>
    <w:rsid w:val="00270D1D"/>
    <w:rsid w:val="00285B8C"/>
    <w:rsid w:val="002951CD"/>
    <w:rsid w:val="002B376B"/>
    <w:rsid w:val="002B382F"/>
    <w:rsid w:val="002E4E23"/>
    <w:rsid w:val="002F1359"/>
    <w:rsid w:val="003009BE"/>
    <w:rsid w:val="003131E1"/>
    <w:rsid w:val="0033073B"/>
    <w:rsid w:val="00340B86"/>
    <w:rsid w:val="003616C3"/>
    <w:rsid w:val="00365BA6"/>
    <w:rsid w:val="00396436"/>
    <w:rsid w:val="003C0E72"/>
    <w:rsid w:val="003C5E03"/>
    <w:rsid w:val="003D7340"/>
    <w:rsid w:val="003F0950"/>
    <w:rsid w:val="00422202"/>
    <w:rsid w:val="00426DFD"/>
    <w:rsid w:val="00450858"/>
    <w:rsid w:val="00460A9C"/>
    <w:rsid w:val="00476BC3"/>
    <w:rsid w:val="00486DBD"/>
    <w:rsid w:val="004E2BF8"/>
    <w:rsid w:val="004F394E"/>
    <w:rsid w:val="0050139C"/>
    <w:rsid w:val="00502D0A"/>
    <w:rsid w:val="005271B1"/>
    <w:rsid w:val="00542C48"/>
    <w:rsid w:val="005458C5"/>
    <w:rsid w:val="005462FB"/>
    <w:rsid w:val="00546397"/>
    <w:rsid w:val="005465DE"/>
    <w:rsid w:val="00553199"/>
    <w:rsid w:val="005602D4"/>
    <w:rsid w:val="005633CD"/>
    <w:rsid w:val="00566ED1"/>
    <w:rsid w:val="005C78D3"/>
    <w:rsid w:val="005D6B01"/>
    <w:rsid w:val="005E6B4A"/>
    <w:rsid w:val="00610B35"/>
    <w:rsid w:val="00620DF6"/>
    <w:rsid w:val="0066493A"/>
    <w:rsid w:val="00666789"/>
    <w:rsid w:val="00682DBD"/>
    <w:rsid w:val="006A11B2"/>
    <w:rsid w:val="006A514E"/>
    <w:rsid w:val="006B0D11"/>
    <w:rsid w:val="006F4A2D"/>
    <w:rsid w:val="00713A4F"/>
    <w:rsid w:val="007145C9"/>
    <w:rsid w:val="00716ECA"/>
    <w:rsid w:val="007248D9"/>
    <w:rsid w:val="007331FE"/>
    <w:rsid w:val="00747921"/>
    <w:rsid w:val="00756A44"/>
    <w:rsid w:val="00783B0D"/>
    <w:rsid w:val="00795205"/>
    <w:rsid w:val="007A5908"/>
    <w:rsid w:val="007B2E5A"/>
    <w:rsid w:val="007B72B0"/>
    <w:rsid w:val="007C59A7"/>
    <w:rsid w:val="007E4EEB"/>
    <w:rsid w:val="0080572E"/>
    <w:rsid w:val="00815F5F"/>
    <w:rsid w:val="00821BF9"/>
    <w:rsid w:val="008277FE"/>
    <w:rsid w:val="008525D3"/>
    <w:rsid w:val="00860489"/>
    <w:rsid w:val="0089407F"/>
    <w:rsid w:val="008A16F1"/>
    <w:rsid w:val="008C6793"/>
    <w:rsid w:val="008D1A60"/>
    <w:rsid w:val="0091071E"/>
    <w:rsid w:val="009364F9"/>
    <w:rsid w:val="0094520F"/>
    <w:rsid w:val="00955AC2"/>
    <w:rsid w:val="0096258B"/>
    <w:rsid w:val="00984923"/>
    <w:rsid w:val="009C54CC"/>
    <w:rsid w:val="009D369A"/>
    <w:rsid w:val="009D71A1"/>
    <w:rsid w:val="009F263B"/>
    <w:rsid w:val="00A23BB6"/>
    <w:rsid w:val="00A36B8A"/>
    <w:rsid w:val="00A377AD"/>
    <w:rsid w:val="00A572A2"/>
    <w:rsid w:val="00A60751"/>
    <w:rsid w:val="00A73AD3"/>
    <w:rsid w:val="00AB0F72"/>
    <w:rsid w:val="00AC07E9"/>
    <w:rsid w:val="00AD39CD"/>
    <w:rsid w:val="00AF5062"/>
    <w:rsid w:val="00B003A8"/>
    <w:rsid w:val="00B10ABC"/>
    <w:rsid w:val="00B24179"/>
    <w:rsid w:val="00B24BCC"/>
    <w:rsid w:val="00B31C3C"/>
    <w:rsid w:val="00B556E3"/>
    <w:rsid w:val="00B5688C"/>
    <w:rsid w:val="00B61DAC"/>
    <w:rsid w:val="00B85C20"/>
    <w:rsid w:val="00BA1317"/>
    <w:rsid w:val="00BB196A"/>
    <w:rsid w:val="00BD5193"/>
    <w:rsid w:val="00C12B74"/>
    <w:rsid w:val="00C12C00"/>
    <w:rsid w:val="00C25E67"/>
    <w:rsid w:val="00C53EC7"/>
    <w:rsid w:val="00C640AD"/>
    <w:rsid w:val="00C80632"/>
    <w:rsid w:val="00CA23A6"/>
    <w:rsid w:val="00CC4799"/>
    <w:rsid w:val="00D0002E"/>
    <w:rsid w:val="00D252A8"/>
    <w:rsid w:val="00D33038"/>
    <w:rsid w:val="00D40FB4"/>
    <w:rsid w:val="00D42A07"/>
    <w:rsid w:val="00D5680E"/>
    <w:rsid w:val="00DA06D4"/>
    <w:rsid w:val="00DA389D"/>
    <w:rsid w:val="00DD0A37"/>
    <w:rsid w:val="00DD2273"/>
    <w:rsid w:val="00DD7C57"/>
    <w:rsid w:val="00DE3B3C"/>
    <w:rsid w:val="00DE6BC1"/>
    <w:rsid w:val="00E16F98"/>
    <w:rsid w:val="00E31768"/>
    <w:rsid w:val="00E4510B"/>
    <w:rsid w:val="00E93B24"/>
    <w:rsid w:val="00EA0D5C"/>
    <w:rsid w:val="00EC2279"/>
    <w:rsid w:val="00EE413A"/>
    <w:rsid w:val="00F07B0B"/>
    <w:rsid w:val="00F234C1"/>
    <w:rsid w:val="00F378C6"/>
    <w:rsid w:val="00F52A9D"/>
    <w:rsid w:val="00F659E0"/>
    <w:rsid w:val="00F70D17"/>
    <w:rsid w:val="00FA0BBE"/>
    <w:rsid w:val="00FB74DF"/>
    <w:rsid w:val="00FC6829"/>
    <w:rsid w:val="07B74CF9"/>
    <w:rsid w:val="0F0977BD"/>
    <w:rsid w:val="125E55A5"/>
    <w:rsid w:val="12BC4372"/>
    <w:rsid w:val="14A038AF"/>
    <w:rsid w:val="16B85E7B"/>
    <w:rsid w:val="1995752D"/>
    <w:rsid w:val="21CE3275"/>
    <w:rsid w:val="308C7FE1"/>
    <w:rsid w:val="38F75F7C"/>
    <w:rsid w:val="44BA6F7D"/>
    <w:rsid w:val="4D5515AF"/>
    <w:rsid w:val="65844749"/>
    <w:rsid w:val="65DD5D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6AD5B"/>
  <w15:docId w15:val="{76DCFB7D-5E10-4444-8AEA-C1590755B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252"/>
        <w:tab w:val="right" w:pos="8504"/>
      </w:tabs>
      <w:snapToGrid w:val="0"/>
    </w:pPr>
  </w:style>
  <w:style w:type="paragraph" w:styleId="a5">
    <w:name w:val="header"/>
    <w:basedOn w:val="a"/>
    <w:link w:val="a6"/>
    <w:uiPriority w:val="99"/>
    <w:unhideWhenUsed/>
    <w:qFormat/>
    <w:pPr>
      <w:tabs>
        <w:tab w:val="center" w:pos="4252"/>
        <w:tab w:val="right" w:pos="8504"/>
      </w:tabs>
      <w:snapToGrid w:val="0"/>
    </w:pPr>
  </w:style>
  <w:style w:type="character" w:customStyle="1" w:styleId="a6">
    <w:name w:val="页眉 字符"/>
    <w:basedOn w:val="a0"/>
    <w:link w:val="a5"/>
    <w:uiPriority w:val="99"/>
    <w:qFormat/>
  </w:style>
  <w:style w:type="character" w:customStyle="1" w:styleId="a4">
    <w:name w:val="页脚 字符"/>
    <w:basedOn w:val="a0"/>
    <w:link w:val="a3"/>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2024</Words>
  <Characters>11537</Characters>
  <Application>Microsoft Office Word</Application>
  <DocSecurity>0</DocSecurity>
  <Lines>96</Lines>
  <Paragraphs>27</Paragraphs>
  <ScaleCrop>false</ScaleCrop>
  <Company/>
  <LinksUpToDate>false</LinksUpToDate>
  <CharactersWithSpaces>13534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好生館がん研究所</dc:creator>
  <cp:lastModifiedBy>君 安</cp:lastModifiedBy>
  <cp:revision>4</cp:revision>
  <dcterms:created xsi:type="dcterms:W3CDTF">2020-04-18T03:38:00Z</dcterms:created>
  <dcterms:modified xsi:type="dcterms:W3CDTF">2020-04-18T03:40:00Z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2052-11.3.0.8742</vt:lpwstr>
  </property>
</Properties>
</file>