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93BBCE" w14:textId="77777777" w:rsidR="008607FB" w:rsidRPr="00FF2A33" w:rsidRDefault="008607FB" w:rsidP="008607FB">
      <w:pPr>
        <w:spacing w:line="480" w:lineRule="auto"/>
        <w:contextualSpacing/>
        <w:jc w:val="both"/>
        <w:rPr>
          <w:rFonts w:eastAsia="Times New Roman" w:cs="Times New Roman"/>
          <w:sz w:val="24"/>
          <w:szCs w:val="24"/>
        </w:rPr>
      </w:pPr>
    </w:p>
    <w:p w14:paraId="76988F8C" w14:textId="77777777" w:rsidR="008607FB" w:rsidRPr="004036F0" w:rsidRDefault="008607FB" w:rsidP="008607FB">
      <w:pPr>
        <w:spacing w:line="480" w:lineRule="auto"/>
        <w:contextualSpacing/>
        <w:jc w:val="center"/>
        <w:rPr>
          <w:rFonts w:eastAsia="Times New Roman" w:cs="Times New Roman"/>
          <w:sz w:val="24"/>
          <w:szCs w:val="24"/>
        </w:rPr>
      </w:pPr>
      <w:r>
        <w:rPr>
          <w:rFonts w:eastAsia="Times New Roman" w:cs="Times New Roman"/>
          <w:noProof/>
          <w:sz w:val="24"/>
          <w:szCs w:val="24"/>
        </w:rPr>
        <w:drawing>
          <wp:inline distT="0" distB="0" distL="0" distR="0" wp14:anchorId="6CA2A70B" wp14:editId="36EF473C">
            <wp:extent cx="5943600" cy="5851525"/>
            <wp:effectExtent l="0" t="0" r="0" b="3175"/>
            <wp:docPr id="12" name="Picture 1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5851525"/>
                    </a:xfrm>
                    <a:prstGeom prst="rect">
                      <a:avLst/>
                    </a:prstGeom>
                  </pic:spPr>
                </pic:pic>
              </a:graphicData>
            </a:graphic>
          </wp:inline>
        </w:drawing>
      </w:r>
    </w:p>
    <w:p w14:paraId="55C7E187" w14:textId="77777777" w:rsidR="008607FB" w:rsidRPr="004036F0"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 xml:space="preserve">Extended Data Fig. 1: MCE systems in </w:t>
      </w:r>
      <w:r w:rsidRPr="004036F0">
        <w:rPr>
          <w:rFonts w:eastAsia="Times New Roman" w:cs="Times New Roman"/>
          <w:b/>
          <w:i/>
          <w:sz w:val="24"/>
          <w:szCs w:val="24"/>
        </w:rPr>
        <w:t>Mycobacterium tuberculosis and Mycobacterium smegmatis.</w:t>
      </w:r>
    </w:p>
    <w:p w14:paraId="7023EB35" w14:textId="77777777" w:rsidR="008607FB" w:rsidRPr="004036F0"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xml:space="preserve">, Schematic of the four Mammalian Cell Entry (MCE) operons in the </w:t>
      </w:r>
      <w:r w:rsidRPr="004036F0">
        <w:rPr>
          <w:rFonts w:eastAsia="Times New Roman" w:cs="Times New Roman"/>
          <w:i/>
          <w:sz w:val="24"/>
          <w:szCs w:val="24"/>
        </w:rPr>
        <w:t>Mycobacterium tuberculosis</w:t>
      </w:r>
      <w:r w:rsidRPr="004036F0">
        <w:rPr>
          <w:rFonts w:eastAsia="Times New Roman" w:cs="Times New Roman"/>
          <w:sz w:val="24"/>
          <w:szCs w:val="24"/>
        </w:rPr>
        <w:t xml:space="preserve"> (</w:t>
      </w:r>
      <w:r w:rsidRPr="004036F0">
        <w:rPr>
          <w:rFonts w:eastAsia="Times New Roman" w:cs="Times New Roman"/>
          <w:i/>
          <w:sz w:val="24"/>
          <w:szCs w:val="24"/>
        </w:rPr>
        <w:t>Mtb)</w:t>
      </w:r>
      <w:r w:rsidRPr="004036F0">
        <w:rPr>
          <w:rFonts w:eastAsia="Times New Roman" w:cs="Times New Roman"/>
          <w:sz w:val="24"/>
          <w:szCs w:val="24"/>
        </w:rPr>
        <w:t xml:space="preserve"> genome. Arrows represent individual genes and their direction. Genes colored as indicated the key below. Operons annotated with an asterisk are conserved between </w:t>
      </w:r>
      <w:r w:rsidRPr="004036F0">
        <w:rPr>
          <w:rFonts w:eastAsia="Times New Roman" w:cs="Times New Roman"/>
          <w:i/>
          <w:sz w:val="24"/>
          <w:szCs w:val="24"/>
        </w:rPr>
        <w:t>Mtb</w:t>
      </w:r>
      <w:r w:rsidRPr="004036F0">
        <w:rPr>
          <w:rFonts w:eastAsia="Times New Roman" w:cs="Times New Roman"/>
          <w:sz w:val="24"/>
          <w:szCs w:val="24"/>
        </w:rPr>
        <w:t xml:space="preserve"> and </w:t>
      </w:r>
      <w:r w:rsidRPr="004036F0">
        <w:rPr>
          <w:rFonts w:eastAsia="Times New Roman" w:cs="Times New Roman"/>
          <w:i/>
          <w:sz w:val="24"/>
          <w:szCs w:val="24"/>
        </w:rPr>
        <w:t xml:space="preserve">Mycobacterium </w:t>
      </w:r>
      <w:r w:rsidRPr="004036F0">
        <w:rPr>
          <w:rFonts w:eastAsia="Times New Roman" w:cs="Times New Roman"/>
          <w:i/>
          <w:sz w:val="24"/>
          <w:szCs w:val="24"/>
        </w:rPr>
        <w:lastRenderedPageBreak/>
        <w:t>smegmatis</w:t>
      </w:r>
      <w:r w:rsidRPr="004036F0">
        <w:rPr>
          <w:rFonts w:eastAsia="Times New Roman" w:cs="Times New Roman"/>
          <w:sz w:val="24"/>
          <w:szCs w:val="24"/>
        </w:rPr>
        <w:t xml:space="preserve"> (</w:t>
      </w:r>
      <w:r w:rsidRPr="004036F0">
        <w:rPr>
          <w:rFonts w:eastAsia="Times New Roman" w:cs="Times New Roman"/>
          <w:i/>
          <w:sz w:val="24"/>
          <w:szCs w:val="24"/>
        </w:rPr>
        <w:t>Msmeg)</w:t>
      </w:r>
      <w:r w:rsidRPr="004036F0">
        <w:rPr>
          <w:rFonts w:eastAsia="Times New Roman" w:cs="Times New Roman"/>
          <w:sz w:val="24"/>
          <w:szCs w:val="24"/>
        </w:rPr>
        <w:t xml:space="preserve">. </w:t>
      </w:r>
      <w:r w:rsidRPr="004036F0">
        <w:rPr>
          <w:rFonts w:eastAsia="Times New Roman" w:cs="Times New Roman"/>
          <w:b/>
          <w:sz w:val="24"/>
          <w:szCs w:val="24"/>
        </w:rPr>
        <w:t>B</w:t>
      </w:r>
      <w:r w:rsidRPr="004036F0">
        <w:rPr>
          <w:rFonts w:eastAsia="Times New Roman" w:cs="Times New Roman"/>
          <w:sz w:val="24"/>
          <w:szCs w:val="24"/>
        </w:rPr>
        <w:t xml:space="preserve">, Schematic of the six MCE operons in the </w:t>
      </w:r>
      <w:r w:rsidRPr="004036F0">
        <w:rPr>
          <w:rFonts w:eastAsia="Times New Roman" w:cs="Times New Roman"/>
          <w:i/>
          <w:sz w:val="24"/>
          <w:szCs w:val="24"/>
        </w:rPr>
        <w:t>Msmeg</w:t>
      </w:r>
      <w:r w:rsidRPr="004036F0">
        <w:rPr>
          <w:rFonts w:eastAsia="Times New Roman" w:cs="Times New Roman"/>
          <w:sz w:val="24"/>
          <w:szCs w:val="24"/>
        </w:rPr>
        <w:t xml:space="preserve"> genome. Genes colored as in Extended Data Fig. 1a. </w:t>
      </w:r>
      <w:r w:rsidRPr="004036F0">
        <w:rPr>
          <w:rFonts w:eastAsia="Times New Roman" w:cs="Times New Roman"/>
          <w:b/>
          <w:sz w:val="24"/>
          <w:szCs w:val="24"/>
        </w:rPr>
        <w:t>c</w:t>
      </w:r>
      <w:r w:rsidRPr="004036F0">
        <w:rPr>
          <w:rFonts w:eastAsia="Times New Roman" w:cs="Times New Roman"/>
          <w:sz w:val="24"/>
          <w:szCs w:val="24"/>
        </w:rPr>
        <w:t xml:space="preserve">, Size exclusion chromatogram of MceG-GFP pulldown (green) superimposed with protein standards (grey dotted line). Black arrow indicates protein sample shown in Fig. 1e and analyzed by mass spectrometry in Fig. 1f. </w:t>
      </w:r>
      <w:r>
        <w:rPr>
          <w:rFonts w:eastAsia="Times New Roman" w:cs="Times New Roman"/>
          <w:sz w:val="24"/>
          <w:szCs w:val="24"/>
        </w:rPr>
        <w:br w:type="page"/>
      </w:r>
    </w:p>
    <w:p w14:paraId="2D033110" w14:textId="77777777" w:rsidR="008607FB" w:rsidRPr="004036F0" w:rsidRDefault="008607FB" w:rsidP="008607FB">
      <w:pPr>
        <w:spacing w:line="480" w:lineRule="auto"/>
        <w:contextualSpacing/>
        <w:jc w:val="center"/>
        <w:rPr>
          <w:rFonts w:eastAsia="Times New Roman" w:cs="Times New Roman"/>
          <w:sz w:val="24"/>
          <w:szCs w:val="24"/>
        </w:rPr>
      </w:pPr>
      <w:r>
        <w:rPr>
          <w:rFonts w:eastAsia="Times New Roman" w:cs="Times New Roman"/>
          <w:noProof/>
          <w:sz w:val="24"/>
          <w:szCs w:val="24"/>
        </w:rPr>
        <w:lastRenderedPageBreak/>
        <w:drawing>
          <wp:inline distT="0" distB="0" distL="0" distR="0" wp14:anchorId="148C948D" wp14:editId="702BB133">
            <wp:extent cx="5589236" cy="7175241"/>
            <wp:effectExtent l="0" t="0" r="0" b="635"/>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20997" cy="7216015"/>
                    </a:xfrm>
                    <a:prstGeom prst="rect">
                      <a:avLst/>
                    </a:prstGeom>
                  </pic:spPr>
                </pic:pic>
              </a:graphicData>
            </a:graphic>
          </wp:inline>
        </w:drawing>
      </w:r>
    </w:p>
    <w:p w14:paraId="6E7E005C" w14:textId="77777777" w:rsidR="008607FB" w:rsidRPr="004036F0"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rPr>
        <w:t>Extended Data Fig. 2: Cryo-EM data processing workflow (Part 1).</w:t>
      </w:r>
    </w:p>
    <w:p w14:paraId="72E0C98C" w14:textId="77777777" w:rsidR="008607FB" w:rsidRPr="00386B85"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xml:space="preserve">, Cryo-EM data processing pipeline. </w:t>
      </w:r>
      <w:r w:rsidRPr="004036F0">
        <w:rPr>
          <w:rFonts w:eastAsia="Times New Roman" w:cs="Times New Roman"/>
          <w:b/>
          <w:sz w:val="24"/>
          <w:szCs w:val="24"/>
        </w:rPr>
        <w:t>b</w:t>
      </w:r>
      <w:r w:rsidRPr="004036F0">
        <w:rPr>
          <w:rFonts w:eastAsia="Times New Roman" w:cs="Times New Roman"/>
          <w:sz w:val="24"/>
          <w:szCs w:val="24"/>
        </w:rPr>
        <w:t xml:space="preserve">, Representative cryo-EM micrograph. Particles of interest are circled in white. Scalebar (100 nm) is indicated on the bottom right of the micrograph. </w:t>
      </w:r>
      <w:r w:rsidRPr="004036F0">
        <w:rPr>
          <w:rFonts w:eastAsia="Times New Roman" w:cs="Times New Roman"/>
          <w:b/>
          <w:sz w:val="24"/>
          <w:szCs w:val="24"/>
        </w:rPr>
        <w:t>c</w:t>
      </w:r>
      <w:r w:rsidRPr="004036F0">
        <w:rPr>
          <w:rFonts w:eastAsia="Times New Roman" w:cs="Times New Roman"/>
          <w:sz w:val="24"/>
          <w:szCs w:val="24"/>
        </w:rPr>
        <w:t xml:space="preserve">, </w:t>
      </w:r>
      <w:r w:rsidRPr="004036F0">
        <w:rPr>
          <w:rFonts w:eastAsia="Times New Roman" w:cs="Times New Roman"/>
          <w:sz w:val="24"/>
          <w:szCs w:val="24"/>
        </w:rPr>
        <w:lastRenderedPageBreak/>
        <w:t>Representative 2D classes of complex. Eight 2D class averages showing different views of the particles were generated in cryoSPARC</w:t>
      </w:r>
      <w:r w:rsidRPr="004036F0">
        <w:rPr>
          <w:rFonts w:eastAsia="Times New Roman" w:cs="Times New Roman"/>
          <w:color w:val="000000"/>
          <w:sz w:val="24"/>
          <w:szCs w:val="24"/>
          <w:vertAlign w:val="superscript"/>
        </w:rPr>
        <w:t>60</w:t>
      </w:r>
      <w:r w:rsidRPr="004036F0">
        <w:rPr>
          <w:rFonts w:eastAsia="Times New Roman" w:cs="Times New Roman"/>
          <w:sz w:val="24"/>
          <w:szCs w:val="24"/>
        </w:rPr>
        <w:t xml:space="preserve"> using the final set of ‘consensus’ particles extracted with box size of 360 pixels and no binning.</w:t>
      </w:r>
      <w:r>
        <w:rPr>
          <w:rFonts w:eastAsia="Times New Roman" w:cs="Times New Roman"/>
          <w:b/>
          <w:sz w:val="24"/>
          <w:szCs w:val="24"/>
        </w:rPr>
        <w:br w:type="page"/>
      </w:r>
    </w:p>
    <w:p w14:paraId="34A0F114" w14:textId="77777777" w:rsidR="008607FB" w:rsidRPr="004036F0" w:rsidRDefault="008607FB" w:rsidP="008607FB">
      <w:pPr>
        <w:spacing w:line="480" w:lineRule="auto"/>
        <w:contextualSpacing/>
        <w:jc w:val="center"/>
        <w:rPr>
          <w:rFonts w:eastAsia="Times New Roman" w:cs="Times New Roman"/>
          <w:b/>
          <w:sz w:val="24"/>
          <w:szCs w:val="24"/>
        </w:rPr>
      </w:pPr>
      <w:r>
        <w:rPr>
          <w:rFonts w:eastAsia="Times New Roman" w:cs="Times New Roman"/>
          <w:b/>
          <w:noProof/>
          <w:sz w:val="24"/>
          <w:szCs w:val="24"/>
        </w:rPr>
        <w:lastRenderedPageBreak/>
        <w:drawing>
          <wp:inline distT="0" distB="0" distL="0" distR="0" wp14:anchorId="5739D269" wp14:editId="6049DABD">
            <wp:extent cx="5295722" cy="7156580"/>
            <wp:effectExtent l="0" t="0" r="635" b="0"/>
            <wp:docPr id="14"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46877" cy="7225711"/>
                    </a:xfrm>
                    <a:prstGeom prst="rect">
                      <a:avLst/>
                    </a:prstGeom>
                  </pic:spPr>
                </pic:pic>
              </a:graphicData>
            </a:graphic>
          </wp:inline>
        </w:drawing>
      </w:r>
    </w:p>
    <w:p w14:paraId="1D4D516D" w14:textId="77777777" w:rsidR="008607FB" w:rsidRPr="004036F0"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rPr>
        <w:t>Extended Data Fig. 3: Cryo-EM data processing workflow (Part 2).</w:t>
      </w:r>
    </w:p>
    <w:p w14:paraId="3A398F2D" w14:textId="77777777" w:rsidR="008607FB" w:rsidRPr="00386B85"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Processing pipeline for local refinements performed in cryoSPARC</w:t>
      </w:r>
      <w:r w:rsidRPr="004036F0">
        <w:rPr>
          <w:rFonts w:eastAsia="Times New Roman" w:cs="Times New Roman"/>
          <w:color w:val="000000"/>
          <w:sz w:val="24"/>
          <w:szCs w:val="24"/>
          <w:vertAlign w:val="superscript"/>
        </w:rPr>
        <w:t>60</w:t>
      </w:r>
      <w:r w:rsidRPr="004036F0">
        <w:rPr>
          <w:rFonts w:eastAsia="Times New Roman" w:cs="Times New Roman"/>
          <w:sz w:val="24"/>
          <w:szCs w:val="24"/>
        </w:rPr>
        <w:t xml:space="preserve"> and composite map generation. Locally refined maps and raw map for consensus set of particles are shown. Map labels </w:t>
      </w:r>
      <w:r w:rsidRPr="004036F0">
        <w:rPr>
          <w:rFonts w:eastAsia="Times New Roman" w:cs="Times New Roman"/>
          <w:sz w:val="24"/>
          <w:szCs w:val="24"/>
        </w:rPr>
        <w:lastRenderedPageBreak/>
        <w:t>are indicated above the map and particle count and average resolution as reported by cryoSPARC are shown below. Composite density maps were generated in PHENIX</w:t>
      </w:r>
      <w:r w:rsidRPr="004036F0">
        <w:rPr>
          <w:rFonts w:eastAsia="Times New Roman" w:cs="Times New Roman"/>
          <w:color w:val="000000"/>
          <w:sz w:val="24"/>
          <w:szCs w:val="24"/>
          <w:vertAlign w:val="superscript"/>
        </w:rPr>
        <w:t>64</w:t>
      </w:r>
      <w:r w:rsidRPr="004036F0">
        <w:rPr>
          <w:rFonts w:eastAsia="Times New Roman" w:cs="Times New Roman"/>
          <w:sz w:val="24"/>
          <w:szCs w:val="24"/>
        </w:rPr>
        <w:t xml:space="preserve">. </w:t>
      </w:r>
      <w:r w:rsidRPr="004036F0">
        <w:rPr>
          <w:rFonts w:eastAsia="Times New Roman" w:cs="Times New Roman"/>
          <w:b/>
          <w:sz w:val="24"/>
          <w:szCs w:val="24"/>
        </w:rPr>
        <w:t>b</w:t>
      </w:r>
      <w:r w:rsidRPr="004036F0">
        <w:rPr>
          <w:rFonts w:eastAsia="Times New Roman" w:cs="Times New Roman"/>
          <w:sz w:val="24"/>
          <w:szCs w:val="24"/>
        </w:rPr>
        <w:t xml:space="preserve">, Composite Map0 colored by local resolution that was estimated in cryoSPARC. (left) Whole structure view. (right) Cross-sectional view. (bottom) key for local resolution coloring, ranging from 2.30 </w:t>
      </w:r>
      <w:r w:rsidRPr="004036F0">
        <w:rPr>
          <w:rFonts w:eastAsia="Times New Roman" w:cs="Times New Roman"/>
          <w:sz w:val="24"/>
          <w:szCs w:val="24"/>
          <w:highlight w:val="white"/>
        </w:rPr>
        <w:t>Å</w:t>
      </w:r>
      <w:r w:rsidRPr="004036F0">
        <w:rPr>
          <w:rFonts w:eastAsia="Times New Roman" w:cs="Times New Roman"/>
          <w:sz w:val="24"/>
          <w:szCs w:val="24"/>
        </w:rPr>
        <w:t xml:space="preserve"> (blue) to 4.10 </w:t>
      </w:r>
      <w:r w:rsidRPr="004036F0">
        <w:rPr>
          <w:rFonts w:eastAsia="Times New Roman" w:cs="Times New Roman"/>
          <w:sz w:val="24"/>
          <w:szCs w:val="24"/>
          <w:highlight w:val="white"/>
        </w:rPr>
        <w:t>Å</w:t>
      </w:r>
      <w:r w:rsidRPr="004036F0">
        <w:rPr>
          <w:rFonts w:eastAsia="Times New Roman" w:cs="Times New Roman"/>
          <w:sz w:val="24"/>
          <w:szCs w:val="24"/>
        </w:rPr>
        <w:t xml:space="preserve"> (red). </w:t>
      </w:r>
      <w:r w:rsidRPr="004036F0">
        <w:rPr>
          <w:rFonts w:eastAsia="Times New Roman" w:cs="Times New Roman"/>
          <w:b/>
          <w:sz w:val="24"/>
          <w:szCs w:val="24"/>
        </w:rPr>
        <w:t>c</w:t>
      </w:r>
      <w:r w:rsidRPr="004036F0">
        <w:rPr>
          <w:rFonts w:eastAsia="Times New Roman" w:cs="Times New Roman"/>
          <w:sz w:val="24"/>
          <w:szCs w:val="24"/>
        </w:rPr>
        <w:t xml:space="preserve">, Gold-standard FSC curve calculated in cryoSPARC for composite, locally refined, and raw maps for consensus set of particles. The dotted line represents the 0.143 FSC cutoff. </w:t>
      </w:r>
      <w:r w:rsidRPr="004036F0">
        <w:rPr>
          <w:rFonts w:eastAsia="Times New Roman" w:cs="Times New Roman"/>
          <w:b/>
          <w:sz w:val="24"/>
          <w:szCs w:val="24"/>
        </w:rPr>
        <w:t>d</w:t>
      </w:r>
      <w:r w:rsidRPr="004036F0">
        <w:rPr>
          <w:rFonts w:eastAsia="Times New Roman" w:cs="Times New Roman"/>
          <w:sz w:val="24"/>
          <w:szCs w:val="24"/>
        </w:rPr>
        <w:t>, Directional 3DFSC</w:t>
      </w:r>
      <w:r w:rsidRPr="004036F0">
        <w:rPr>
          <w:rFonts w:eastAsia="Times New Roman" w:cs="Times New Roman"/>
          <w:color w:val="000000"/>
          <w:sz w:val="24"/>
          <w:szCs w:val="24"/>
          <w:vertAlign w:val="superscript"/>
        </w:rPr>
        <w:t>65</w:t>
      </w:r>
      <w:r w:rsidRPr="004036F0">
        <w:rPr>
          <w:rFonts w:eastAsia="Times New Roman" w:cs="Times New Roman"/>
          <w:sz w:val="24"/>
          <w:szCs w:val="24"/>
        </w:rPr>
        <w:t xml:space="preserve"> calculated for Map0 (composite). </w:t>
      </w:r>
      <w:r w:rsidRPr="004036F0">
        <w:rPr>
          <w:rFonts w:eastAsia="Times New Roman" w:cs="Times New Roman"/>
          <w:b/>
          <w:sz w:val="24"/>
          <w:szCs w:val="24"/>
        </w:rPr>
        <w:t>e</w:t>
      </w:r>
      <w:r w:rsidRPr="004036F0">
        <w:rPr>
          <w:rFonts w:eastAsia="Times New Roman" w:cs="Times New Roman"/>
          <w:sz w:val="24"/>
          <w:szCs w:val="24"/>
        </w:rPr>
        <w:t xml:space="preserve">, Locally refined and raw maps for Class 1. Map labels are indicated above the map and particle count and average resolution as reported by cryoSPARC are shown below. </w:t>
      </w:r>
      <w:r w:rsidRPr="004036F0">
        <w:rPr>
          <w:rFonts w:eastAsia="Times New Roman" w:cs="Times New Roman"/>
          <w:b/>
          <w:sz w:val="24"/>
          <w:szCs w:val="24"/>
        </w:rPr>
        <w:t>f</w:t>
      </w:r>
      <w:r w:rsidRPr="004036F0">
        <w:rPr>
          <w:rFonts w:eastAsia="Times New Roman" w:cs="Times New Roman"/>
          <w:sz w:val="24"/>
          <w:szCs w:val="24"/>
        </w:rPr>
        <w:t xml:space="preserve">, Composite density map for Class 1 (Map1) colored by local resolution that was estimated in cryoSPARC. (left) Whole structure view. (right) Cross-sectional view. (bottom) key for local resolution coloring, ranging from 2.30 </w:t>
      </w:r>
      <w:r w:rsidRPr="004036F0">
        <w:rPr>
          <w:rFonts w:eastAsia="Times New Roman" w:cs="Times New Roman"/>
          <w:sz w:val="24"/>
          <w:szCs w:val="24"/>
          <w:highlight w:val="white"/>
        </w:rPr>
        <w:t>Å</w:t>
      </w:r>
      <w:r w:rsidRPr="004036F0">
        <w:rPr>
          <w:rFonts w:eastAsia="Times New Roman" w:cs="Times New Roman"/>
          <w:sz w:val="24"/>
          <w:szCs w:val="24"/>
        </w:rPr>
        <w:t xml:space="preserve"> (blue) to 4.10 </w:t>
      </w:r>
      <w:r w:rsidRPr="004036F0">
        <w:rPr>
          <w:rFonts w:eastAsia="Times New Roman" w:cs="Times New Roman"/>
          <w:sz w:val="24"/>
          <w:szCs w:val="24"/>
          <w:highlight w:val="white"/>
        </w:rPr>
        <w:t>Å</w:t>
      </w:r>
      <w:r w:rsidRPr="004036F0">
        <w:rPr>
          <w:rFonts w:eastAsia="Times New Roman" w:cs="Times New Roman"/>
          <w:sz w:val="24"/>
          <w:szCs w:val="24"/>
        </w:rPr>
        <w:t xml:space="preserve"> (red). </w:t>
      </w:r>
      <w:r w:rsidRPr="004036F0">
        <w:rPr>
          <w:rFonts w:eastAsia="Times New Roman" w:cs="Times New Roman"/>
          <w:b/>
          <w:sz w:val="24"/>
          <w:szCs w:val="24"/>
        </w:rPr>
        <w:t>g</w:t>
      </w:r>
      <w:r w:rsidRPr="004036F0">
        <w:rPr>
          <w:rFonts w:eastAsia="Times New Roman" w:cs="Times New Roman"/>
          <w:sz w:val="24"/>
          <w:szCs w:val="24"/>
        </w:rPr>
        <w:t xml:space="preserve">, Gold-standard FSC curve calculated in cryoSPARC for composite, locally refined, and raw maps for Class 1. The dotted line represents the 0.143 FSC cutoff. </w:t>
      </w:r>
      <w:r w:rsidRPr="004036F0">
        <w:rPr>
          <w:rFonts w:eastAsia="Times New Roman" w:cs="Times New Roman"/>
          <w:b/>
          <w:sz w:val="24"/>
          <w:szCs w:val="24"/>
        </w:rPr>
        <w:t>h</w:t>
      </w:r>
      <w:r w:rsidRPr="004036F0">
        <w:rPr>
          <w:rFonts w:eastAsia="Times New Roman" w:cs="Times New Roman"/>
          <w:sz w:val="24"/>
          <w:szCs w:val="24"/>
        </w:rPr>
        <w:t xml:space="preserve">, Directional 3DFSC calculated for Map1 (composite). </w:t>
      </w:r>
      <w:r w:rsidRPr="004036F0">
        <w:rPr>
          <w:rFonts w:eastAsia="Times New Roman" w:cs="Times New Roman"/>
          <w:b/>
          <w:sz w:val="24"/>
          <w:szCs w:val="24"/>
        </w:rPr>
        <w:t>i</w:t>
      </w:r>
      <w:r w:rsidRPr="004036F0">
        <w:rPr>
          <w:rFonts w:eastAsia="Times New Roman" w:cs="Times New Roman"/>
          <w:sz w:val="24"/>
          <w:szCs w:val="24"/>
        </w:rPr>
        <w:t xml:space="preserve">, Locally refined and raw maps for Class 2. Map label is indicated above the map and particle count and resolution are shown below. </w:t>
      </w:r>
      <w:r w:rsidRPr="004036F0">
        <w:rPr>
          <w:rFonts w:eastAsia="Times New Roman" w:cs="Times New Roman"/>
          <w:b/>
          <w:sz w:val="24"/>
          <w:szCs w:val="24"/>
        </w:rPr>
        <w:t>j</w:t>
      </w:r>
      <w:r w:rsidRPr="004036F0">
        <w:rPr>
          <w:rFonts w:eastAsia="Times New Roman" w:cs="Times New Roman"/>
          <w:sz w:val="24"/>
          <w:szCs w:val="24"/>
        </w:rPr>
        <w:t xml:space="preserve">, Composite density map for Class 2 (Map2) colored by local resolution that was estimated in cryoSPARC. (left) Whole structure view. (right) Cross-sectional view. (bottom) key for local resolution coloring, ranging from 2.30 </w:t>
      </w:r>
      <w:r w:rsidRPr="004036F0">
        <w:rPr>
          <w:rFonts w:eastAsia="Times New Roman" w:cs="Times New Roman"/>
          <w:sz w:val="24"/>
          <w:szCs w:val="24"/>
          <w:highlight w:val="white"/>
        </w:rPr>
        <w:t>Å</w:t>
      </w:r>
      <w:r w:rsidRPr="004036F0">
        <w:rPr>
          <w:rFonts w:eastAsia="Times New Roman" w:cs="Times New Roman"/>
          <w:sz w:val="24"/>
          <w:szCs w:val="24"/>
        </w:rPr>
        <w:t xml:space="preserve"> (blue) to 4.10 </w:t>
      </w:r>
      <w:r w:rsidRPr="004036F0">
        <w:rPr>
          <w:rFonts w:eastAsia="Times New Roman" w:cs="Times New Roman"/>
          <w:sz w:val="24"/>
          <w:szCs w:val="24"/>
          <w:highlight w:val="white"/>
        </w:rPr>
        <w:t>Å</w:t>
      </w:r>
      <w:r w:rsidRPr="004036F0">
        <w:rPr>
          <w:rFonts w:eastAsia="Times New Roman" w:cs="Times New Roman"/>
          <w:sz w:val="24"/>
          <w:szCs w:val="24"/>
        </w:rPr>
        <w:t xml:space="preserve"> (red). </w:t>
      </w:r>
      <w:r w:rsidRPr="004036F0">
        <w:rPr>
          <w:rFonts w:eastAsia="Times New Roman" w:cs="Times New Roman"/>
          <w:b/>
          <w:sz w:val="24"/>
          <w:szCs w:val="24"/>
        </w:rPr>
        <w:t>k</w:t>
      </w:r>
      <w:r w:rsidRPr="004036F0">
        <w:rPr>
          <w:rFonts w:eastAsia="Times New Roman" w:cs="Times New Roman"/>
          <w:sz w:val="24"/>
          <w:szCs w:val="24"/>
        </w:rPr>
        <w:t xml:space="preserve">, Gold-standard FSC curve calculated in cryoSPARC for composite, locally refined, and raw maps for Class 2. The dotted line represents the 0.143 FSC cutoff. </w:t>
      </w:r>
      <w:r w:rsidRPr="004036F0">
        <w:rPr>
          <w:rFonts w:eastAsia="Times New Roman" w:cs="Times New Roman"/>
          <w:b/>
          <w:sz w:val="24"/>
          <w:szCs w:val="24"/>
        </w:rPr>
        <w:t>l</w:t>
      </w:r>
      <w:r w:rsidRPr="004036F0">
        <w:rPr>
          <w:rFonts w:eastAsia="Times New Roman" w:cs="Times New Roman"/>
          <w:sz w:val="24"/>
          <w:szCs w:val="24"/>
        </w:rPr>
        <w:t>, Directional 3DFSC calculated for Map2 (composite).</w:t>
      </w:r>
      <w:r>
        <w:rPr>
          <w:rFonts w:eastAsia="Times New Roman" w:cs="Times New Roman"/>
          <w:b/>
          <w:sz w:val="24"/>
          <w:szCs w:val="24"/>
        </w:rPr>
        <w:br w:type="page"/>
      </w:r>
    </w:p>
    <w:p w14:paraId="4D367D40" w14:textId="77777777" w:rsidR="008607FB" w:rsidRPr="004036F0" w:rsidRDefault="008607FB" w:rsidP="008607FB">
      <w:pPr>
        <w:spacing w:line="480" w:lineRule="auto"/>
        <w:contextualSpacing/>
        <w:jc w:val="center"/>
        <w:rPr>
          <w:rFonts w:eastAsia="Times New Roman" w:cs="Times New Roman"/>
          <w:b/>
          <w:sz w:val="24"/>
          <w:szCs w:val="24"/>
        </w:rPr>
      </w:pPr>
      <w:r>
        <w:rPr>
          <w:rFonts w:eastAsia="Times New Roman" w:cs="Times New Roman"/>
          <w:b/>
          <w:noProof/>
          <w:sz w:val="24"/>
          <w:szCs w:val="24"/>
        </w:rPr>
        <w:lastRenderedPageBreak/>
        <w:drawing>
          <wp:inline distT="0" distB="0" distL="0" distR="0" wp14:anchorId="0C596146" wp14:editId="5BF58163">
            <wp:extent cx="5047861" cy="6821623"/>
            <wp:effectExtent l="0" t="0" r="0" b="0"/>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70978" cy="6852863"/>
                    </a:xfrm>
                    <a:prstGeom prst="rect">
                      <a:avLst/>
                    </a:prstGeom>
                  </pic:spPr>
                </pic:pic>
              </a:graphicData>
            </a:graphic>
          </wp:inline>
        </w:drawing>
      </w:r>
    </w:p>
    <w:p w14:paraId="3E6FDA2A" w14:textId="77777777" w:rsidR="008607FB" w:rsidRPr="004036F0"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rPr>
        <w:t>Extended Data Fig. 4: Representative density from areas at different resolutions and missing regions in our maps.</w:t>
      </w:r>
    </w:p>
    <w:p w14:paraId="641155E5" w14:textId="77777777" w:rsidR="008607FB"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xml:space="preserve">, Examples are shown from each subunit for Map0. Examples are arranged left to right from lower to higher resolution. </w:t>
      </w:r>
      <w:r w:rsidRPr="004036F0">
        <w:rPr>
          <w:rFonts w:eastAsia="Times New Roman" w:cs="Times New Roman"/>
          <w:b/>
          <w:sz w:val="24"/>
          <w:szCs w:val="24"/>
        </w:rPr>
        <w:t>b</w:t>
      </w:r>
      <w:r w:rsidRPr="004036F0">
        <w:rPr>
          <w:rFonts w:eastAsia="Times New Roman" w:cs="Times New Roman"/>
          <w:sz w:val="24"/>
          <w:szCs w:val="24"/>
        </w:rPr>
        <w:t xml:space="preserve">, Examples of ligand density from Map0. </w:t>
      </w:r>
      <w:r w:rsidRPr="004036F0">
        <w:rPr>
          <w:rFonts w:eastAsia="Times New Roman" w:cs="Times New Roman"/>
          <w:b/>
          <w:sz w:val="24"/>
          <w:szCs w:val="24"/>
        </w:rPr>
        <w:t>c</w:t>
      </w:r>
      <w:r w:rsidRPr="004036F0">
        <w:rPr>
          <w:rFonts w:eastAsia="Times New Roman" w:cs="Times New Roman"/>
          <w:sz w:val="24"/>
          <w:szCs w:val="24"/>
        </w:rPr>
        <w:t xml:space="preserve">, Examples of fits for LucB </w:t>
      </w:r>
      <w:r w:rsidRPr="004036F0">
        <w:rPr>
          <w:rFonts w:eastAsia="Times New Roman" w:cs="Times New Roman"/>
          <w:sz w:val="24"/>
          <w:szCs w:val="24"/>
        </w:rPr>
        <w:lastRenderedPageBreak/>
        <w:t xml:space="preserve">transmembrane helices (TM) from Map1. </w:t>
      </w:r>
      <w:r w:rsidRPr="004036F0">
        <w:rPr>
          <w:rFonts w:eastAsia="Times New Roman" w:cs="Times New Roman"/>
          <w:b/>
          <w:sz w:val="24"/>
          <w:szCs w:val="24"/>
        </w:rPr>
        <w:t>d</w:t>
      </w:r>
      <w:r w:rsidRPr="004036F0">
        <w:rPr>
          <w:rFonts w:eastAsia="Times New Roman" w:cs="Times New Roman"/>
          <w:sz w:val="24"/>
          <w:szCs w:val="24"/>
        </w:rPr>
        <w:t>, Missing regions in consensus composite density map (Map0). Map0 color-coded based on the key on the right. Regions of the proteins that were not resolvable in the cryo-EM map are indicated by dotted lines, drawn approximately to scale, and indicated in the chart.</w:t>
      </w:r>
      <w:r>
        <w:rPr>
          <w:rFonts w:eastAsia="Times New Roman" w:cs="Times New Roman"/>
          <w:sz w:val="24"/>
          <w:szCs w:val="24"/>
        </w:rPr>
        <w:br w:type="page"/>
      </w:r>
    </w:p>
    <w:p w14:paraId="08192DD4" w14:textId="77777777" w:rsidR="008607FB" w:rsidRPr="004036F0" w:rsidRDefault="008607FB" w:rsidP="008607FB">
      <w:pPr>
        <w:spacing w:line="480" w:lineRule="auto"/>
        <w:contextualSpacing/>
        <w:jc w:val="both"/>
        <w:rPr>
          <w:rFonts w:eastAsia="Times New Roman" w:cs="Times New Roman"/>
          <w:b/>
          <w:sz w:val="24"/>
          <w:szCs w:val="24"/>
        </w:rPr>
      </w:pPr>
      <w:r>
        <w:rPr>
          <w:rFonts w:eastAsia="Times New Roman" w:cs="Times New Roman"/>
          <w:b/>
          <w:noProof/>
          <w:sz w:val="24"/>
          <w:szCs w:val="24"/>
        </w:rPr>
        <w:lastRenderedPageBreak/>
        <w:drawing>
          <wp:inline distT="0" distB="0" distL="0" distR="0" wp14:anchorId="74718D53" wp14:editId="4347AB9A">
            <wp:extent cx="5943600" cy="2742565"/>
            <wp:effectExtent l="0" t="0" r="0" b="635"/>
            <wp:docPr id="16" name="Picture 16"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 timeli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742565"/>
                    </a:xfrm>
                    <a:prstGeom prst="rect">
                      <a:avLst/>
                    </a:prstGeom>
                  </pic:spPr>
                </pic:pic>
              </a:graphicData>
            </a:graphic>
          </wp:inline>
        </w:drawing>
      </w:r>
    </w:p>
    <w:p w14:paraId="48FFC640" w14:textId="77777777" w:rsidR="008607FB" w:rsidRPr="004036F0"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rPr>
        <w:t xml:space="preserve">Extended Data Fig. 5: Comparison of periplasm-spanning transporters in double-membraned bacteria. </w:t>
      </w:r>
    </w:p>
    <w:p w14:paraId="176573D9" w14:textId="77777777" w:rsidR="008607FB"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Protein complexes that span the cell envelope in Gram-negative bacteria</w:t>
      </w:r>
      <w:r w:rsidRPr="004036F0">
        <w:rPr>
          <w:rFonts w:eastAsia="Times New Roman" w:cs="Times New Roman"/>
          <w:i/>
          <w:sz w:val="24"/>
          <w:szCs w:val="24"/>
        </w:rPr>
        <w:t>.</w:t>
      </w:r>
      <w:r w:rsidRPr="004036F0">
        <w:rPr>
          <w:rFonts w:eastAsia="Times New Roman" w:cs="Times New Roman"/>
          <w:sz w:val="24"/>
          <w:szCs w:val="24"/>
        </w:rPr>
        <w:t xml:space="preserve"> (left) LPS exporter (modeled based on PDBs 6MIT</w:t>
      </w:r>
      <w:r w:rsidRPr="004036F0">
        <w:rPr>
          <w:rFonts w:eastAsia="Times New Roman" w:cs="Times New Roman"/>
          <w:color w:val="000000"/>
          <w:sz w:val="24"/>
          <w:szCs w:val="24"/>
          <w:vertAlign w:val="superscript"/>
        </w:rPr>
        <w:t>23</w:t>
      </w:r>
      <w:r w:rsidRPr="004036F0">
        <w:rPr>
          <w:rFonts w:eastAsia="Times New Roman" w:cs="Times New Roman"/>
          <w:sz w:val="24"/>
          <w:szCs w:val="24"/>
        </w:rPr>
        <w:t>, 2R19</w:t>
      </w:r>
      <w:r w:rsidRPr="004036F0">
        <w:rPr>
          <w:rFonts w:eastAsia="Times New Roman" w:cs="Times New Roman"/>
          <w:color w:val="000000"/>
          <w:sz w:val="24"/>
          <w:szCs w:val="24"/>
          <w:vertAlign w:val="superscript"/>
        </w:rPr>
        <w:t>66</w:t>
      </w:r>
      <w:r w:rsidRPr="004036F0">
        <w:rPr>
          <w:rFonts w:eastAsia="Times New Roman" w:cs="Times New Roman"/>
          <w:sz w:val="24"/>
          <w:szCs w:val="24"/>
        </w:rPr>
        <w:t>, 5IV9</w:t>
      </w:r>
      <w:r w:rsidRPr="004036F0">
        <w:rPr>
          <w:rFonts w:eastAsia="Times New Roman" w:cs="Times New Roman"/>
          <w:color w:val="000000"/>
          <w:sz w:val="24"/>
          <w:szCs w:val="24"/>
          <w:vertAlign w:val="superscript"/>
        </w:rPr>
        <w:t>67</w:t>
      </w:r>
      <w:r w:rsidRPr="004036F0">
        <w:rPr>
          <w:rFonts w:eastAsia="Times New Roman" w:cs="Times New Roman"/>
          <w:sz w:val="24"/>
          <w:szCs w:val="24"/>
        </w:rPr>
        <w:t>); (middle) MacAB-TolC efflux pump (PDB 5NIK</w:t>
      </w:r>
      <w:r w:rsidRPr="004036F0">
        <w:rPr>
          <w:rFonts w:eastAsia="Times New Roman" w:cs="Times New Roman"/>
          <w:color w:val="000000"/>
          <w:sz w:val="24"/>
          <w:szCs w:val="24"/>
          <w:vertAlign w:val="superscript"/>
        </w:rPr>
        <w:t>27</w:t>
      </w:r>
      <w:r w:rsidRPr="004036F0">
        <w:rPr>
          <w:rFonts w:eastAsia="Times New Roman" w:cs="Times New Roman"/>
          <w:sz w:val="24"/>
          <w:szCs w:val="24"/>
        </w:rPr>
        <w:t>); (right) LetAB transporter (PDB 6V0D</w:t>
      </w:r>
      <w:r w:rsidRPr="004036F0">
        <w:rPr>
          <w:rFonts w:eastAsia="Times New Roman" w:cs="Times New Roman"/>
          <w:color w:val="000000"/>
          <w:sz w:val="24"/>
          <w:szCs w:val="24"/>
          <w:vertAlign w:val="superscript"/>
        </w:rPr>
        <w:t>43</w:t>
      </w:r>
      <w:r w:rsidRPr="004036F0">
        <w:rPr>
          <w:rFonts w:eastAsia="Times New Roman" w:cs="Times New Roman"/>
          <w:sz w:val="24"/>
          <w:szCs w:val="24"/>
        </w:rPr>
        <w:t xml:space="preserve">). </w:t>
      </w:r>
      <w:r w:rsidRPr="004036F0">
        <w:rPr>
          <w:rFonts w:eastAsia="Times New Roman" w:cs="Times New Roman"/>
          <w:b/>
          <w:sz w:val="24"/>
          <w:szCs w:val="24"/>
        </w:rPr>
        <w:t xml:space="preserve">b, </w:t>
      </w:r>
      <w:r w:rsidRPr="004036F0">
        <w:rPr>
          <w:rFonts w:eastAsia="Times New Roman" w:cs="Times New Roman"/>
          <w:sz w:val="24"/>
          <w:szCs w:val="24"/>
        </w:rPr>
        <w:t xml:space="preserve">Structure of mycobacterial Mce1 transporter. </w:t>
      </w:r>
      <w:r>
        <w:rPr>
          <w:rFonts w:eastAsia="Times New Roman" w:cs="Times New Roman"/>
          <w:sz w:val="24"/>
          <w:szCs w:val="24"/>
        </w:rPr>
        <w:br w:type="page"/>
      </w:r>
    </w:p>
    <w:p w14:paraId="2A1A0335" w14:textId="77777777" w:rsidR="008607FB" w:rsidRPr="004036F0" w:rsidRDefault="008607FB" w:rsidP="008607FB">
      <w:pPr>
        <w:spacing w:line="480" w:lineRule="auto"/>
        <w:contextualSpacing/>
        <w:jc w:val="center"/>
        <w:rPr>
          <w:rFonts w:eastAsia="Times New Roman" w:cs="Times New Roman"/>
          <w:sz w:val="24"/>
          <w:szCs w:val="24"/>
        </w:rPr>
      </w:pPr>
      <w:r>
        <w:rPr>
          <w:rFonts w:eastAsia="Times New Roman" w:cs="Times New Roman"/>
          <w:noProof/>
          <w:sz w:val="24"/>
          <w:szCs w:val="24"/>
        </w:rPr>
        <w:lastRenderedPageBreak/>
        <w:drawing>
          <wp:inline distT="0" distB="0" distL="0" distR="0" wp14:anchorId="2F8F15ED" wp14:editId="1F48FCEA">
            <wp:extent cx="5887616" cy="6773903"/>
            <wp:effectExtent l="0" t="0" r="5715" b="0"/>
            <wp:docPr id="17" name="Picture 1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04061" cy="6792824"/>
                    </a:xfrm>
                    <a:prstGeom prst="rect">
                      <a:avLst/>
                    </a:prstGeom>
                  </pic:spPr>
                </pic:pic>
              </a:graphicData>
            </a:graphic>
          </wp:inline>
        </w:drawing>
      </w:r>
    </w:p>
    <w:p w14:paraId="42F9C4A5" w14:textId="77777777" w:rsidR="008607FB" w:rsidRPr="004036F0"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Extended Data Fig. 6: Structural features of Mce1ABCDEF portal and needle modules in the Mce1 complex.</w:t>
      </w:r>
    </w:p>
    <w:p w14:paraId="02F9D738" w14:textId="77777777" w:rsidR="008607FB"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xml:space="preserve">, Schematic of Mce1ABCDEF proteins showing boundaries for the transmembrane helix (TM), MCE domain (MCE), eight needle modules, and portal domain/C-terminus. </w:t>
      </w:r>
      <w:r w:rsidRPr="004036F0">
        <w:rPr>
          <w:rFonts w:eastAsia="Times New Roman" w:cs="Times New Roman"/>
          <w:b/>
          <w:sz w:val="24"/>
          <w:szCs w:val="24"/>
        </w:rPr>
        <w:t>b</w:t>
      </w:r>
      <w:r w:rsidRPr="004036F0">
        <w:rPr>
          <w:rFonts w:eastAsia="Times New Roman" w:cs="Times New Roman"/>
          <w:sz w:val="24"/>
          <w:szCs w:val="24"/>
        </w:rPr>
        <w:t xml:space="preserve">, C-termini of </w:t>
      </w:r>
      <w:r w:rsidRPr="004036F0">
        <w:rPr>
          <w:rFonts w:eastAsia="Times New Roman" w:cs="Times New Roman"/>
          <w:sz w:val="24"/>
          <w:szCs w:val="24"/>
        </w:rPr>
        <w:lastRenderedPageBreak/>
        <w:t xml:space="preserve">Mce1ABCDEF that form the portal domain as indicated in upper-left inset. Proteins are shown as transparent molecular surfaces and colored as in the key. Superimposed in each panel are the residues of the indicated protein, shown as cartoon. </w:t>
      </w:r>
      <w:r w:rsidRPr="004036F0">
        <w:rPr>
          <w:rFonts w:eastAsia="Times New Roman" w:cs="Times New Roman"/>
          <w:b/>
          <w:sz w:val="24"/>
          <w:szCs w:val="24"/>
        </w:rPr>
        <w:t>c</w:t>
      </w:r>
      <w:r w:rsidRPr="004036F0">
        <w:rPr>
          <w:rFonts w:eastAsia="Times New Roman" w:cs="Times New Roman"/>
          <w:sz w:val="24"/>
          <w:szCs w:val="24"/>
        </w:rPr>
        <w:t xml:space="preserve">, Structural alignment of the eight structural modules in PyMOL using ‘cealign’ command (Schrödinger, LLC.). Proteins are superimposed, and colored as in Extended Data Fig. 6a. </w:t>
      </w:r>
      <w:r w:rsidRPr="004036F0">
        <w:rPr>
          <w:rFonts w:eastAsia="Times New Roman" w:cs="Times New Roman"/>
          <w:b/>
          <w:sz w:val="24"/>
          <w:szCs w:val="24"/>
        </w:rPr>
        <w:t>d</w:t>
      </w:r>
      <w:r w:rsidRPr="004036F0">
        <w:rPr>
          <w:rFonts w:eastAsia="Times New Roman" w:cs="Times New Roman"/>
          <w:sz w:val="24"/>
          <w:szCs w:val="24"/>
        </w:rPr>
        <w:t>, Hydrophobicity and radius of tunnel in Mce1 needle calculated using MOLE 2.5</w:t>
      </w:r>
      <w:r w:rsidRPr="004036F0">
        <w:rPr>
          <w:rFonts w:eastAsia="Times New Roman" w:cs="Times New Roman"/>
          <w:color w:val="000000"/>
          <w:sz w:val="24"/>
          <w:szCs w:val="24"/>
          <w:vertAlign w:val="superscript"/>
        </w:rPr>
        <w:t>68</w:t>
      </w:r>
      <w:r w:rsidRPr="004036F0">
        <w:rPr>
          <w:rFonts w:eastAsia="Times New Roman" w:cs="Times New Roman"/>
          <w:sz w:val="24"/>
          <w:szCs w:val="24"/>
        </w:rPr>
        <w:t xml:space="preserve">. X-axis shows distance going down the tunnel (from left to right); Y-axis shows the distance away from the central axis of the tunnel. Plot shows hydrophobicity, where blue is hydrophilic and yellow is hydrophobic. </w:t>
      </w:r>
      <w:r>
        <w:rPr>
          <w:rFonts w:eastAsia="Times New Roman" w:cs="Times New Roman"/>
          <w:sz w:val="24"/>
          <w:szCs w:val="24"/>
        </w:rPr>
        <w:br w:type="page"/>
      </w:r>
    </w:p>
    <w:p w14:paraId="45C23AB0" w14:textId="77777777" w:rsidR="008607FB" w:rsidRPr="004036F0" w:rsidRDefault="008607FB" w:rsidP="008607FB">
      <w:pPr>
        <w:spacing w:line="480" w:lineRule="auto"/>
        <w:contextualSpacing/>
        <w:jc w:val="both"/>
        <w:rPr>
          <w:rFonts w:eastAsia="Times New Roman" w:cs="Times New Roman"/>
          <w:sz w:val="24"/>
          <w:szCs w:val="24"/>
        </w:rPr>
      </w:pPr>
      <w:r>
        <w:rPr>
          <w:rFonts w:eastAsia="Times New Roman" w:cs="Times New Roman"/>
          <w:noProof/>
          <w:sz w:val="24"/>
          <w:szCs w:val="24"/>
        </w:rPr>
        <w:lastRenderedPageBreak/>
        <w:drawing>
          <wp:inline distT="0" distB="0" distL="0" distR="0" wp14:anchorId="4E1B725A" wp14:editId="0DFEBC44">
            <wp:extent cx="5943600" cy="2466975"/>
            <wp:effectExtent l="0" t="0" r="0" b="0"/>
            <wp:docPr id="18" name="Picture 18"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466975"/>
                    </a:xfrm>
                    <a:prstGeom prst="rect">
                      <a:avLst/>
                    </a:prstGeom>
                  </pic:spPr>
                </pic:pic>
              </a:graphicData>
            </a:graphic>
          </wp:inline>
        </w:drawing>
      </w:r>
    </w:p>
    <w:p w14:paraId="47524662" w14:textId="77777777" w:rsidR="008607FB" w:rsidRPr="004036F0"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rPr>
        <w:t>Extended Data Fig. 7: Structural features of MCE domains.</w:t>
      </w:r>
    </w:p>
    <w:p w14:paraId="3A630348" w14:textId="77777777" w:rsidR="008607FB"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xml:space="preserve">, Structural alignment of Mce1 MCE domains color-coded based on key. Domains were aligned to the MCE domain of Mce1A. Pore-lining loops (PLLs) are circled. </w:t>
      </w:r>
      <w:r w:rsidRPr="004036F0">
        <w:rPr>
          <w:rFonts w:eastAsia="Times New Roman" w:cs="Times New Roman"/>
          <w:b/>
          <w:sz w:val="24"/>
          <w:szCs w:val="24"/>
        </w:rPr>
        <w:t>b</w:t>
      </w:r>
      <w:r w:rsidRPr="004036F0">
        <w:rPr>
          <w:rFonts w:eastAsia="Times New Roman" w:cs="Times New Roman"/>
          <w:sz w:val="24"/>
          <w:szCs w:val="24"/>
        </w:rPr>
        <w:t xml:space="preserve">, Protein sequence alignment of the MCE domains from </w:t>
      </w:r>
      <w:r w:rsidRPr="004036F0">
        <w:rPr>
          <w:rFonts w:eastAsia="Times New Roman" w:cs="Times New Roman"/>
          <w:i/>
          <w:sz w:val="24"/>
          <w:szCs w:val="24"/>
        </w:rPr>
        <w:t>Msmeg</w:t>
      </w:r>
      <w:r w:rsidRPr="004036F0">
        <w:rPr>
          <w:rFonts w:eastAsia="Times New Roman" w:cs="Times New Roman"/>
          <w:sz w:val="24"/>
          <w:szCs w:val="24"/>
        </w:rPr>
        <w:t xml:space="preserve"> Mce1 proteins using MUSCLE</w:t>
      </w:r>
      <w:r w:rsidRPr="004036F0">
        <w:rPr>
          <w:rFonts w:eastAsia="Times New Roman" w:cs="Times New Roman"/>
          <w:color w:val="000000"/>
          <w:sz w:val="24"/>
          <w:szCs w:val="24"/>
          <w:vertAlign w:val="superscript"/>
        </w:rPr>
        <w:t>69</w:t>
      </w:r>
      <w:r w:rsidRPr="004036F0">
        <w:rPr>
          <w:rFonts w:eastAsia="Times New Roman" w:cs="Times New Roman"/>
          <w:sz w:val="24"/>
          <w:szCs w:val="24"/>
        </w:rPr>
        <w:t xml:space="preserve"> and visualized using JalView</w:t>
      </w:r>
      <w:r w:rsidRPr="004036F0">
        <w:rPr>
          <w:rFonts w:eastAsia="Times New Roman" w:cs="Times New Roman"/>
          <w:color w:val="000000"/>
          <w:sz w:val="24"/>
          <w:szCs w:val="24"/>
          <w:vertAlign w:val="superscript"/>
        </w:rPr>
        <w:t>70</w:t>
      </w:r>
      <w:r w:rsidRPr="004036F0">
        <w:rPr>
          <w:rFonts w:eastAsia="Times New Roman" w:cs="Times New Roman"/>
          <w:sz w:val="24"/>
          <w:szCs w:val="24"/>
          <w:highlight w:val="white"/>
        </w:rPr>
        <w:t xml:space="preserve">. Sequence alignment is colored by BLOSUM62 score (not conserved, white; conserved, blue). </w:t>
      </w:r>
      <w:r w:rsidRPr="004036F0">
        <w:rPr>
          <w:rFonts w:eastAsia="Times New Roman" w:cs="Times New Roman"/>
          <w:sz w:val="24"/>
          <w:szCs w:val="24"/>
        </w:rPr>
        <w:t xml:space="preserve">PLL region is highlighted with black bracket and pore facing residues are indicated with black arrows. </w:t>
      </w:r>
      <w:r w:rsidRPr="004036F0">
        <w:rPr>
          <w:rFonts w:eastAsia="Times New Roman" w:cs="Times New Roman"/>
          <w:b/>
          <w:sz w:val="24"/>
          <w:szCs w:val="24"/>
        </w:rPr>
        <w:t>c</w:t>
      </w:r>
      <w:r w:rsidRPr="004036F0">
        <w:rPr>
          <w:rFonts w:eastAsia="Times New Roman" w:cs="Times New Roman"/>
          <w:sz w:val="24"/>
          <w:szCs w:val="24"/>
        </w:rPr>
        <w:t xml:space="preserve">, Gallery of Mce1 PPLs. Protein backbones are shown as cartoon tubes with residues shown as sticks and colored as Extended Data Fig. 7a. Cryo-EM density for the PLLs is shown as a grey transparent surface. Pore facing residues are annotated. </w:t>
      </w:r>
      <w:r>
        <w:rPr>
          <w:rFonts w:eastAsia="Times New Roman" w:cs="Times New Roman"/>
          <w:sz w:val="24"/>
          <w:szCs w:val="24"/>
        </w:rPr>
        <w:br w:type="page"/>
      </w:r>
    </w:p>
    <w:p w14:paraId="0381A74B" w14:textId="77777777" w:rsidR="008607FB" w:rsidRPr="004036F0" w:rsidRDefault="008607FB" w:rsidP="008607FB">
      <w:pPr>
        <w:spacing w:line="480" w:lineRule="auto"/>
        <w:contextualSpacing/>
        <w:jc w:val="both"/>
        <w:rPr>
          <w:rFonts w:eastAsia="Times New Roman" w:cs="Times New Roman"/>
          <w:sz w:val="24"/>
          <w:szCs w:val="24"/>
        </w:rPr>
      </w:pPr>
      <w:r>
        <w:rPr>
          <w:rFonts w:eastAsia="Times New Roman" w:cs="Times New Roman"/>
          <w:noProof/>
          <w:sz w:val="24"/>
          <w:szCs w:val="24"/>
        </w:rPr>
        <w:lastRenderedPageBreak/>
        <w:drawing>
          <wp:inline distT="0" distB="0" distL="0" distR="0" wp14:anchorId="008940D1" wp14:editId="2C8849AD">
            <wp:extent cx="5943600" cy="6494145"/>
            <wp:effectExtent l="0" t="0" r="0" b="0"/>
            <wp:docPr id="19" name="Picture 1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494145"/>
                    </a:xfrm>
                    <a:prstGeom prst="rect">
                      <a:avLst/>
                    </a:prstGeom>
                  </pic:spPr>
                </pic:pic>
              </a:graphicData>
            </a:graphic>
          </wp:inline>
        </w:drawing>
      </w:r>
    </w:p>
    <w:p w14:paraId="1FFB9C53" w14:textId="77777777" w:rsidR="008607FB" w:rsidRPr="004036F0"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rPr>
        <w:t>Extended Data Fig. 8: Structural features of ABC transporter transmembrane domains, YrbE1A and YrbE1B.</w:t>
      </w:r>
    </w:p>
    <w:p w14:paraId="12A8D8D9" w14:textId="77777777" w:rsidR="008607FB" w:rsidRPr="00386B85"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rPr>
        <w:t>a</w:t>
      </w:r>
      <w:r w:rsidRPr="004036F0">
        <w:rPr>
          <w:rFonts w:eastAsia="Times New Roman" w:cs="Times New Roman"/>
          <w:sz w:val="24"/>
          <w:szCs w:val="24"/>
        </w:rPr>
        <w:t xml:space="preserve">, 2D topology diagram of YrbE1A, Yrbe1B and </w:t>
      </w:r>
      <w:r w:rsidRPr="004036F0">
        <w:rPr>
          <w:rFonts w:eastAsia="Times New Roman" w:cs="Times New Roman"/>
          <w:i/>
          <w:sz w:val="24"/>
          <w:szCs w:val="24"/>
        </w:rPr>
        <w:t>E. coli</w:t>
      </w:r>
      <w:r w:rsidRPr="004036F0">
        <w:rPr>
          <w:rFonts w:eastAsia="Times New Roman" w:cs="Times New Roman"/>
          <w:sz w:val="24"/>
          <w:szCs w:val="24"/>
        </w:rPr>
        <w:t xml:space="preserve"> homolog MlaE (derived from PDB 6XBD</w:t>
      </w:r>
      <w:r w:rsidRPr="004036F0">
        <w:rPr>
          <w:rFonts w:eastAsia="Times New Roman" w:cs="Times New Roman"/>
          <w:color w:val="000000"/>
          <w:sz w:val="24"/>
          <w:szCs w:val="24"/>
          <w:vertAlign w:val="superscript"/>
        </w:rPr>
        <w:t>46</w:t>
      </w:r>
      <w:r w:rsidRPr="004036F0">
        <w:rPr>
          <w:rFonts w:eastAsia="Times New Roman" w:cs="Times New Roman"/>
          <w:sz w:val="24"/>
          <w:szCs w:val="24"/>
        </w:rPr>
        <w:t xml:space="preserve">). CH, coupling helix; PH, periplasmic helix; IF, interfacial helix; TM, transmembrane </w:t>
      </w:r>
      <w:r w:rsidRPr="004036F0">
        <w:rPr>
          <w:rFonts w:eastAsia="Times New Roman" w:cs="Times New Roman"/>
          <w:sz w:val="24"/>
          <w:szCs w:val="24"/>
        </w:rPr>
        <w:lastRenderedPageBreak/>
        <w:t xml:space="preserve">helix. </w:t>
      </w:r>
      <w:r w:rsidRPr="004036F0">
        <w:rPr>
          <w:rFonts w:eastAsia="Times New Roman" w:cs="Times New Roman"/>
          <w:b/>
          <w:sz w:val="24"/>
          <w:szCs w:val="24"/>
        </w:rPr>
        <w:t>b</w:t>
      </w:r>
      <w:r w:rsidRPr="004036F0">
        <w:rPr>
          <w:rFonts w:eastAsia="Times New Roman" w:cs="Times New Roman"/>
          <w:sz w:val="24"/>
          <w:szCs w:val="24"/>
        </w:rPr>
        <w:t xml:space="preserve">, Structures of YrbE1A, YrbE1B and MlaE. YrbE1A and YrbE1B form a heterodimer, while MlaE forms a homodimer. One protomer is shown as a cartoon and the other as a molecular surface in each representation. </w:t>
      </w:r>
      <w:r w:rsidRPr="004036F0">
        <w:rPr>
          <w:rFonts w:eastAsia="Times New Roman" w:cs="Times New Roman"/>
          <w:b/>
          <w:sz w:val="24"/>
          <w:szCs w:val="24"/>
        </w:rPr>
        <w:t>c</w:t>
      </w:r>
      <w:r w:rsidRPr="004036F0">
        <w:rPr>
          <w:rFonts w:eastAsia="Times New Roman" w:cs="Times New Roman"/>
          <w:sz w:val="24"/>
          <w:szCs w:val="24"/>
        </w:rPr>
        <w:t xml:space="preserve">, View of Mce1 IM complex as indicated by inset on upper-left. Model colored as in the key. The C-terminus of YrbE1B (residues 280-289) is shown as spheres. Grey-dotted lines indicate the MCE ring tilt relative to YrbE1B. </w:t>
      </w:r>
      <w:r w:rsidRPr="004036F0">
        <w:rPr>
          <w:rFonts w:eastAsia="Times New Roman" w:cs="Times New Roman"/>
          <w:b/>
          <w:sz w:val="24"/>
          <w:szCs w:val="24"/>
        </w:rPr>
        <w:t>d</w:t>
      </w:r>
      <w:r w:rsidRPr="004036F0">
        <w:rPr>
          <w:rFonts w:eastAsia="Times New Roman" w:cs="Times New Roman"/>
          <w:sz w:val="24"/>
          <w:szCs w:val="24"/>
        </w:rPr>
        <w:t>, Zoom-in view of region boxed in Extended Data Fig. 8c, oriented as indicated by inset, highlighting interaction between YrbE1B C-terminus and Mce1F PLL. Proteins are shown as cartoon ribbons and colored as Extended Data Fig. 8c. Model is superimposed on cryo-EM density (shown as a transparent grey surface) for the YrbE1B C-terminus (chain J, residues 280-289) and Mce1F PLL (chain F, residues 99-110). Hydrogen bonds are shown as cyan dotted lines.</w:t>
      </w:r>
      <w:r>
        <w:rPr>
          <w:rFonts w:eastAsia="Times New Roman" w:cs="Times New Roman"/>
          <w:sz w:val="24"/>
          <w:szCs w:val="24"/>
          <w:highlight w:val="white"/>
        </w:rPr>
        <w:br w:type="page"/>
      </w:r>
    </w:p>
    <w:p w14:paraId="7293B540" w14:textId="77777777" w:rsidR="008607FB" w:rsidRPr="004036F0" w:rsidRDefault="008607FB" w:rsidP="008607FB">
      <w:pPr>
        <w:spacing w:line="480" w:lineRule="auto"/>
        <w:contextualSpacing/>
        <w:jc w:val="center"/>
        <w:rPr>
          <w:rFonts w:eastAsia="Times New Roman" w:cs="Times New Roman"/>
          <w:sz w:val="24"/>
          <w:szCs w:val="24"/>
          <w:highlight w:val="white"/>
        </w:rPr>
      </w:pPr>
      <w:r>
        <w:rPr>
          <w:rFonts w:eastAsia="Times New Roman" w:cs="Times New Roman"/>
          <w:noProof/>
          <w:sz w:val="24"/>
          <w:szCs w:val="24"/>
        </w:rPr>
        <w:lastRenderedPageBreak/>
        <w:drawing>
          <wp:inline distT="0" distB="0" distL="0" distR="0" wp14:anchorId="037F2AB9" wp14:editId="4096B504">
            <wp:extent cx="5943600" cy="3901440"/>
            <wp:effectExtent l="0" t="0" r="0" b="0"/>
            <wp:docPr id="20" name="Picture 2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graphical user inter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01440"/>
                    </a:xfrm>
                    <a:prstGeom prst="rect">
                      <a:avLst/>
                    </a:prstGeom>
                  </pic:spPr>
                </pic:pic>
              </a:graphicData>
            </a:graphic>
          </wp:inline>
        </w:drawing>
      </w:r>
    </w:p>
    <w:p w14:paraId="279D4FD6" w14:textId="77777777" w:rsidR="008607FB" w:rsidRPr="004036F0" w:rsidRDefault="008607FB" w:rsidP="008607FB">
      <w:pPr>
        <w:spacing w:line="480" w:lineRule="auto"/>
        <w:contextualSpacing/>
        <w:jc w:val="both"/>
        <w:rPr>
          <w:rFonts w:eastAsia="Times New Roman" w:cs="Times New Roman"/>
          <w:sz w:val="24"/>
          <w:szCs w:val="24"/>
          <w:highlight w:val="white"/>
        </w:rPr>
      </w:pPr>
      <w:r w:rsidRPr="004036F0">
        <w:rPr>
          <w:rFonts w:eastAsia="Times New Roman" w:cs="Times New Roman"/>
          <w:b/>
          <w:sz w:val="24"/>
          <w:szCs w:val="24"/>
        </w:rPr>
        <w:t>Extended Data Fig. 9: LucB pulldown, purification and mass spectrometry results.</w:t>
      </w:r>
    </w:p>
    <w:p w14:paraId="590C9AAF" w14:textId="77777777" w:rsidR="008607FB"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xml:space="preserve">, (left) Stain-free SDS-PAGE of LucB-GFP pulldown in </w:t>
      </w:r>
      <w:r w:rsidRPr="004036F0">
        <w:rPr>
          <w:rFonts w:eastAsia="Times New Roman" w:cs="Times New Roman"/>
          <w:sz w:val="24"/>
          <w:szCs w:val="24"/>
          <w:highlight w:val="white"/>
        </w:rPr>
        <w:t>n-</w:t>
      </w:r>
      <w:r w:rsidRPr="004036F0">
        <w:rPr>
          <w:rFonts w:eastAsia="Times New Roman" w:cs="Times New Roman"/>
          <w:sz w:val="24"/>
          <w:szCs w:val="24"/>
        </w:rPr>
        <w:t>dodecyl-β-D-maltoside (DDM). (right) Western blot using an anti-GFP antibody against purified LucB-GFP. Band for LucB-GFP indicated by pink label.</w:t>
      </w:r>
      <w:r w:rsidRPr="004036F0">
        <w:rPr>
          <w:rFonts w:eastAsia="Times New Roman" w:cs="Times New Roman"/>
          <w:sz w:val="24"/>
          <w:szCs w:val="24"/>
          <w:highlight w:val="white"/>
        </w:rPr>
        <w:t xml:space="preserve"> </w:t>
      </w:r>
      <w:r w:rsidRPr="004036F0">
        <w:rPr>
          <w:rFonts w:eastAsia="Times New Roman" w:cs="Times New Roman"/>
          <w:b/>
          <w:sz w:val="24"/>
          <w:szCs w:val="24"/>
          <w:highlight w:val="white"/>
        </w:rPr>
        <w:t>b</w:t>
      </w:r>
      <w:r w:rsidRPr="004036F0">
        <w:rPr>
          <w:rFonts w:eastAsia="Times New Roman" w:cs="Times New Roman"/>
          <w:sz w:val="24"/>
          <w:szCs w:val="24"/>
          <w:highlight w:val="white"/>
        </w:rPr>
        <w:t xml:space="preserve">, </w:t>
      </w:r>
      <w:r w:rsidRPr="004036F0">
        <w:rPr>
          <w:rFonts w:eastAsia="Times New Roman" w:cs="Times New Roman"/>
          <w:sz w:val="24"/>
          <w:szCs w:val="24"/>
        </w:rPr>
        <w:t xml:space="preserve">Size exclusion chromatogram of LucB-GFP pulldown (pink line) superimposed with protein standards (grey dotted line). Black arrow indicates protein sample further analyzed by negative stain electron microscopy Extended Data Fig. 9c,d and mass spectrometry Extended Data Fig. 9e. </w:t>
      </w:r>
      <w:r w:rsidRPr="004036F0">
        <w:rPr>
          <w:rFonts w:eastAsia="Times New Roman" w:cs="Times New Roman"/>
          <w:b/>
          <w:sz w:val="24"/>
          <w:szCs w:val="24"/>
        </w:rPr>
        <w:t>c</w:t>
      </w:r>
      <w:r w:rsidRPr="004036F0">
        <w:rPr>
          <w:rFonts w:eastAsia="Times New Roman" w:cs="Times New Roman"/>
          <w:sz w:val="24"/>
          <w:szCs w:val="24"/>
        </w:rPr>
        <w:t xml:space="preserve">, Negative stain electron microscopy micrograph of purified LucB-GFP. Particles of interest, which resemble the Mce1 complex, are circled in white. </w:t>
      </w:r>
      <w:r w:rsidRPr="004036F0">
        <w:rPr>
          <w:rFonts w:eastAsia="Times New Roman" w:cs="Times New Roman"/>
          <w:b/>
          <w:sz w:val="24"/>
          <w:szCs w:val="24"/>
        </w:rPr>
        <w:t>d</w:t>
      </w:r>
      <w:r w:rsidRPr="004036F0">
        <w:rPr>
          <w:rFonts w:eastAsia="Times New Roman" w:cs="Times New Roman"/>
          <w:sz w:val="24"/>
          <w:szCs w:val="24"/>
        </w:rPr>
        <w:t xml:space="preserve">, 2D class average of ‘MCE-like’ particles from negative stain electron microscopy of endogenously purified LucB-GFP. Scale bar, 20 nm. </w:t>
      </w:r>
      <w:r w:rsidRPr="004036F0">
        <w:rPr>
          <w:rFonts w:eastAsia="Times New Roman" w:cs="Times New Roman"/>
          <w:b/>
          <w:sz w:val="24"/>
          <w:szCs w:val="24"/>
        </w:rPr>
        <w:t>e</w:t>
      </w:r>
      <w:r w:rsidRPr="004036F0">
        <w:rPr>
          <w:rFonts w:eastAsia="Times New Roman" w:cs="Times New Roman"/>
          <w:sz w:val="24"/>
          <w:szCs w:val="24"/>
        </w:rPr>
        <w:t xml:space="preserve">, Plot of proteins identified by mass spectrometry that co-purify with LucB-GFP. Each point corresponds to an individual protein plotted by fold change difference after purification of LucB-GFP from </w:t>
      </w:r>
      <w:r w:rsidRPr="004036F0">
        <w:rPr>
          <w:rFonts w:eastAsia="Times New Roman" w:cs="Times New Roman"/>
          <w:i/>
          <w:sz w:val="24"/>
          <w:szCs w:val="24"/>
        </w:rPr>
        <w:t>Msmeg</w:t>
      </w:r>
      <w:r w:rsidRPr="004036F0">
        <w:rPr>
          <w:rFonts w:eastAsia="Times New Roman" w:cs="Times New Roman"/>
          <w:sz w:val="24"/>
          <w:szCs w:val="24"/>
        </w:rPr>
        <w:t xml:space="preserve"> strain harboring tagged LucB versus </w:t>
      </w:r>
      <w:r w:rsidRPr="004036F0">
        <w:rPr>
          <w:rFonts w:eastAsia="Times New Roman" w:cs="Times New Roman"/>
          <w:sz w:val="24"/>
          <w:szCs w:val="24"/>
        </w:rPr>
        <w:lastRenderedPageBreak/>
        <w:t xml:space="preserve">control wild-type </w:t>
      </w:r>
      <w:r w:rsidRPr="004036F0">
        <w:rPr>
          <w:rFonts w:eastAsia="Times New Roman" w:cs="Times New Roman"/>
          <w:i/>
          <w:sz w:val="24"/>
          <w:szCs w:val="24"/>
        </w:rPr>
        <w:t>Msmeg</w:t>
      </w:r>
      <w:r w:rsidRPr="004036F0">
        <w:rPr>
          <w:rFonts w:eastAsia="Times New Roman" w:cs="Times New Roman"/>
          <w:sz w:val="24"/>
          <w:szCs w:val="24"/>
        </w:rPr>
        <w:t xml:space="preserve"> mc</w:t>
      </w:r>
      <w:r w:rsidRPr="004036F0">
        <w:rPr>
          <w:rFonts w:eastAsia="Times New Roman" w:cs="Times New Roman"/>
          <w:sz w:val="24"/>
          <w:szCs w:val="24"/>
          <w:vertAlign w:val="superscript"/>
        </w:rPr>
        <w:t>2</w:t>
      </w:r>
      <w:r w:rsidRPr="004036F0">
        <w:rPr>
          <w:rFonts w:eastAsia="Times New Roman" w:cs="Times New Roman"/>
          <w:sz w:val="24"/>
          <w:szCs w:val="24"/>
        </w:rPr>
        <w:t>155 (x-axis) and the probability that a protein is a LucB interactor (SAINT score; y-axis). SAINT score = 1 identifies proteins with the highest probability of being a LucB interactor</w:t>
      </w:r>
      <w:r w:rsidRPr="007E4756">
        <w:rPr>
          <w:rFonts w:eastAsia="Times New Roman" w:cs="Times New Roman"/>
          <w:sz w:val="24"/>
          <w:szCs w:val="24"/>
          <w:vertAlign w:val="superscript"/>
        </w:rPr>
        <w:t>59</w:t>
      </w:r>
      <w:r w:rsidRPr="004036F0">
        <w:rPr>
          <w:rFonts w:eastAsia="Times New Roman" w:cs="Times New Roman"/>
          <w:sz w:val="24"/>
          <w:szCs w:val="24"/>
        </w:rPr>
        <w:t>. SAINT score ≥ 0.67 yielded an FDR (false discovery rate) of ≤ 5% as indicated by the purple dotted line. Proteins related to the mycobacterial MCE systems are highlighted and annotated: Mce1 proteins (red upside-down triangles), Mce4 proteins (sky blue triangles), orphaned MCE proteins (orange upside-down triangle), MceG (green diamond). Proteins outside of these systems are shown as grey dots. Plotted data are from three biological replicates (</w:t>
      </w:r>
      <w:r w:rsidRPr="004036F0">
        <w:rPr>
          <w:rFonts w:eastAsia="Times New Roman" w:cs="Times New Roman"/>
          <w:i/>
          <w:sz w:val="24"/>
          <w:szCs w:val="24"/>
        </w:rPr>
        <w:t>n</w:t>
      </w:r>
      <w:r w:rsidRPr="004036F0">
        <w:rPr>
          <w:rFonts w:eastAsia="Times New Roman" w:cs="Times New Roman"/>
          <w:sz w:val="24"/>
          <w:szCs w:val="24"/>
        </w:rPr>
        <w:t xml:space="preserve"> = 3).</w:t>
      </w:r>
      <w:r>
        <w:rPr>
          <w:rFonts w:eastAsia="Times New Roman" w:cs="Times New Roman"/>
          <w:sz w:val="24"/>
          <w:szCs w:val="24"/>
        </w:rPr>
        <w:br w:type="page"/>
      </w:r>
    </w:p>
    <w:p w14:paraId="53971286" w14:textId="77777777" w:rsidR="008607FB" w:rsidRPr="004036F0" w:rsidRDefault="008607FB" w:rsidP="008607FB">
      <w:pPr>
        <w:spacing w:line="480" w:lineRule="auto"/>
        <w:contextualSpacing/>
        <w:jc w:val="center"/>
        <w:rPr>
          <w:rFonts w:eastAsia="Times New Roman" w:cs="Times New Roman"/>
          <w:sz w:val="24"/>
          <w:szCs w:val="24"/>
        </w:rPr>
      </w:pPr>
      <w:r>
        <w:rPr>
          <w:rFonts w:eastAsia="Times New Roman" w:cs="Times New Roman"/>
          <w:noProof/>
          <w:sz w:val="24"/>
          <w:szCs w:val="24"/>
        </w:rPr>
        <w:lastRenderedPageBreak/>
        <w:drawing>
          <wp:inline distT="0" distB="0" distL="0" distR="0" wp14:anchorId="70AB2651" wp14:editId="70E9DB12">
            <wp:extent cx="5943600" cy="5346700"/>
            <wp:effectExtent l="0" t="0" r="0" b="0"/>
            <wp:docPr id="21" name="Picture 21" descr="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sunburst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346700"/>
                    </a:xfrm>
                    <a:prstGeom prst="rect">
                      <a:avLst/>
                    </a:prstGeom>
                  </pic:spPr>
                </pic:pic>
              </a:graphicData>
            </a:graphic>
          </wp:inline>
        </w:drawing>
      </w:r>
    </w:p>
    <w:p w14:paraId="65AE8E8C" w14:textId="77777777" w:rsidR="008607FB" w:rsidRPr="004036F0"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Extended Data Fig. 10: LucB orthologs are found in other bacteria with MCE systems.</w:t>
      </w:r>
    </w:p>
    <w:p w14:paraId="749F71F7" w14:textId="77777777" w:rsidR="008607FB" w:rsidRPr="003D033D" w:rsidRDefault="008607FB" w:rsidP="008607FB">
      <w:pPr>
        <w:spacing w:line="480" w:lineRule="auto"/>
        <w:contextualSpacing/>
        <w:jc w:val="both"/>
        <w:rPr>
          <w:rFonts w:eastAsia="Times New Roman" w:cs="Times New Roman"/>
          <w:sz w:val="24"/>
          <w:szCs w:val="24"/>
        </w:rPr>
      </w:pPr>
      <w:r w:rsidRPr="004036F0">
        <w:rPr>
          <w:rFonts w:eastAsia="Times New Roman" w:cs="Times New Roman"/>
          <w:b/>
          <w:sz w:val="24"/>
          <w:szCs w:val="24"/>
        </w:rPr>
        <w:t>a</w:t>
      </w:r>
      <w:r w:rsidRPr="004036F0">
        <w:rPr>
          <w:rFonts w:eastAsia="Times New Roman" w:cs="Times New Roman"/>
          <w:sz w:val="24"/>
          <w:szCs w:val="24"/>
        </w:rPr>
        <w:t>, (left) 2D topology diagram of LucB. (right) Protein sequence alignment of LucB orthologs from fifteen different mycobacterial species generated using MUSCLE</w:t>
      </w:r>
      <w:r w:rsidRPr="004036F0">
        <w:rPr>
          <w:rFonts w:eastAsia="Times New Roman" w:cs="Times New Roman"/>
          <w:color w:val="000000"/>
          <w:sz w:val="24"/>
          <w:szCs w:val="24"/>
          <w:vertAlign w:val="superscript"/>
        </w:rPr>
        <w:t>69</w:t>
      </w:r>
      <w:r w:rsidRPr="004036F0">
        <w:rPr>
          <w:rFonts w:eastAsia="Times New Roman" w:cs="Times New Roman"/>
          <w:sz w:val="24"/>
          <w:szCs w:val="24"/>
        </w:rPr>
        <w:t xml:space="preserve"> and visualized using JalView</w:t>
      </w:r>
      <w:r w:rsidRPr="004036F0">
        <w:rPr>
          <w:rFonts w:eastAsia="Times New Roman" w:cs="Times New Roman"/>
          <w:color w:val="000000"/>
          <w:sz w:val="24"/>
          <w:szCs w:val="24"/>
          <w:vertAlign w:val="superscript"/>
        </w:rPr>
        <w:t>70</w:t>
      </w:r>
      <w:r w:rsidRPr="004036F0">
        <w:rPr>
          <w:rFonts w:eastAsia="Times New Roman" w:cs="Times New Roman"/>
          <w:sz w:val="24"/>
          <w:szCs w:val="24"/>
          <w:highlight w:val="white"/>
        </w:rPr>
        <w:t>. Sequence alignment is colored by percent identity (not identical, white; identical, blue). TMs are depicted above and residues that interact with Mce1C are highlighted below with asterisks.</w:t>
      </w:r>
      <w:r w:rsidRPr="004036F0">
        <w:rPr>
          <w:rFonts w:eastAsia="Times New Roman" w:cs="Times New Roman"/>
          <w:sz w:val="24"/>
          <w:szCs w:val="24"/>
        </w:rPr>
        <w:t xml:space="preserve"> </w:t>
      </w:r>
      <w:r w:rsidRPr="004036F0">
        <w:rPr>
          <w:rFonts w:eastAsia="Times New Roman" w:cs="Times New Roman"/>
          <w:b/>
          <w:sz w:val="24"/>
          <w:szCs w:val="24"/>
        </w:rPr>
        <w:t>b</w:t>
      </w:r>
      <w:r w:rsidRPr="004036F0">
        <w:rPr>
          <w:rFonts w:eastAsia="Times New Roman" w:cs="Times New Roman"/>
          <w:sz w:val="24"/>
          <w:szCs w:val="24"/>
        </w:rPr>
        <w:t>, Circular phylogenetic tree showing spread of orthologs of LucB in other bacteria. LucB orthologs were compiled from eggNOG v5.0</w:t>
      </w:r>
      <w:r w:rsidRPr="004036F0">
        <w:rPr>
          <w:rFonts w:eastAsia="Times New Roman" w:cs="Times New Roman"/>
          <w:color w:val="000000"/>
          <w:sz w:val="24"/>
          <w:szCs w:val="24"/>
          <w:vertAlign w:val="superscript"/>
        </w:rPr>
        <w:t>71</w:t>
      </w:r>
      <w:r w:rsidRPr="004036F0">
        <w:rPr>
          <w:rFonts w:eastAsia="Times New Roman" w:cs="Times New Roman"/>
          <w:sz w:val="24"/>
          <w:szCs w:val="24"/>
        </w:rPr>
        <w:t xml:space="preserve"> and AlphaFold Protein Structure Database</w:t>
      </w:r>
      <w:r w:rsidRPr="004036F0">
        <w:rPr>
          <w:rFonts w:eastAsia="Times New Roman" w:cs="Times New Roman"/>
          <w:color w:val="000000"/>
          <w:sz w:val="24"/>
          <w:szCs w:val="24"/>
          <w:vertAlign w:val="superscript"/>
        </w:rPr>
        <w:t>56</w:t>
      </w:r>
      <w:r w:rsidRPr="004036F0">
        <w:rPr>
          <w:rFonts w:eastAsia="Times New Roman" w:cs="Times New Roman"/>
          <w:sz w:val="24"/>
          <w:szCs w:val="24"/>
        </w:rPr>
        <w:t>. Protein sequences were aligned to generate a phylogenetic tree using MUSCLE</w:t>
      </w:r>
      <w:r w:rsidRPr="004036F0">
        <w:rPr>
          <w:rFonts w:eastAsia="Times New Roman" w:cs="Times New Roman"/>
          <w:color w:val="000000"/>
          <w:sz w:val="24"/>
          <w:szCs w:val="24"/>
          <w:vertAlign w:val="superscript"/>
        </w:rPr>
        <w:t>69</w:t>
      </w:r>
      <w:r w:rsidRPr="004036F0">
        <w:rPr>
          <w:rFonts w:eastAsia="Times New Roman" w:cs="Times New Roman"/>
          <w:sz w:val="24"/>
          <w:szCs w:val="24"/>
        </w:rPr>
        <w:t xml:space="preserve"> and the tree was </w:t>
      </w:r>
      <w:r w:rsidRPr="004036F0">
        <w:rPr>
          <w:rFonts w:eastAsia="Times New Roman" w:cs="Times New Roman"/>
          <w:sz w:val="24"/>
          <w:szCs w:val="24"/>
        </w:rPr>
        <w:lastRenderedPageBreak/>
        <w:t>visualized in ITOL</w:t>
      </w:r>
      <w:r w:rsidRPr="004036F0">
        <w:rPr>
          <w:rFonts w:eastAsia="Times New Roman" w:cs="Times New Roman"/>
          <w:color w:val="000000"/>
          <w:sz w:val="24"/>
          <w:szCs w:val="24"/>
          <w:vertAlign w:val="superscript"/>
        </w:rPr>
        <w:t>72</w:t>
      </w:r>
      <w:r w:rsidRPr="004036F0">
        <w:rPr>
          <w:rFonts w:eastAsia="Times New Roman" w:cs="Times New Roman"/>
          <w:sz w:val="24"/>
          <w:szCs w:val="24"/>
        </w:rPr>
        <w:t>. Leaves indicate individual species and are colored by bacterial family: Mycobacteriaceae (red), Intrasporangiaceae (yellow), Pseudonocardiaceae (green), Tsukamurellaceae (cyan), Nocardiaceae (blue), Gordoniaceae (purple). Tree scale indicated on bottom right.</w:t>
      </w:r>
      <w:r>
        <w:rPr>
          <w:rFonts w:eastAsia="Times New Roman" w:cs="Times New Roman"/>
          <w:b/>
          <w:bCs/>
          <w:sz w:val="24"/>
          <w:szCs w:val="24"/>
        </w:rPr>
        <w:br w:type="page"/>
      </w:r>
    </w:p>
    <w:p w14:paraId="23E3FA28" w14:textId="77777777" w:rsidR="008607FB" w:rsidRPr="001F52FC" w:rsidRDefault="008607FB" w:rsidP="008607FB">
      <w:pPr>
        <w:keepNext/>
        <w:spacing w:line="480" w:lineRule="auto"/>
        <w:contextualSpacing/>
        <w:jc w:val="both"/>
        <w:rPr>
          <w:rFonts w:eastAsia="Times New Roman" w:cs="Times New Roman"/>
          <w:b/>
          <w:bCs/>
          <w:sz w:val="24"/>
          <w:szCs w:val="24"/>
        </w:rPr>
      </w:pPr>
      <w:r w:rsidRPr="001F52FC">
        <w:rPr>
          <w:rFonts w:eastAsia="Times New Roman" w:cs="Times New Roman"/>
          <w:b/>
          <w:bCs/>
          <w:sz w:val="24"/>
          <w:szCs w:val="24"/>
        </w:rPr>
        <w:lastRenderedPageBreak/>
        <w:t>Supplementary Information</w:t>
      </w:r>
    </w:p>
    <w:p w14:paraId="7C0099E2" w14:textId="77777777" w:rsidR="008607FB" w:rsidRPr="004036F0" w:rsidRDefault="008607FB" w:rsidP="008607FB">
      <w:pPr>
        <w:keepNext/>
        <w:spacing w:line="480" w:lineRule="auto"/>
        <w:contextualSpacing/>
        <w:jc w:val="both"/>
        <w:rPr>
          <w:rFonts w:eastAsia="Times New Roman" w:cs="Times New Roman"/>
          <w:b/>
          <w:sz w:val="24"/>
          <w:szCs w:val="24"/>
        </w:rPr>
      </w:pPr>
      <w:r w:rsidRPr="004036F0">
        <w:rPr>
          <w:rFonts w:eastAsia="Times New Roman" w:cs="Times New Roman"/>
          <w:b/>
          <w:sz w:val="24"/>
          <w:szCs w:val="24"/>
          <w:highlight w:val="white"/>
        </w:rPr>
        <w:t>Supplementary Table</w:t>
      </w:r>
      <w:r w:rsidRPr="004036F0">
        <w:rPr>
          <w:rFonts w:eastAsia="Times New Roman" w:cs="Times New Roman"/>
          <w:b/>
          <w:sz w:val="24"/>
          <w:szCs w:val="24"/>
        </w:rPr>
        <w:t xml:space="preserve"> 1. Chart of bacterial strains and constructs.</w:t>
      </w:r>
    </w:p>
    <w:p w14:paraId="3E1C6CA3" w14:textId="77777777" w:rsidR="008607FB" w:rsidRPr="004036F0" w:rsidRDefault="008607FB" w:rsidP="008607FB">
      <w:pPr>
        <w:keepNext/>
        <w:spacing w:line="480" w:lineRule="auto"/>
        <w:contextualSpacing/>
        <w:jc w:val="both"/>
        <w:rPr>
          <w:rFonts w:eastAsia="Times New Roman" w:cs="Times New Roman"/>
          <w:b/>
          <w:sz w:val="24"/>
          <w:szCs w:val="24"/>
          <w:highlight w:val="white"/>
        </w:rPr>
      </w:pPr>
      <w:r w:rsidRPr="004036F0">
        <w:rPr>
          <w:rFonts w:eastAsia="Times New Roman" w:cs="Times New Roman"/>
          <w:b/>
          <w:sz w:val="24"/>
          <w:szCs w:val="24"/>
          <w:highlight w:val="white"/>
        </w:rPr>
        <w:t xml:space="preserve">Supplementary Table 2. Peptide spectral matches for </w:t>
      </w:r>
      <w:r w:rsidRPr="004036F0">
        <w:rPr>
          <w:rFonts w:eastAsia="Times New Roman" w:cs="Times New Roman"/>
          <w:b/>
          <w:i/>
          <w:sz w:val="24"/>
          <w:szCs w:val="24"/>
          <w:highlight w:val="white"/>
        </w:rPr>
        <w:t>Msmeg</w:t>
      </w:r>
      <w:r w:rsidRPr="004036F0">
        <w:rPr>
          <w:rFonts w:eastAsia="Times New Roman" w:cs="Times New Roman"/>
          <w:b/>
          <w:sz w:val="24"/>
          <w:szCs w:val="24"/>
          <w:highlight w:val="white"/>
        </w:rPr>
        <w:t xml:space="preserve"> proteins that co-purified with MceG-GFP and LucB-GFP. </w:t>
      </w:r>
    </w:p>
    <w:p w14:paraId="638074AA" w14:textId="77777777" w:rsidR="008607FB" w:rsidRPr="004036F0" w:rsidRDefault="008607FB" w:rsidP="008607FB">
      <w:pPr>
        <w:keepNext/>
        <w:spacing w:line="480" w:lineRule="auto"/>
        <w:contextualSpacing/>
        <w:jc w:val="both"/>
        <w:rPr>
          <w:rFonts w:eastAsia="Times New Roman" w:cs="Times New Roman"/>
          <w:b/>
          <w:sz w:val="24"/>
          <w:szCs w:val="24"/>
          <w:highlight w:val="white"/>
        </w:rPr>
      </w:pPr>
      <w:r w:rsidRPr="004036F0">
        <w:rPr>
          <w:rFonts w:eastAsia="Times New Roman" w:cs="Times New Roman"/>
          <w:b/>
          <w:sz w:val="24"/>
          <w:szCs w:val="24"/>
          <w:highlight w:val="white"/>
        </w:rPr>
        <w:t xml:space="preserve">Supplementary Table 3. SAINT scores for </w:t>
      </w:r>
      <w:r w:rsidRPr="004036F0">
        <w:rPr>
          <w:rFonts w:eastAsia="Times New Roman" w:cs="Times New Roman"/>
          <w:b/>
          <w:i/>
          <w:sz w:val="24"/>
          <w:szCs w:val="24"/>
          <w:highlight w:val="white"/>
        </w:rPr>
        <w:t>Msmeg</w:t>
      </w:r>
      <w:r w:rsidRPr="004036F0">
        <w:rPr>
          <w:rFonts w:eastAsia="Times New Roman" w:cs="Times New Roman"/>
          <w:b/>
          <w:sz w:val="24"/>
          <w:szCs w:val="24"/>
          <w:highlight w:val="white"/>
        </w:rPr>
        <w:t xml:space="preserve"> proteins that co-purified with MceG-GFP. </w:t>
      </w:r>
    </w:p>
    <w:p w14:paraId="52089A96" w14:textId="77777777" w:rsidR="008607FB" w:rsidRPr="004036F0" w:rsidRDefault="008607FB" w:rsidP="008607FB">
      <w:pPr>
        <w:keepNext/>
        <w:spacing w:line="480" w:lineRule="auto"/>
        <w:contextualSpacing/>
        <w:jc w:val="both"/>
        <w:rPr>
          <w:rFonts w:eastAsia="Times New Roman" w:cs="Times New Roman"/>
          <w:b/>
          <w:sz w:val="24"/>
          <w:szCs w:val="24"/>
        </w:rPr>
      </w:pPr>
      <w:r w:rsidRPr="004036F0">
        <w:rPr>
          <w:rFonts w:eastAsia="Times New Roman" w:cs="Times New Roman"/>
          <w:b/>
          <w:sz w:val="24"/>
          <w:szCs w:val="24"/>
          <w:highlight w:val="white"/>
        </w:rPr>
        <w:t xml:space="preserve">Supplementary Table </w:t>
      </w:r>
      <w:r w:rsidRPr="004036F0">
        <w:rPr>
          <w:rFonts w:eastAsia="Times New Roman" w:cs="Times New Roman"/>
          <w:b/>
          <w:sz w:val="24"/>
          <w:szCs w:val="24"/>
        </w:rPr>
        <w:t>4. Cryo-EM data collection, refinement, and validation statistics.</w:t>
      </w:r>
    </w:p>
    <w:p w14:paraId="2F1F5DDC" w14:textId="77777777" w:rsidR="008607FB" w:rsidRPr="004036F0" w:rsidRDefault="008607FB" w:rsidP="008607FB">
      <w:pPr>
        <w:keepNext/>
        <w:spacing w:line="480" w:lineRule="auto"/>
        <w:contextualSpacing/>
        <w:jc w:val="both"/>
        <w:rPr>
          <w:rFonts w:eastAsia="Times New Roman" w:cs="Times New Roman"/>
          <w:b/>
          <w:sz w:val="24"/>
          <w:szCs w:val="24"/>
          <w:highlight w:val="white"/>
        </w:rPr>
      </w:pPr>
      <w:r w:rsidRPr="004036F0">
        <w:rPr>
          <w:rFonts w:eastAsia="Times New Roman" w:cs="Times New Roman"/>
          <w:b/>
          <w:sz w:val="24"/>
          <w:szCs w:val="24"/>
          <w:highlight w:val="white"/>
        </w:rPr>
        <w:t xml:space="preserve">Supplementary Table 5. SAINT scores for </w:t>
      </w:r>
      <w:r w:rsidRPr="004036F0">
        <w:rPr>
          <w:rFonts w:eastAsia="Times New Roman" w:cs="Times New Roman"/>
          <w:b/>
          <w:i/>
          <w:sz w:val="24"/>
          <w:szCs w:val="24"/>
          <w:highlight w:val="white"/>
        </w:rPr>
        <w:t>Msmeg</w:t>
      </w:r>
      <w:r w:rsidRPr="004036F0">
        <w:rPr>
          <w:rFonts w:eastAsia="Times New Roman" w:cs="Times New Roman"/>
          <w:b/>
          <w:sz w:val="24"/>
          <w:szCs w:val="24"/>
          <w:highlight w:val="white"/>
        </w:rPr>
        <w:t xml:space="preserve"> proteins that co-purified with LucB-GFP. </w:t>
      </w:r>
    </w:p>
    <w:p w14:paraId="616093F1" w14:textId="77777777" w:rsidR="008607FB" w:rsidRPr="004036F0" w:rsidRDefault="008607FB" w:rsidP="008607FB">
      <w:pPr>
        <w:keepNext/>
        <w:spacing w:line="480" w:lineRule="auto"/>
        <w:contextualSpacing/>
        <w:jc w:val="both"/>
        <w:rPr>
          <w:rFonts w:eastAsia="Times New Roman" w:cs="Times New Roman"/>
          <w:b/>
          <w:sz w:val="24"/>
          <w:szCs w:val="24"/>
          <w:highlight w:val="white"/>
        </w:rPr>
      </w:pPr>
      <w:r w:rsidRPr="004036F0">
        <w:rPr>
          <w:rFonts w:eastAsia="Times New Roman" w:cs="Times New Roman"/>
          <w:b/>
          <w:sz w:val="24"/>
          <w:szCs w:val="24"/>
          <w:highlight w:val="white"/>
        </w:rPr>
        <w:t>Supplementary Table 6. AlphaFold2 predictions used for cryo-EM modeling.</w:t>
      </w:r>
    </w:p>
    <w:p w14:paraId="51186848" w14:textId="77777777" w:rsidR="008607FB" w:rsidRPr="004036F0" w:rsidRDefault="008607FB" w:rsidP="008607FB">
      <w:pPr>
        <w:keepNext/>
        <w:spacing w:line="480" w:lineRule="auto"/>
        <w:contextualSpacing/>
        <w:jc w:val="both"/>
        <w:rPr>
          <w:rFonts w:eastAsia="Times New Roman" w:cs="Times New Roman"/>
          <w:b/>
          <w:sz w:val="24"/>
          <w:szCs w:val="24"/>
          <w:highlight w:val="white"/>
        </w:rPr>
      </w:pPr>
      <w:r w:rsidRPr="004036F0">
        <w:rPr>
          <w:rFonts w:eastAsia="Times New Roman" w:cs="Times New Roman"/>
          <w:b/>
          <w:sz w:val="24"/>
          <w:szCs w:val="24"/>
          <w:highlight w:val="white"/>
        </w:rPr>
        <w:t>Supplementary Information Figure 1. Uncropped gel and blot from Figure 1e.</w:t>
      </w:r>
    </w:p>
    <w:p w14:paraId="306562EE" w14:textId="77777777" w:rsidR="008607FB" w:rsidRPr="004036F0" w:rsidRDefault="008607FB" w:rsidP="008607FB">
      <w:pPr>
        <w:keepNext/>
        <w:spacing w:line="480" w:lineRule="auto"/>
        <w:contextualSpacing/>
        <w:jc w:val="both"/>
        <w:rPr>
          <w:rFonts w:eastAsia="Times New Roman" w:cs="Times New Roman"/>
          <w:b/>
          <w:sz w:val="24"/>
          <w:szCs w:val="24"/>
          <w:highlight w:val="white"/>
        </w:rPr>
      </w:pPr>
      <w:r w:rsidRPr="004036F0">
        <w:rPr>
          <w:rFonts w:eastAsia="Times New Roman" w:cs="Times New Roman"/>
          <w:b/>
          <w:sz w:val="24"/>
          <w:szCs w:val="24"/>
          <w:highlight w:val="white"/>
        </w:rPr>
        <w:t>Supplementary Information Figure 2. Uncropped gel and blot from Extended Data Figure 9a.</w:t>
      </w:r>
    </w:p>
    <w:p w14:paraId="3C9116F5" w14:textId="77777777" w:rsidR="008607FB" w:rsidRPr="004036F0"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highlight w:val="white"/>
        </w:rPr>
        <w:t xml:space="preserve">Supplementary Video </w:t>
      </w:r>
      <w:r w:rsidRPr="004036F0">
        <w:rPr>
          <w:rFonts w:eastAsia="Times New Roman" w:cs="Times New Roman"/>
          <w:b/>
          <w:sz w:val="24"/>
          <w:szCs w:val="24"/>
        </w:rPr>
        <w:t>1. Overview of Mce1 structure.</w:t>
      </w:r>
    </w:p>
    <w:p w14:paraId="252A8E52" w14:textId="77777777" w:rsidR="008607FB" w:rsidRPr="000B5316" w:rsidRDefault="008607FB" w:rsidP="008607FB">
      <w:pPr>
        <w:spacing w:line="480" w:lineRule="auto"/>
        <w:contextualSpacing/>
        <w:jc w:val="both"/>
        <w:rPr>
          <w:rFonts w:eastAsia="Times New Roman" w:cs="Times New Roman"/>
          <w:b/>
          <w:sz w:val="24"/>
          <w:szCs w:val="24"/>
        </w:rPr>
      </w:pPr>
      <w:r w:rsidRPr="004036F0">
        <w:rPr>
          <w:rFonts w:eastAsia="Times New Roman" w:cs="Times New Roman"/>
          <w:b/>
          <w:sz w:val="24"/>
          <w:szCs w:val="24"/>
          <w:highlight w:val="white"/>
        </w:rPr>
        <w:t xml:space="preserve">Supplementary Video </w:t>
      </w:r>
      <w:r w:rsidRPr="004036F0">
        <w:rPr>
          <w:rFonts w:eastAsia="Times New Roman" w:cs="Times New Roman"/>
          <w:b/>
          <w:sz w:val="24"/>
          <w:szCs w:val="24"/>
        </w:rPr>
        <w:t>2. Model for Mce1-mediated transport.</w:t>
      </w:r>
    </w:p>
    <w:p w14:paraId="53839DBA" w14:textId="77777777" w:rsidR="00755780" w:rsidRDefault="00755780"/>
    <w:sectPr w:rsidR="00755780" w:rsidSect="004036F0">
      <w:footerReference w:type="even" r:id="rId14"/>
      <w:footerReference w:type="default" r:id="rId15"/>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30127274"/>
      <w:docPartObj>
        <w:docPartGallery w:val="Page Numbers (Bottom of Page)"/>
        <w:docPartUnique/>
      </w:docPartObj>
    </w:sdtPr>
    <w:sdtEndPr>
      <w:rPr>
        <w:rStyle w:val="PageNumber"/>
      </w:rPr>
    </w:sdtEndPr>
    <w:sdtContent>
      <w:p w14:paraId="5686463C" w14:textId="77777777" w:rsidR="004036F0" w:rsidRDefault="008607FB" w:rsidP="00D462F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416002" w14:textId="77777777" w:rsidR="004036F0" w:rsidRDefault="008607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91716768"/>
      <w:docPartObj>
        <w:docPartGallery w:val="Page Numbers (Bottom of Page)"/>
        <w:docPartUnique/>
      </w:docPartObj>
    </w:sdtPr>
    <w:sdtEndPr>
      <w:rPr>
        <w:rStyle w:val="PageNumber"/>
      </w:rPr>
    </w:sdtEndPr>
    <w:sdtContent>
      <w:p w14:paraId="35EC2A85" w14:textId="77777777" w:rsidR="004036F0" w:rsidRDefault="008607FB" w:rsidP="00D462F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027F6F9" w14:textId="77777777" w:rsidR="004036F0" w:rsidRDefault="008607F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FB"/>
    <w:rsid w:val="00755780"/>
    <w:rsid w:val="00860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509F1"/>
  <w15:chartTrackingRefBased/>
  <w15:docId w15:val="{F987C072-06C6-4C00-865D-730152FD9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7FB"/>
    <w:pPr>
      <w:spacing w:after="0" w:line="276" w:lineRule="auto"/>
    </w:pPr>
    <w:rPr>
      <w:rFonts w:ascii="Times New Roman" w:eastAsia="Arial" w:hAnsi="Times New Roman"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607FB"/>
    <w:pPr>
      <w:tabs>
        <w:tab w:val="center" w:pos="4680"/>
        <w:tab w:val="right" w:pos="9360"/>
      </w:tabs>
      <w:spacing w:line="240" w:lineRule="auto"/>
    </w:pPr>
  </w:style>
  <w:style w:type="character" w:customStyle="1" w:styleId="FooterChar">
    <w:name w:val="Footer Char"/>
    <w:basedOn w:val="DefaultParagraphFont"/>
    <w:link w:val="Footer"/>
    <w:uiPriority w:val="99"/>
    <w:rsid w:val="008607FB"/>
    <w:rPr>
      <w:rFonts w:ascii="Times New Roman" w:eastAsia="Arial" w:hAnsi="Times New Roman" w:cs="Arial"/>
      <w:lang w:val="en"/>
    </w:rPr>
  </w:style>
  <w:style w:type="character" w:styleId="PageNumber">
    <w:name w:val="page number"/>
    <w:basedOn w:val="DefaultParagraphFont"/>
    <w:uiPriority w:val="99"/>
    <w:semiHidden/>
    <w:unhideWhenUsed/>
    <w:rsid w:val="008607FB"/>
  </w:style>
  <w:style w:type="character" w:styleId="LineNumber">
    <w:name w:val="line number"/>
    <w:basedOn w:val="DefaultParagraphFont"/>
    <w:uiPriority w:val="99"/>
    <w:semiHidden/>
    <w:unhideWhenUsed/>
    <w:rsid w:val="00860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oter" Target="footer2.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1620</Words>
  <Characters>9239</Characters>
  <Application>Microsoft Office Word</Application>
  <DocSecurity>0</DocSecurity>
  <Lines>76</Lines>
  <Paragraphs>21</Paragraphs>
  <ScaleCrop>false</ScaleCrop>
  <Company>Springer Nature</Company>
  <LinksUpToDate>false</LinksUpToDate>
  <CharactersWithSpaces>10838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2023-01-10T05:12:00Z</dcterms:created>
  <dcterms:modified xsi:type="dcterms:W3CDTF">2023-01-10T05:12:00Z</dcterms:modified>
</cp:coreProperties>
</file>