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Supplementary Information</w:t>
      </w:r>
    </w:p>
    <w:p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Starch Quality Matrix (SQM): An Analytical Model for Predicting Resistant Starch (RS) in Rice (</w:t>
      </w:r>
      <w:r>
        <w:rPr>
          <w:rFonts w:ascii="Times New Roman" w:hAnsi="Times New Roman" w:cs="Times New Roman"/>
          <w:b/>
          <w:i/>
          <w:iCs/>
          <w:sz w:val="28"/>
        </w:rPr>
        <w:t>Oryza sativa</w:t>
      </w:r>
      <w:r>
        <w:rPr>
          <w:rFonts w:ascii="Times New Roman" w:hAnsi="Times New Roman" w:cs="Times New Roman"/>
          <w:b/>
          <w:sz w:val="28"/>
        </w:rPr>
        <w:t>.L)</w:t>
      </w:r>
    </w:p>
    <w:p>
      <w:pPr>
        <w:spacing w:line="360" w:lineRule="auto"/>
        <w:jc w:val="both"/>
        <w:rPr>
          <w:rStyle w:val="3"/>
          <w:b w:val="0"/>
          <w:bCs/>
          <w:i w:val="0"/>
          <w:iCs w:val="0"/>
          <w:color w:val="0E101A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i w:val="0"/>
          <w:iCs w:val="0"/>
          <w:sz w:val="24"/>
          <w:szCs w:val="24"/>
        </w:rPr>
        <w:t>Sohel Rahaman</w:t>
      </w:r>
      <w:r>
        <w:rPr>
          <w:rFonts w:ascii="Times New Roman" w:hAnsi="Times New Roman" w:cs="Times New Roman"/>
          <w:b w:val="0"/>
          <w:bCs/>
          <w:i w:val="0"/>
          <w:iCs w:val="0"/>
          <w:sz w:val="24"/>
          <w:szCs w:val="24"/>
          <w:vertAlign w:val="superscript"/>
        </w:rPr>
        <w:t>Ψ1</w:t>
      </w:r>
      <w:r>
        <w:rPr>
          <w:rFonts w:ascii="Times New Roman" w:hAnsi="Times New Roman" w:cs="Times New Roman"/>
          <w:b w:val="0"/>
          <w:bCs/>
          <w:i w:val="0"/>
          <w:iCs w:val="0"/>
          <w:sz w:val="24"/>
          <w:szCs w:val="24"/>
        </w:rPr>
        <w:t>. Deepanyeta Goswami</w:t>
      </w:r>
      <w:r>
        <w:rPr>
          <w:rFonts w:ascii="Times New Roman" w:hAnsi="Times New Roman" w:cs="Times New Roman"/>
          <w:b w:val="0"/>
          <w:bCs/>
          <w:i w:val="0"/>
          <w:iCs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 w:val="0"/>
          <w:bCs/>
          <w:i w:val="0"/>
          <w:iCs w:val="0"/>
          <w:sz w:val="24"/>
          <w:szCs w:val="24"/>
        </w:rPr>
        <w:t>. Sanjeev Kumar</w:t>
      </w:r>
      <w:r>
        <w:rPr>
          <w:rFonts w:ascii="Times New Roman" w:hAnsi="Times New Roman" w:cs="Times New Roman"/>
          <w:b w:val="0"/>
          <w:bCs/>
          <w:i w:val="0"/>
          <w:iCs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 w:val="0"/>
          <w:bCs/>
          <w:i w:val="0"/>
          <w:iCs w:val="0"/>
          <w:sz w:val="24"/>
          <w:szCs w:val="24"/>
        </w:rPr>
        <w:t xml:space="preserve">. </w:t>
      </w:r>
      <w:r>
        <w:rPr>
          <w:rStyle w:val="3"/>
          <w:rFonts w:ascii="Times New Roman" w:hAnsi="Times New Roman" w:cs="Times New Roman"/>
          <w:b w:val="0"/>
          <w:bCs/>
          <w:i w:val="0"/>
          <w:iCs w:val="0"/>
          <w:color w:val="0E101A"/>
          <w:sz w:val="24"/>
          <w:szCs w:val="24"/>
        </w:rPr>
        <w:t>Haritha Bollinedi</w:t>
      </w:r>
      <w:r>
        <w:rPr>
          <w:rStyle w:val="3"/>
          <w:rFonts w:ascii="Times New Roman" w:hAnsi="Times New Roman" w:cs="Times New Roman"/>
          <w:b w:val="0"/>
          <w:bCs/>
          <w:i w:val="0"/>
          <w:iCs w:val="0"/>
          <w:color w:val="0E101A"/>
          <w:sz w:val="24"/>
          <w:szCs w:val="24"/>
          <w:vertAlign w:val="superscript"/>
        </w:rPr>
        <w:t>2</w:t>
      </w:r>
      <w:r>
        <w:rPr>
          <w:rStyle w:val="3"/>
          <w:rFonts w:ascii="Times New Roman" w:hAnsi="Times New Roman" w:cs="Times New Roman"/>
          <w:b w:val="0"/>
          <w:bCs/>
          <w:i w:val="0"/>
          <w:iCs w:val="0"/>
          <w:color w:val="0E101A"/>
          <w:sz w:val="24"/>
          <w:szCs w:val="24"/>
        </w:rPr>
        <w:t>. AnjaliAnand</w:t>
      </w:r>
      <w:r>
        <w:rPr>
          <w:rStyle w:val="3"/>
          <w:rFonts w:ascii="Times New Roman" w:hAnsi="Times New Roman" w:cs="Times New Roman"/>
          <w:b w:val="0"/>
          <w:bCs/>
          <w:i w:val="0"/>
          <w:iCs w:val="0"/>
          <w:color w:val="0E101A"/>
          <w:sz w:val="24"/>
          <w:szCs w:val="24"/>
          <w:vertAlign w:val="superscript"/>
        </w:rPr>
        <w:t>3</w:t>
      </w:r>
      <w:r>
        <w:rPr>
          <w:rStyle w:val="3"/>
          <w:rFonts w:ascii="Times New Roman" w:hAnsi="Times New Roman" w:cs="Times New Roman"/>
          <w:b w:val="0"/>
          <w:bCs/>
          <w:i w:val="0"/>
          <w:iCs w:val="0"/>
          <w:color w:val="0E101A"/>
          <w:sz w:val="24"/>
          <w:szCs w:val="24"/>
        </w:rPr>
        <w:t>.  Sukanta Dash</w:t>
      </w:r>
      <w:r>
        <w:rPr>
          <w:rStyle w:val="3"/>
          <w:rFonts w:ascii="Times New Roman" w:hAnsi="Times New Roman" w:cs="Times New Roman"/>
          <w:b w:val="0"/>
          <w:bCs/>
          <w:i w:val="0"/>
          <w:iCs w:val="0"/>
          <w:color w:val="0E101A"/>
          <w:sz w:val="24"/>
          <w:szCs w:val="24"/>
          <w:vertAlign w:val="superscript"/>
        </w:rPr>
        <w:t>4</w:t>
      </w:r>
      <w:r>
        <w:rPr>
          <w:rStyle w:val="3"/>
          <w:rFonts w:ascii="Times New Roman" w:hAnsi="Times New Roman" w:cs="Times New Roman"/>
          <w:b w:val="0"/>
          <w:bCs/>
          <w:i w:val="0"/>
          <w:iCs w:val="0"/>
          <w:color w:val="0E101A"/>
          <w:sz w:val="24"/>
          <w:szCs w:val="24"/>
        </w:rPr>
        <w:t>. Mahesh Rao</w:t>
      </w:r>
      <w:r>
        <w:rPr>
          <w:rStyle w:val="3"/>
          <w:rFonts w:ascii="Times New Roman" w:hAnsi="Times New Roman" w:cs="Times New Roman"/>
          <w:b w:val="0"/>
          <w:bCs/>
          <w:i w:val="0"/>
          <w:iCs w:val="0"/>
          <w:color w:val="0E101A"/>
          <w:sz w:val="24"/>
          <w:szCs w:val="24"/>
          <w:vertAlign w:val="superscript"/>
        </w:rPr>
        <w:t>5</w:t>
      </w:r>
      <w:r>
        <w:rPr>
          <w:rStyle w:val="3"/>
          <w:rFonts w:ascii="Times New Roman" w:hAnsi="Times New Roman" w:cs="Times New Roman"/>
          <w:b w:val="0"/>
          <w:bCs/>
          <w:i w:val="0"/>
          <w:iCs w:val="0"/>
          <w:color w:val="0E101A"/>
          <w:sz w:val="24"/>
          <w:szCs w:val="24"/>
        </w:rPr>
        <w:t xml:space="preserve">. </w:t>
      </w:r>
      <w:r>
        <w:rPr>
          <w:rFonts w:ascii="Times New Roman" w:hAnsi="Times New Roman" w:eastAsia="Times New Roman" w:cs="Times New Roman"/>
          <w:b w:val="0"/>
          <w:bCs/>
          <w:i w:val="0"/>
          <w:iCs w:val="0"/>
          <w:sz w:val="24"/>
          <w:szCs w:val="24"/>
        </w:rPr>
        <w:t>Archana Singh</w:t>
      </w:r>
      <w:r>
        <w:rPr>
          <w:rFonts w:ascii="Times New Roman" w:hAnsi="Times New Roman" w:eastAsia="Times New Roman" w:cs="Times New Roman"/>
          <w:b w:val="0"/>
          <w:bCs/>
          <w:i w:val="0"/>
          <w:iCs w:val="0"/>
          <w:sz w:val="24"/>
          <w:szCs w:val="24"/>
          <w:vertAlign w:val="superscript"/>
        </w:rPr>
        <w:t>1</w:t>
      </w:r>
      <w:r>
        <w:rPr>
          <w:rFonts w:ascii="Times New Roman" w:hAnsi="Times New Roman" w:eastAsia="Times New Roman" w:cs="Times New Roman"/>
          <w:b w:val="0"/>
          <w:bCs/>
          <w:i w:val="0"/>
          <w:iCs w:val="0"/>
          <w:sz w:val="24"/>
          <w:szCs w:val="24"/>
        </w:rPr>
        <w:t>, A.K Singh</w:t>
      </w:r>
      <w:r>
        <w:rPr>
          <w:rFonts w:ascii="Times New Roman" w:hAnsi="Times New Roman" w:eastAsia="Times New Roman" w:cs="Times New Roman"/>
          <w:b w:val="0"/>
          <w:bCs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hAnsi="Times New Roman" w:eastAsia="Times New Roman" w:cs="Times New Roman"/>
          <w:b w:val="0"/>
          <w:bCs/>
          <w:i w:val="0"/>
          <w:iCs w:val="0"/>
          <w:sz w:val="24"/>
          <w:szCs w:val="24"/>
        </w:rPr>
        <w:t xml:space="preserve"> </w:t>
      </w:r>
      <w:r>
        <w:rPr>
          <w:rStyle w:val="3"/>
          <w:b w:val="0"/>
          <w:bCs/>
          <w:i w:val="0"/>
          <w:iCs w:val="0"/>
          <w:color w:val="0E101A"/>
          <w:sz w:val="24"/>
          <w:szCs w:val="24"/>
        </w:rPr>
        <w:t xml:space="preserve">and </w:t>
      </w:r>
      <w:r>
        <w:rPr>
          <w:rFonts w:ascii="Times New Roman" w:hAnsi="Times New Roman" w:cs="Times New Roman"/>
          <w:b w:val="0"/>
          <w:bCs/>
          <w:i w:val="0"/>
          <w:iCs w:val="0"/>
          <w:sz w:val="24"/>
          <w:szCs w:val="24"/>
        </w:rPr>
        <w:t>Veda Krishnan</w:t>
      </w:r>
      <w:r>
        <w:rPr>
          <w:rFonts w:ascii="Times New Roman" w:hAnsi="Times New Roman" w:cs="Times New Roman"/>
          <w:b w:val="0"/>
          <w:bCs/>
          <w:i w:val="0"/>
          <w:iCs w:val="0"/>
          <w:sz w:val="24"/>
          <w:szCs w:val="24"/>
          <w:vertAlign w:val="superscript"/>
        </w:rPr>
        <w:t xml:space="preserve"> 1Ψ*</w:t>
      </w:r>
    </w:p>
    <w:p>
      <w:pPr>
        <w:spacing w:after="0"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Division of Biochemistry, ICAR- Indian Agricultural Research Institute, New Delhi, India</w:t>
      </w:r>
    </w:p>
    <w:p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Division of Genetics, ICAR- Indian Agricultural Research Institute, New Delhi, India</w:t>
      </w:r>
    </w:p>
    <w:p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Division of Plant Physiology, ICAR- Indian Agricultural Research Institute, New Delhi, India</w:t>
      </w:r>
    </w:p>
    <w:p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Division of Design of experiments, ICAR- Indian Agricultural Statistics Research Institute, New Delhi, India</w:t>
      </w:r>
    </w:p>
    <w:p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National Institute of Plant Biotechnology (NIPB), New Delhi, India</w:t>
      </w:r>
    </w:p>
    <w:p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*e-mail of corresponding authors: </w:t>
      </w:r>
      <w:r>
        <w:fldChar w:fldCharType="begin"/>
      </w:r>
      <w:r>
        <w:instrText xml:space="preserve"> HYPERLINK "mailto:vedakrishnan@iari.res.in" </w:instrText>
      </w:r>
      <w:r>
        <w:fldChar w:fldCharType="separate"/>
      </w:r>
      <w:r>
        <w:rPr>
          <w:rStyle w:val="4"/>
          <w:rFonts w:ascii="Times New Roman" w:hAnsi="Times New Roman" w:cs="Times New Roman"/>
          <w:bCs/>
          <w:iCs/>
          <w:color w:val="000000"/>
          <w:sz w:val="24"/>
          <w:szCs w:val="24"/>
        </w:rPr>
        <w:t>vedakrishnan@iari.res.in</w:t>
      </w:r>
      <w:r>
        <w:rPr>
          <w:rStyle w:val="4"/>
          <w:rFonts w:ascii="Times New Roman" w:hAnsi="Times New Roman" w:cs="Times New Roman"/>
          <w:bCs/>
          <w:iCs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; </w:t>
      </w:r>
      <w:r>
        <w:fldChar w:fldCharType="begin"/>
      </w:r>
      <w:r>
        <w:instrText xml:space="preserve"> HYPERLINK "mailto:vedabiochem@gmail.com" </w:instrText>
      </w:r>
      <w:r>
        <w:fldChar w:fldCharType="separate"/>
      </w:r>
      <w:r>
        <w:rPr>
          <w:rStyle w:val="4"/>
          <w:rFonts w:ascii="Times New Roman" w:hAnsi="Times New Roman" w:cs="Times New Roman"/>
          <w:bCs/>
          <w:color w:val="000000"/>
          <w:sz w:val="24"/>
          <w:szCs w:val="24"/>
        </w:rPr>
        <w:t>vedabiochem@gmail.com</w:t>
      </w:r>
      <w:r>
        <w:rPr>
          <w:rStyle w:val="4"/>
          <w:rFonts w:ascii="Times New Roman" w:hAnsi="Times New Roman" w:cs="Times New Roman"/>
          <w:bCs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Ψ – Equal contributions</w:t>
      </w:r>
    </w:p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eastAsia="Calibri" w:cs="Times New Roman"/>
          <w:b/>
          <w:sz w:val="24"/>
          <w:szCs w:val="24"/>
          <w:lang w:val="en-US"/>
        </w:rPr>
        <w:drawing>
          <wp:inline distT="0" distB="0" distL="0" distR="0">
            <wp:extent cx="5350510" cy="6517640"/>
            <wp:effectExtent l="0" t="0" r="8890" b="10160"/>
            <wp:docPr id="2" name="Pictu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1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716"/>
                    <a:stretch>
                      <a:fillRect/>
                    </a:stretch>
                  </pic:blipFill>
                  <pic:spPr>
                    <a:xfrm>
                      <a:off x="0" y="0"/>
                      <a:ext cx="5350510" cy="651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jc w:val="both"/>
        <w:rPr>
          <w:rFonts w:ascii="Times New Roman" w:hAnsi="Times New Roman" w:cs="Times New Roman"/>
          <w:szCs w:val="22"/>
          <w:lang w:bidi="ar-SA"/>
        </w:rPr>
      </w:pPr>
      <w:r>
        <w:rPr>
          <w:rFonts w:ascii="Times New Roman" w:hAnsi="Times New Roman" w:cs="Times New Roman"/>
          <w:b/>
        </w:rPr>
        <w:t>Supplementary Fig. 1. Alkali spreading value (ASV) analysis and indirect analysis of gelatinization temperature (GT) of the selected rice genotypes.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(A)</w:t>
      </w:r>
      <w:r>
        <w:rPr>
          <w:rFonts w:ascii="Times New Roman" w:hAnsi="Times New Roman" w:cs="Times New Roman"/>
        </w:rPr>
        <w:t xml:space="preserve"> Different milled rice genotypes tested for ASV as whole rice grains after 23 h treatment with 1.8% KOH. </w:t>
      </w:r>
      <w:r>
        <w:rPr>
          <w:rFonts w:ascii="Times New Roman" w:hAnsi="Times New Roman" w:cs="Times New Roman"/>
          <w:b/>
        </w:rPr>
        <w:t xml:space="preserve">a. </w:t>
      </w:r>
      <w:r>
        <w:rPr>
          <w:rFonts w:ascii="Times New Roman" w:hAnsi="Times New Roman" w:cs="Times New Roman"/>
        </w:rPr>
        <w:t xml:space="preserve">Karupanel </w:t>
      </w:r>
      <w:r>
        <w:rPr>
          <w:rFonts w:ascii="Times New Roman" w:hAnsi="Times New Roman" w:cs="Times New Roman"/>
          <w:b/>
        </w:rPr>
        <w:t xml:space="preserve">b. </w:t>
      </w:r>
      <w:r>
        <w:rPr>
          <w:rFonts w:ascii="Times New Roman" w:hAnsi="Times New Roman" w:cs="Times New Roman"/>
        </w:rPr>
        <w:t xml:space="preserve">IR-78908 </w:t>
      </w:r>
      <w:r>
        <w:rPr>
          <w:rFonts w:ascii="Times New Roman" w:hAnsi="Times New Roman" w:cs="Times New Roman"/>
          <w:b/>
        </w:rPr>
        <w:t>c.</w:t>
      </w:r>
      <w:r>
        <w:rPr>
          <w:rFonts w:ascii="Times New Roman" w:hAnsi="Times New Roman" w:cs="Times New Roman"/>
        </w:rPr>
        <w:t xml:space="preserve">VLT-6 </w:t>
      </w:r>
      <w:r>
        <w:rPr>
          <w:rFonts w:ascii="Times New Roman" w:hAnsi="Times New Roman" w:cs="Times New Roman"/>
          <w:b/>
        </w:rPr>
        <w:t xml:space="preserve">d. </w:t>
      </w:r>
      <w:r>
        <w:rPr>
          <w:rFonts w:ascii="Times New Roman" w:hAnsi="Times New Roman" w:cs="Times New Roman"/>
        </w:rPr>
        <w:t xml:space="preserve">Kamlesh </w:t>
      </w:r>
      <w:r>
        <w:rPr>
          <w:rFonts w:ascii="Times New Roman" w:hAnsi="Times New Roman" w:cs="Times New Roman"/>
          <w:b/>
        </w:rPr>
        <w:t xml:space="preserve">e. </w:t>
      </w:r>
      <w:r>
        <w:rPr>
          <w:rFonts w:ascii="Times New Roman" w:hAnsi="Times New Roman" w:cs="Times New Roman"/>
        </w:rPr>
        <w:t xml:space="preserve">DV-85 </w:t>
      </w:r>
      <w:r>
        <w:rPr>
          <w:rFonts w:ascii="Times New Roman" w:hAnsi="Times New Roman" w:cs="Times New Roman"/>
          <w:b/>
        </w:rPr>
        <w:t xml:space="preserve">f. </w:t>
      </w:r>
      <w:r>
        <w:rPr>
          <w:rFonts w:ascii="Times New Roman" w:hAnsi="Times New Roman" w:cs="Times New Roman"/>
        </w:rPr>
        <w:t xml:space="preserve">Vasumati </w:t>
      </w:r>
      <w:r>
        <w:rPr>
          <w:rFonts w:ascii="Times New Roman" w:hAnsi="Times New Roman" w:cs="Times New Roman"/>
          <w:b/>
        </w:rPr>
        <w:t xml:space="preserve">g. </w:t>
      </w:r>
      <w:r>
        <w:rPr>
          <w:rFonts w:ascii="Times New Roman" w:hAnsi="Times New Roman" w:cs="Times New Roman"/>
        </w:rPr>
        <w:t xml:space="preserve">Longku labat </w:t>
      </w:r>
      <w:r>
        <w:rPr>
          <w:rFonts w:ascii="Times New Roman" w:hAnsi="Times New Roman" w:cs="Times New Roman"/>
          <w:b/>
        </w:rPr>
        <w:t xml:space="preserve">h. </w:t>
      </w:r>
      <w:r>
        <w:rPr>
          <w:rFonts w:ascii="Times New Roman" w:hAnsi="Times New Roman" w:cs="Times New Roman"/>
        </w:rPr>
        <w:t xml:space="preserve">Basmati 802(CANP377) </w:t>
      </w:r>
      <w:r>
        <w:rPr>
          <w:rFonts w:ascii="Times New Roman" w:hAnsi="Times New Roman" w:cs="Times New Roman"/>
          <w:b/>
        </w:rPr>
        <w:t xml:space="preserve">i. </w:t>
      </w:r>
      <w:r>
        <w:rPr>
          <w:rFonts w:ascii="Times New Roman" w:hAnsi="Times New Roman" w:cs="Times New Roman"/>
        </w:rPr>
        <w:t xml:space="preserve">Maguraphulla </w:t>
      </w:r>
      <w:r>
        <w:rPr>
          <w:rFonts w:ascii="Times New Roman" w:hAnsi="Times New Roman" w:cs="Times New Roman"/>
          <w:b/>
        </w:rPr>
        <w:t xml:space="preserve">j. </w:t>
      </w:r>
      <w:r>
        <w:rPr>
          <w:rFonts w:ascii="Times New Roman" w:hAnsi="Times New Roman" w:cs="Times New Roman"/>
        </w:rPr>
        <w:t xml:space="preserve">Ranbir basmati </w:t>
      </w:r>
      <w:r>
        <w:rPr>
          <w:rFonts w:ascii="Times New Roman" w:hAnsi="Times New Roman" w:cs="Times New Roman"/>
          <w:b/>
        </w:rPr>
        <w:t xml:space="preserve">k. </w:t>
      </w:r>
      <w:r>
        <w:rPr>
          <w:rFonts w:ascii="Times New Roman" w:hAnsi="Times New Roman" w:cs="Times New Roman"/>
        </w:rPr>
        <w:t xml:space="preserve">Basmati 5888 </w:t>
      </w:r>
      <w:r>
        <w:rPr>
          <w:rFonts w:ascii="Times New Roman" w:hAnsi="Times New Roman" w:cs="Times New Roman"/>
          <w:b/>
        </w:rPr>
        <w:t xml:space="preserve">l. </w:t>
      </w:r>
      <w:r>
        <w:rPr>
          <w:rFonts w:ascii="Times New Roman" w:hAnsi="Times New Roman" w:cs="Times New Roman"/>
        </w:rPr>
        <w:t xml:space="preserve">Basmati 802(ANP377) </w:t>
      </w:r>
      <w:r>
        <w:rPr>
          <w:rFonts w:ascii="Times New Roman" w:hAnsi="Times New Roman" w:cs="Times New Roman"/>
          <w:b/>
        </w:rPr>
        <w:t xml:space="preserve">m. </w:t>
      </w:r>
      <w:r>
        <w:rPr>
          <w:rFonts w:ascii="Times New Roman" w:hAnsi="Times New Roman" w:cs="Times New Roman"/>
        </w:rPr>
        <w:t xml:space="preserve">P1568-05-6-4-153 </w:t>
      </w:r>
      <w:r>
        <w:rPr>
          <w:rFonts w:ascii="Times New Roman" w:hAnsi="Times New Roman" w:cs="Times New Roman"/>
          <w:b/>
        </w:rPr>
        <w:t xml:space="preserve">n. </w:t>
      </w:r>
      <w:r>
        <w:rPr>
          <w:rFonts w:ascii="Times New Roman" w:hAnsi="Times New Roman" w:cs="Times New Roman"/>
        </w:rPr>
        <w:t xml:space="preserve">Basmati 397 </w:t>
      </w:r>
      <w:r>
        <w:rPr>
          <w:rFonts w:ascii="Times New Roman" w:hAnsi="Times New Roman" w:cs="Times New Roman"/>
          <w:b/>
        </w:rPr>
        <w:t xml:space="preserve">o. </w:t>
      </w:r>
      <w:r>
        <w:rPr>
          <w:rFonts w:ascii="Times New Roman" w:hAnsi="Times New Roman" w:cs="Times New Roman"/>
        </w:rPr>
        <w:t xml:space="preserve">Maharaji </w:t>
      </w:r>
      <w:r>
        <w:rPr>
          <w:rFonts w:ascii="Times New Roman" w:hAnsi="Times New Roman" w:cs="Times New Roman"/>
          <w:b/>
        </w:rPr>
        <w:t xml:space="preserve">p. </w:t>
      </w:r>
      <w:r>
        <w:rPr>
          <w:rFonts w:ascii="Times New Roman" w:hAnsi="Times New Roman" w:cs="Times New Roman"/>
        </w:rPr>
        <w:t xml:space="preserve">Chimbalate basmati </w:t>
      </w:r>
      <w:r>
        <w:rPr>
          <w:rFonts w:ascii="Times New Roman" w:hAnsi="Times New Roman" w:cs="Times New Roman"/>
          <w:b/>
        </w:rPr>
        <w:t xml:space="preserve">q. </w:t>
      </w:r>
      <w:r>
        <w:rPr>
          <w:rFonts w:ascii="Times New Roman" w:hAnsi="Times New Roman" w:cs="Times New Roman"/>
        </w:rPr>
        <w:t xml:space="preserve">Basmati 6141 </w:t>
      </w:r>
      <w:r>
        <w:rPr>
          <w:rFonts w:ascii="Times New Roman" w:hAnsi="Times New Roman" w:cs="Times New Roman"/>
          <w:b/>
        </w:rPr>
        <w:t xml:space="preserve">r. </w:t>
      </w:r>
      <w:r>
        <w:rPr>
          <w:rFonts w:ascii="Times New Roman" w:hAnsi="Times New Roman" w:cs="Times New Roman"/>
        </w:rPr>
        <w:t xml:space="preserve">JGL 1798 </w:t>
      </w:r>
      <w:r>
        <w:rPr>
          <w:rFonts w:ascii="Times New Roman" w:hAnsi="Times New Roman" w:cs="Times New Roman"/>
          <w:b/>
        </w:rPr>
        <w:t xml:space="preserve">s. </w:t>
      </w:r>
      <w:r>
        <w:rPr>
          <w:rFonts w:ascii="Times New Roman" w:hAnsi="Times New Roman" w:cs="Times New Roman"/>
        </w:rPr>
        <w:t xml:space="preserve">HBC 46 </w:t>
      </w:r>
      <w:r>
        <w:rPr>
          <w:rFonts w:ascii="Times New Roman" w:hAnsi="Times New Roman" w:cs="Times New Roman"/>
          <w:b/>
        </w:rPr>
        <w:t xml:space="preserve">t. </w:t>
      </w:r>
      <w:r>
        <w:rPr>
          <w:rFonts w:ascii="Times New Roman" w:hAnsi="Times New Roman" w:cs="Times New Roman"/>
        </w:rPr>
        <w:t xml:space="preserve">BJ-1. </w:t>
      </w:r>
    </w:p>
    <w:p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en-IN"/>
        </w:rPr>
        <w:drawing>
          <wp:inline distT="0" distB="0" distL="0" distR="0">
            <wp:extent cx="5401945" cy="6532880"/>
            <wp:effectExtent l="0" t="0" r="8255" b="20320"/>
            <wp:docPr id="1057" name="Pictu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Picture 30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2372" cy="653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  <w:bCs/>
          <w:lang w:val="en-US"/>
        </w:rPr>
        <w:t>Development and validation of the multiple regression model developed to predict the inherent glycaemic potential in terms of resistant starch (RS) content in rice</w:t>
      </w:r>
      <w:r>
        <w:rPr>
          <w:rFonts w:ascii="Times New Roman" w:hAnsi="Times New Roman" w:cs="Times New Roman"/>
          <w:b/>
        </w:rPr>
        <w:t xml:space="preserve"> (A) </w:t>
      </w:r>
      <w:r>
        <w:rPr>
          <w:rFonts w:ascii="Times New Roman" w:hAnsi="Times New Roman" w:cs="Times New Roman"/>
        </w:rPr>
        <w:t xml:space="preserve">Analysis of variance (ANOVA) test for significant explanatory variables (TAC and TSC) </w:t>
      </w:r>
      <w:r>
        <w:rPr>
          <w:rFonts w:ascii="Times New Roman" w:hAnsi="Times New Roman" w:cs="Times New Roman"/>
          <w:b/>
        </w:rPr>
        <w:t>(B)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 xml:space="preserve">The distribution of residuals for the log-linear regression model. The normal (N) density estimate of residual in multiple linear regression analysis is depicted in solid line while kernel (K) density in dotted lines </w:t>
      </w:r>
      <w:r>
        <w:rPr>
          <w:rFonts w:ascii="Times New Roman" w:hAnsi="Times New Roman" w:cs="Times New Roman"/>
          <w:b/>
        </w:rPr>
        <w:t>(C)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 xml:space="preserve">Scatterplot of residuals associated with TAC variable tested </w:t>
      </w:r>
      <w:r>
        <w:rPr>
          <w:rFonts w:ascii="Times New Roman" w:hAnsi="Times New Roman" w:cs="Times New Roman"/>
          <w:b/>
        </w:rPr>
        <w:t>(D)</w:t>
      </w:r>
      <w:r>
        <w:rPr>
          <w:rFonts w:ascii="Times New Roman" w:hAnsi="Times New Roman" w:cs="Times New Roman"/>
          <w:bCs/>
          <w:lang w:val="en-US"/>
        </w:rPr>
        <w:t xml:space="preserve"> Scatterplot of residuals associated with TS variable tested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(E)</w:t>
      </w:r>
      <w:r>
        <w:rPr>
          <w:rFonts w:ascii="Times New Roman" w:hAnsi="Times New Roman" w:cs="Times New Roman"/>
        </w:rPr>
        <w:t xml:space="preserve"> Predicted value of RS% using the linear regression model. </w:t>
      </w:r>
      <w:r>
        <w:rPr>
          <w:rFonts w:ascii="Times New Roman" w:hAnsi="Times New Roman" w:cs="Times New Roman"/>
          <w:b/>
        </w:rPr>
        <w:t>(F)</w:t>
      </w:r>
      <w:r>
        <w:rPr>
          <w:rFonts w:ascii="Times New Roman" w:hAnsi="Times New Roman" w:cs="Times New Roman"/>
        </w:rPr>
        <w:t xml:space="preserve"> Observed values of RS% after analysis. [TAC-Total amylose content; TSC-Total starch content]</w:t>
      </w:r>
    </w:p>
    <w:p>
      <w:pPr>
        <w:spacing w:line="360" w:lineRule="auto"/>
        <w:ind w:firstLine="720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eastAsia="en-IN"/>
        </w:rPr>
        <w:drawing>
          <wp:inline distT="0" distB="0" distL="0" distR="0">
            <wp:extent cx="4309745" cy="6255385"/>
            <wp:effectExtent l="0" t="0" r="8255" b="18415"/>
            <wp:docPr id="1056" name="Pictu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Picture 29"/>
                    <pic:cNvPicPr/>
                  </pic:nvPicPr>
                  <pic:blipFill>
                    <a:blip r:embed="rId6" cstate="print"/>
                    <a:srcRect l="13031" r="15217" b="6785"/>
                    <a:stretch>
                      <a:fillRect/>
                    </a:stretch>
                  </pic:blipFill>
                  <pic:spPr>
                    <a:xfrm>
                      <a:off x="0" y="0"/>
                      <a:ext cx="4309745" cy="625595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</w:rPr>
        <w:t>. A regression model developed using the SAS System (‘Local’, X64_7PRO) based on SQM 1 to predict the % content of RS in the rice genotypes under study</w:t>
      </w:r>
      <w:r>
        <w:rPr>
          <w:rFonts w:ascii="Times New Roman" w:hAnsi="Times New Roman" w:cs="Times New Roman"/>
        </w:rPr>
        <w:t xml:space="preserve">. Total RS% is the sum of predicted RS% plus residual RS%. Here only the values of apparent amylose content and total starch were considered to derive the equation.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Mangal">
    <w:altName w:val="苹方-简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Vrinda">
    <w:altName w:val="苹方-简"/>
    <w:panose1 w:val="00000400000000000000"/>
    <w:charset w:val="00"/>
    <w:family w:val="swiss"/>
    <w:pitch w:val="default"/>
    <w:sig w:usb0="00000000" w:usb1="00000000" w:usb2="00000000" w:usb3="00000000" w:csb0="00000001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dvTTe692faf0+20">
    <w:altName w:val="Hiragino Sans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DengXian Light">
    <w:altName w:val="苹方-简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09F" w:csb1="00000000"/>
  </w:font>
  <w:font w:name="DengXian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AFDFB8"/>
    <w:rsid w:val="DDAFD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cs="Vrinda" w:asciiTheme="minorHAnsi" w:hAnsiTheme="minorHAnsi" w:eastAsiaTheme="minorHAnsi"/>
      <w:sz w:val="22"/>
      <w:szCs w:val="28"/>
      <w:lang w:val="en-IN" w:eastAsia="en-US" w:bidi="bn-IN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Emphasis"/>
    <w:basedOn w:val="2"/>
    <w:qFormat/>
    <w:uiPriority w:val="0"/>
    <w:rPr>
      <w:i/>
      <w:iCs/>
    </w:rPr>
  </w:style>
  <w:style w:type="character" w:styleId="4">
    <w:name w:val="Hyperlink"/>
    <w:basedOn w:val="2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2022-12-24T22:24:00Z</dcterms:created>
  <dc:creator>vedakrishnan</dc:creator>
  <cp:lastModifiedBy>vedakrishnan</cp:lastModifiedBy>
  <dcterms:modified xsi:type="dcterms:W3CDTF">2022-12-24T22:26:13Z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</Properties>
</file>