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20AEA" w14:textId="05793697" w:rsidR="00FA464B" w:rsidRDefault="0098371F">
      <w:pPr>
        <w:rPr>
          <w:rFonts w:ascii="Times New Roman" w:hAnsi="Times New Roman" w:cs="Times New Roman"/>
          <w:sz w:val="28"/>
          <w:szCs w:val="28"/>
        </w:rPr>
      </w:pPr>
      <w:r w:rsidRPr="0098371F">
        <w:rPr>
          <w:rFonts w:ascii="Times New Roman" w:hAnsi="Times New Roman" w:cs="Times New Roman"/>
          <w:sz w:val="28"/>
          <w:szCs w:val="28"/>
        </w:rPr>
        <w:t xml:space="preserve">Title: </w:t>
      </w:r>
      <w:r w:rsidR="00505501" w:rsidRPr="00505501">
        <w:rPr>
          <w:rFonts w:ascii="Times New Roman" w:hAnsi="Times New Roman" w:cs="Times New Roman"/>
          <w:sz w:val="28"/>
          <w:szCs w:val="28"/>
        </w:rPr>
        <w:t>Does resection after neoadjuvant chemotherapy of Docetaxel, oxaliplatin, and S-1 (DOS regimen) benefit for gastric cancer patients with single non-curable factor? A multicenter, prospective cohort study (Neo-REGATTA)</w:t>
      </w:r>
    </w:p>
    <w:p w14:paraId="721D6FF0" w14:textId="6E5C3602" w:rsidR="0098371F" w:rsidRDefault="0098371F">
      <w:pPr>
        <w:rPr>
          <w:rFonts w:ascii="Times New Roman" w:hAnsi="Times New Roman" w:cs="Times New Roman"/>
          <w:sz w:val="28"/>
          <w:szCs w:val="28"/>
        </w:rPr>
      </w:pPr>
    </w:p>
    <w:p w14:paraId="110E3163" w14:textId="5072AEC8" w:rsidR="0098371F" w:rsidRDefault="0098371F" w:rsidP="0098371F">
      <w:pPr>
        <w:spacing w:line="360" w:lineRule="auto"/>
        <w:rPr>
          <w:rFonts w:ascii="Times New Roman" w:hAnsi="Times New Roman" w:cs="Times New Roman"/>
          <w:sz w:val="24"/>
          <w:szCs w:val="24"/>
        </w:rPr>
      </w:pPr>
      <w:r w:rsidRPr="0098371F">
        <w:rPr>
          <w:rFonts w:ascii="Times New Roman" w:hAnsi="Times New Roman" w:cs="Times New Roman"/>
          <w:b/>
          <w:bCs/>
          <w:sz w:val="24"/>
          <w:szCs w:val="24"/>
        </w:rPr>
        <w:t>The inclusion criteria were</w:t>
      </w:r>
      <w:r>
        <w:rPr>
          <w:rFonts w:ascii="Times New Roman" w:hAnsi="Times New Roman" w:cs="Times New Roman"/>
          <w:sz w:val="24"/>
          <w:szCs w:val="24"/>
        </w:rPr>
        <w:t>:</w:t>
      </w:r>
      <w:r w:rsidRPr="00E053BF">
        <w:rPr>
          <w:rFonts w:ascii="Times New Roman" w:hAnsi="Times New Roman" w:cs="Times New Roman"/>
          <w:sz w:val="24"/>
          <w:szCs w:val="24"/>
        </w:rPr>
        <w:t xml:space="preserve"> </w:t>
      </w:r>
      <w:r w:rsidRPr="00322621">
        <w:rPr>
          <w:rFonts w:ascii="Times New Roman" w:hAnsi="Times New Roman" w:cs="Times New Roman"/>
          <w:sz w:val="24"/>
          <w:szCs w:val="24"/>
        </w:rPr>
        <w:t xml:space="preserve">1) 18-75 years of age, 2) Eastern Cooperative oncology Group (ECOG) performance status (PS) ≤1, 3) histologically confirmed gastric adenocarcinoma (including Lauren classification), 4) single </w:t>
      </w:r>
      <w:proofErr w:type="spellStart"/>
      <w:r w:rsidRPr="00322621">
        <w:rPr>
          <w:rFonts w:ascii="Times New Roman" w:hAnsi="Times New Roman" w:cs="Times New Roman"/>
          <w:sz w:val="24"/>
          <w:szCs w:val="24"/>
        </w:rPr>
        <w:t>oligometastasis</w:t>
      </w:r>
      <w:proofErr w:type="spellEnd"/>
      <w:r w:rsidRPr="00322621">
        <w:rPr>
          <w:rFonts w:ascii="Times New Roman" w:hAnsi="Times New Roman" w:cs="Times New Roman"/>
          <w:sz w:val="24"/>
          <w:szCs w:val="24"/>
        </w:rPr>
        <w:t xml:space="preserve"> revealed by thoracic CT, abdominal CT/magnetic resonance imaging (MRI) at first visit, including liver metastasis (H1), peritoneum metastasis (P1), para-aortic lymph node metastasis (No. 16), and ovarian metastasis, 5) measurable lesions according to RECIST v1.1 or peritoneum metastasis (P1) under laparoscopy, 6) performance status and organ function eligible for radical operation of primary and metastatic lesion, 7) baseline blood routine and biochemistry results in accord with following standards: hemoglobin ≥80 g/L, absolute neutrophil count (ANC) ≥1.5×10</w:t>
      </w:r>
      <w:r w:rsidRPr="00322621">
        <w:rPr>
          <w:rFonts w:ascii="Times New Roman" w:hAnsi="Times New Roman" w:cs="Times New Roman"/>
          <w:sz w:val="24"/>
          <w:szCs w:val="24"/>
          <w:vertAlign w:val="superscript"/>
        </w:rPr>
        <w:t>9</w:t>
      </w:r>
      <w:r w:rsidRPr="00322621">
        <w:rPr>
          <w:rFonts w:ascii="Times New Roman" w:hAnsi="Times New Roman" w:cs="Times New Roman"/>
          <w:sz w:val="24"/>
          <w:szCs w:val="24"/>
        </w:rPr>
        <w:t>/L, platelet ≥100×10</w:t>
      </w:r>
      <w:r w:rsidRPr="00322621">
        <w:rPr>
          <w:rFonts w:ascii="Times New Roman" w:hAnsi="Times New Roman" w:cs="Times New Roman"/>
          <w:sz w:val="24"/>
          <w:szCs w:val="24"/>
          <w:vertAlign w:val="superscript"/>
        </w:rPr>
        <w:t>9</w:t>
      </w:r>
      <w:r w:rsidRPr="00322621">
        <w:rPr>
          <w:rFonts w:ascii="Times New Roman" w:hAnsi="Times New Roman" w:cs="Times New Roman"/>
          <w:sz w:val="24"/>
          <w:szCs w:val="24"/>
        </w:rPr>
        <w:t>/L, alanine aminotransferase (ALT), aspartate aminotransferase (AST), alkaline phosphatase (ALP) ≤2.5 the upper limit of normal (ULN), total serum bilirubin (TSB) &lt;1.5 ULN, serum creatinine (</w:t>
      </w:r>
      <w:proofErr w:type="spellStart"/>
      <w:r w:rsidRPr="00322621">
        <w:rPr>
          <w:rFonts w:ascii="Times New Roman" w:hAnsi="Times New Roman" w:cs="Times New Roman"/>
          <w:sz w:val="24"/>
          <w:szCs w:val="24"/>
        </w:rPr>
        <w:t>Scr</w:t>
      </w:r>
      <w:proofErr w:type="spellEnd"/>
      <w:r w:rsidRPr="00322621">
        <w:rPr>
          <w:rFonts w:ascii="Times New Roman" w:hAnsi="Times New Roman" w:cs="Times New Roman"/>
          <w:sz w:val="24"/>
          <w:szCs w:val="24"/>
        </w:rPr>
        <w:t>) &lt;ULN, and albumin (ALB) ≥30 g/L, 8) no severe concomitant disease leading to an OS of &lt;5 years, and 9) ability to understand the study and/or comply with the protocol procedures.</w:t>
      </w:r>
    </w:p>
    <w:p w14:paraId="5AA81CE0" w14:textId="77777777" w:rsidR="0098371F" w:rsidRPr="00322621" w:rsidRDefault="0098371F" w:rsidP="0098371F">
      <w:pPr>
        <w:spacing w:line="360" w:lineRule="auto"/>
        <w:rPr>
          <w:rFonts w:ascii="Times New Roman" w:hAnsi="Times New Roman" w:cs="Times New Roman"/>
          <w:sz w:val="24"/>
          <w:szCs w:val="24"/>
        </w:rPr>
      </w:pPr>
    </w:p>
    <w:p w14:paraId="6290D340" w14:textId="23856B50" w:rsidR="0098371F" w:rsidRPr="0098371F" w:rsidRDefault="0098371F" w:rsidP="0098371F">
      <w:pPr>
        <w:spacing w:line="360" w:lineRule="auto"/>
        <w:rPr>
          <w:rFonts w:ascii="Times New Roman" w:hAnsi="Times New Roman" w:cs="Times New Roman"/>
          <w:sz w:val="28"/>
          <w:szCs w:val="28"/>
        </w:rPr>
      </w:pPr>
      <w:r w:rsidRPr="0098371F">
        <w:rPr>
          <w:rFonts w:ascii="Times New Roman" w:hAnsi="Times New Roman" w:cs="Times New Roman"/>
          <w:b/>
          <w:bCs/>
          <w:sz w:val="24"/>
          <w:szCs w:val="24"/>
        </w:rPr>
        <w:t xml:space="preserve">The exclusion criteria were: </w:t>
      </w:r>
      <w:r w:rsidRPr="00322621">
        <w:rPr>
          <w:rFonts w:ascii="Times New Roman" w:hAnsi="Times New Roman" w:cs="Times New Roman"/>
          <w:sz w:val="24"/>
          <w:szCs w:val="24"/>
        </w:rPr>
        <w:t xml:space="preserve">1) pregnant or lactating female, 2) positive </w:t>
      </w:r>
      <w:proofErr w:type="spellStart"/>
      <w:r w:rsidRPr="00322621">
        <w:rPr>
          <w:rFonts w:ascii="Times New Roman" w:hAnsi="Times New Roman" w:cs="Times New Roman"/>
          <w:sz w:val="24"/>
          <w:szCs w:val="24"/>
        </w:rPr>
        <w:t>hCG</w:t>
      </w:r>
      <w:proofErr w:type="spellEnd"/>
      <w:r w:rsidRPr="00322621">
        <w:rPr>
          <w:rFonts w:ascii="Times New Roman" w:hAnsi="Times New Roman" w:cs="Times New Roman"/>
          <w:sz w:val="24"/>
          <w:szCs w:val="24"/>
        </w:rPr>
        <w:t xml:space="preserve"> test in female of childbearing age, 3) patients with childbearing possibility who refused contraception, 4) previous treatment for gastric adenocarcinoma, including cytotoxic chemotherapy, radiotherapy, and immunotherapy, 5) other malignant disease in recent 5 years, excepting cured </w:t>
      </w:r>
      <w:proofErr w:type="spellStart"/>
      <w:r w:rsidRPr="00322621">
        <w:rPr>
          <w:rFonts w:ascii="Times New Roman" w:hAnsi="Times New Roman" w:cs="Times New Roman"/>
          <w:sz w:val="24"/>
          <w:szCs w:val="24"/>
        </w:rPr>
        <w:t>cutaneum</w:t>
      </w:r>
      <w:proofErr w:type="spellEnd"/>
      <w:r w:rsidRPr="00322621">
        <w:rPr>
          <w:rFonts w:ascii="Times New Roman" w:hAnsi="Times New Roman" w:cs="Times New Roman"/>
          <w:sz w:val="24"/>
          <w:szCs w:val="24"/>
        </w:rPr>
        <w:t xml:space="preserve"> carcinoma and cervical carcinoma in situ, 6) uncontrolled epilepsy, CNS disease or mental disorder that would probably affect the validation of informed consent and the obedience of taking medicine, 7) severe (active) </w:t>
      </w:r>
      <w:r w:rsidRPr="00322621">
        <w:rPr>
          <w:rFonts w:ascii="Times New Roman" w:hAnsi="Times New Roman" w:cs="Times New Roman"/>
          <w:sz w:val="24"/>
          <w:szCs w:val="24"/>
        </w:rPr>
        <w:lastRenderedPageBreak/>
        <w:t xml:space="preserve">heart disease, e.g., symptomatic cardiovascular disease (CVD), congestive heart failure (CHF) NYHA ≥1, arrhythmia in need of intervention, or myocardial infarction in the recent 12 months, 8) obstruction or dysfunction of upper GI tract or malabsorption syndrome which can affect the absorption of S-1, 9) preexisting peripheral neuropathy NCI CTC AE grade ≥1 (patients with only DTR will not be excluded), 10) organ transplant recipients who needed immunosuppression therapy, 11) severe uncontrolled recurrent infection, or other severe uncontrolled concomitant disease, 12) moderate to severe kidney injury (creatinine clearance rate (CCR) &lt;50 ml/min, based on </w:t>
      </w:r>
      <w:proofErr w:type="spellStart"/>
      <w:r w:rsidRPr="00322621">
        <w:rPr>
          <w:rFonts w:ascii="Times New Roman" w:hAnsi="Times New Roman" w:cs="Times New Roman"/>
          <w:sz w:val="24"/>
          <w:szCs w:val="24"/>
        </w:rPr>
        <w:t>Cockroft</w:t>
      </w:r>
      <w:proofErr w:type="spellEnd"/>
      <w:r w:rsidRPr="00322621">
        <w:rPr>
          <w:rFonts w:ascii="Times New Roman" w:hAnsi="Times New Roman" w:cs="Times New Roman"/>
          <w:sz w:val="24"/>
          <w:szCs w:val="24"/>
        </w:rPr>
        <w:t xml:space="preserve"> and Gault formula) or </w:t>
      </w:r>
      <w:proofErr w:type="spellStart"/>
      <w:r w:rsidRPr="00322621">
        <w:rPr>
          <w:rFonts w:ascii="Times New Roman" w:hAnsi="Times New Roman" w:cs="Times New Roman"/>
          <w:sz w:val="24"/>
          <w:szCs w:val="24"/>
        </w:rPr>
        <w:t>Scr</w:t>
      </w:r>
      <w:proofErr w:type="spellEnd"/>
      <w:r w:rsidRPr="00322621">
        <w:rPr>
          <w:rFonts w:ascii="Times New Roman" w:hAnsi="Times New Roman" w:cs="Times New Roman"/>
          <w:sz w:val="24"/>
          <w:szCs w:val="24"/>
        </w:rPr>
        <w:t xml:space="preserve"> &gt;ULN, 13) DPD deficiency patients, 14) allergic to platinum or any other drugs involved, or 15) having participated in other clinical trials in 4 weeks’ time before the enrollment.</w:t>
      </w:r>
    </w:p>
    <w:sectPr w:rsidR="0098371F" w:rsidRPr="009837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4BC"/>
    <w:rsid w:val="00505501"/>
    <w:rsid w:val="008F5FB2"/>
    <w:rsid w:val="0098371F"/>
    <w:rsid w:val="00C874BC"/>
    <w:rsid w:val="00FA4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13D7B"/>
  <w15:chartTrackingRefBased/>
  <w15:docId w15:val="{38B2DE85-2618-4BEE-880F-02CCC4DE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yuehong cui</dc:creator>
  <cp:keywords/>
  <dc:description/>
  <cp:lastModifiedBy>yuehong cui</cp:lastModifiedBy>
  <cp:revision>4</cp:revision>
  <dcterms:created xsi:type="dcterms:W3CDTF">2022-04-09T06:48:00Z</dcterms:created>
  <dcterms:modified xsi:type="dcterms:W3CDTF">2022-12-24T11:47:00Z</dcterms:modified>
</cp:coreProperties>
</file>