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2"/>
        <w:spacing w:before="0" w:after="0" w:line="480" w:lineRule="auto"/>
        <w:jc w:val="center"/>
        <w:rPr>
          <w:rFonts w:ascii="Times New Roman" w:hAnsi="Times New Roman"/>
          <w:sz w:val="32"/>
        </w:rPr>
      </w:pPr>
      <w:bookmarkStart w:id="0" w:name="_Hlk117613134"/>
      <w:bookmarkEnd w:id="0"/>
      <w:bookmarkStart w:id="6" w:name="_GoBack"/>
      <w:r>
        <w:rPr>
          <w:rFonts w:ascii="Times New Roman" w:hAnsi="Times New Roman"/>
          <w:sz w:val="32"/>
        </w:rPr>
        <w:t xml:space="preserve">Supporting </w:t>
      </w:r>
      <w:bookmarkStart w:id="1" w:name="_Hlk118909341"/>
      <w:bookmarkEnd w:id="1"/>
      <w:bookmarkStart w:id="2" w:name="_Hlk117939735"/>
      <w:r>
        <w:rPr>
          <w:rFonts w:ascii="Times New Roman" w:hAnsi="Times New Roman"/>
          <w:sz w:val="32"/>
          <w:lang w:eastAsia="zh-CN"/>
        </w:rPr>
        <w:t xml:space="preserve">Material </w:t>
      </w:r>
    </w:p>
    <w:p>
      <w:pPr>
        <w:pStyle w:val="23"/>
        <w:spacing w:after="0" w:line="240" w:lineRule="auto"/>
        <w:jc w:val="center"/>
        <w:rPr>
          <w:rFonts w:ascii="Times New Roman" w:hAnsi="Times New Roman"/>
          <w:b/>
          <w:bCs/>
          <w:color w:val="000000"/>
          <w:sz w:val="32"/>
          <w:szCs w:val="32"/>
        </w:rPr>
      </w:pPr>
      <w:r>
        <w:rPr>
          <w:rFonts w:hint="eastAsia" w:ascii="Times New Roman" w:hAnsi="Times New Roman"/>
          <w:b/>
          <w:bCs/>
          <w:color w:val="000000"/>
          <w:sz w:val="32"/>
          <w:szCs w:val="32"/>
        </w:rPr>
        <w:t xml:space="preserve">Fe-modified fly ash/cotton stalk biochar </w:t>
      </w:r>
      <w:r>
        <w:rPr>
          <w:rFonts w:ascii="Times New Roman" w:hAnsi="Times New Roman"/>
          <w:b/>
          <w:bCs/>
          <w:color w:val="000000"/>
          <w:sz w:val="32"/>
          <w:szCs w:val="32"/>
        </w:rPr>
        <w:t>composites</w:t>
      </w:r>
      <w:r>
        <w:rPr>
          <w:rFonts w:hint="eastAsia" w:ascii="Times New Roman" w:hAnsi="Times New Roman"/>
          <w:b/>
          <w:bCs/>
          <w:color w:val="000000"/>
          <w:sz w:val="32"/>
          <w:szCs w:val="32"/>
        </w:rPr>
        <w:t xml:space="preserve"> for efficient removal of phosphate in water: mechanisms and green-reuse potential</w:t>
      </w:r>
      <w:r>
        <w:rPr>
          <w:rFonts w:ascii="Times New Roman" w:hAnsi="Times New Roman"/>
          <w:b/>
          <w:bCs/>
          <w:color w:val="000000"/>
          <w:sz w:val="32"/>
          <w:szCs w:val="32"/>
        </w:rPr>
        <w:t xml:space="preserve"> </w:t>
      </w:r>
    </w:p>
    <w:p>
      <w:pPr>
        <w:pStyle w:val="23"/>
        <w:spacing w:after="0" w:line="240" w:lineRule="auto"/>
        <w:jc w:val="center"/>
        <w:rPr>
          <w:rFonts w:ascii="Times New Roman" w:hAnsi="Times New Roman"/>
          <w:sz w:val="20"/>
          <w:szCs w:val="20"/>
        </w:rPr>
      </w:pPr>
      <w:r>
        <w:rPr>
          <w:rFonts w:ascii="Times New Roman" w:hAnsi="Times New Roman"/>
          <w:sz w:val="20"/>
          <w:szCs w:val="20"/>
        </w:rPr>
        <w:t>Mengqi Hao</w:t>
      </w:r>
      <w:r>
        <w:rPr>
          <w:rFonts w:hint="eastAsia" w:ascii="Times New Roman" w:hAnsi="Times New Roman"/>
          <w:sz w:val="20"/>
          <w:szCs w:val="20"/>
          <w:lang w:val="en-US" w:eastAsia="zh-CN"/>
        </w:rPr>
        <w:t xml:space="preserve"> </w:t>
      </w:r>
      <w:r>
        <w:rPr>
          <w:rFonts w:ascii="Times New Roman" w:hAnsi="Times New Roman"/>
          <w:sz w:val="20"/>
          <w:szCs w:val="20"/>
          <w:vertAlign w:val="superscript"/>
        </w:rPr>
        <w:t>a</w:t>
      </w:r>
      <w:r>
        <w:rPr>
          <w:rFonts w:ascii="Times New Roman" w:hAnsi="Times New Roman"/>
          <w:sz w:val="20"/>
          <w:szCs w:val="20"/>
        </w:rPr>
        <w:t>, Wei Wu</w:t>
      </w:r>
      <w:r>
        <w:rPr>
          <w:rFonts w:hint="eastAsia" w:ascii="Times New Roman" w:hAnsi="Times New Roman"/>
          <w:sz w:val="20"/>
          <w:szCs w:val="20"/>
          <w:lang w:val="en-US" w:eastAsia="zh-CN"/>
        </w:rPr>
        <w:t xml:space="preserve"> </w:t>
      </w:r>
      <w:r>
        <w:rPr>
          <w:rFonts w:ascii="Times New Roman" w:hAnsi="Times New Roman"/>
          <w:sz w:val="20"/>
          <w:szCs w:val="20"/>
          <w:vertAlign w:val="superscript"/>
        </w:rPr>
        <w:t>a,</w:t>
      </w:r>
      <w:r>
        <w:rPr>
          <w:rFonts w:ascii="Times New Roman" w:hAnsi="Times New Roman"/>
          <w:sz w:val="20"/>
          <w:szCs w:val="20"/>
        </w:rPr>
        <w:t xml:space="preserve"> </w:t>
      </w:r>
      <w:r>
        <w:rPr>
          <w:rFonts w:ascii="Times New Roman" w:hAnsi="Times New Roman"/>
          <w:sz w:val="20"/>
          <w:szCs w:val="20"/>
          <w:vertAlign w:val="superscript"/>
        </w:rPr>
        <w:t>b, *</w:t>
      </w:r>
      <w:r>
        <w:rPr>
          <w:rFonts w:ascii="Times New Roman" w:hAnsi="Times New Roman"/>
          <w:sz w:val="20"/>
          <w:szCs w:val="20"/>
        </w:rPr>
        <w:t>, Nuzahat Habibul</w:t>
      </w:r>
      <w:r>
        <w:rPr>
          <w:rFonts w:hint="eastAsia" w:ascii="Times New Roman" w:hAnsi="Times New Roman"/>
          <w:sz w:val="20"/>
          <w:szCs w:val="20"/>
          <w:lang w:val="en-US" w:eastAsia="zh-CN"/>
        </w:rPr>
        <w:t xml:space="preserve"> </w:t>
      </w:r>
      <w:r>
        <w:rPr>
          <w:rFonts w:ascii="Times New Roman" w:hAnsi="Times New Roman"/>
          <w:sz w:val="20"/>
          <w:szCs w:val="20"/>
          <w:vertAlign w:val="superscript"/>
        </w:rPr>
        <w:t>a, b</w:t>
      </w:r>
      <w:r>
        <w:rPr>
          <w:rFonts w:ascii="Times New Roman" w:hAnsi="Times New Roman"/>
          <w:sz w:val="20"/>
          <w:szCs w:val="20"/>
        </w:rPr>
        <w:t>, Guang C</w:t>
      </w:r>
      <w:r>
        <w:rPr>
          <w:rFonts w:hint="eastAsia" w:ascii="Times New Roman" w:hAnsi="Times New Roman"/>
          <w:sz w:val="20"/>
          <w:szCs w:val="20"/>
        </w:rPr>
        <w:t>h</w:t>
      </w:r>
      <w:r>
        <w:rPr>
          <w:rFonts w:ascii="Times New Roman" w:hAnsi="Times New Roman"/>
          <w:sz w:val="20"/>
          <w:szCs w:val="20"/>
        </w:rPr>
        <w:t>ai</w:t>
      </w:r>
      <w:r>
        <w:rPr>
          <w:rFonts w:hint="eastAsia" w:ascii="Times New Roman" w:hAnsi="Times New Roman"/>
          <w:sz w:val="20"/>
          <w:szCs w:val="20"/>
          <w:lang w:val="en-US" w:eastAsia="zh-CN"/>
        </w:rPr>
        <w:t xml:space="preserve"> </w:t>
      </w:r>
      <w:r>
        <w:rPr>
          <w:rFonts w:ascii="Times New Roman" w:hAnsi="Times New Roman"/>
          <w:sz w:val="20"/>
          <w:szCs w:val="20"/>
          <w:vertAlign w:val="superscript"/>
        </w:rPr>
        <w:t>a</w:t>
      </w:r>
      <w:r>
        <w:rPr>
          <w:rFonts w:ascii="Times New Roman" w:hAnsi="Times New Roman"/>
          <w:sz w:val="20"/>
          <w:szCs w:val="20"/>
        </w:rPr>
        <w:t>, Xiaoli Ma</w:t>
      </w:r>
      <w:r>
        <w:rPr>
          <w:rFonts w:hint="eastAsia" w:ascii="Times New Roman" w:hAnsi="Times New Roman"/>
          <w:sz w:val="20"/>
          <w:szCs w:val="20"/>
          <w:lang w:val="en-US" w:eastAsia="zh-CN"/>
        </w:rPr>
        <w:t xml:space="preserve"> </w:t>
      </w:r>
      <w:r>
        <w:rPr>
          <w:rFonts w:ascii="Times New Roman" w:hAnsi="Times New Roman"/>
          <w:sz w:val="20"/>
          <w:szCs w:val="20"/>
          <w:vertAlign w:val="superscript"/>
        </w:rPr>
        <w:t>a, b</w:t>
      </w:r>
      <w:r>
        <w:rPr>
          <w:rFonts w:ascii="Times New Roman" w:hAnsi="Times New Roman"/>
          <w:sz w:val="20"/>
          <w:szCs w:val="20"/>
        </w:rPr>
        <w:t>, Xiaoqian Ma</w:t>
      </w:r>
      <w:r>
        <w:rPr>
          <w:rFonts w:hint="eastAsia" w:ascii="Times New Roman" w:hAnsi="Times New Roman"/>
          <w:sz w:val="20"/>
          <w:szCs w:val="20"/>
          <w:lang w:val="en-US" w:eastAsia="zh-CN"/>
        </w:rPr>
        <w:t xml:space="preserve"> </w:t>
      </w:r>
      <w:r>
        <w:rPr>
          <w:rFonts w:ascii="Times New Roman" w:hAnsi="Times New Roman"/>
          <w:sz w:val="20"/>
          <w:szCs w:val="20"/>
          <w:vertAlign w:val="superscript"/>
        </w:rPr>
        <w:t>a</w:t>
      </w:r>
    </w:p>
    <w:p>
      <w:pPr>
        <w:pStyle w:val="23"/>
        <w:spacing w:after="0" w:line="240" w:lineRule="auto"/>
        <w:jc w:val="center"/>
        <w:rPr>
          <w:rFonts w:ascii="Times New Roman" w:hAnsi="Times New Roman"/>
          <w:sz w:val="20"/>
          <w:szCs w:val="20"/>
        </w:rPr>
      </w:pPr>
      <w:r>
        <w:rPr>
          <w:rFonts w:ascii="Times New Roman" w:hAnsi="Times New Roman"/>
          <w:sz w:val="20"/>
          <w:szCs w:val="20"/>
          <w:vertAlign w:val="superscript"/>
        </w:rPr>
        <w:t>a</w:t>
      </w:r>
      <w:r>
        <w:rPr>
          <w:rFonts w:ascii="Times New Roman" w:hAnsi="Times New Roman"/>
          <w:sz w:val="20"/>
          <w:szCs w:val="20"/>
        </w:rPr>
        <w:t xml:space="preserve"> College of Chemistry and chemical Engineering, Xinjiang Normal University, Urumqi, 830054, China</w:t>
      </w:r>
    </w:p>
    <w:p>
      <w:pPr>
        <w:pStyle w:val="23"/>
        <w:spacing w:after="0" w:line="240" w:lineRule="auto"/>
        <w:jc w:val="center"/>
        <w:rPr>
          <w:rFonts w:ascii="Times New Roman" w:hAnsi="Times New Roman"/>
          <w:sz w:val="20"/>
          <w:szCs w:val="20"/>
        </w:rPr>
      </w:pPr>
      <w:r>
        <w:rPr>
          <w:rFonts w:ascii="Times New Roman" w:hAnsi="Times New Roman"/>
          <w:sz w:val="20"/>
          <w:szCs w:val="20"/>
          <w:vertAlign w:val="superscript"/>
        </w:rPr>
        <w:t>b</w:t>
      </w:r>
      <w:r>
        <w:rPr>
          <w:rFonts w:ascii="Times New Roman" w:hAnsi="Times New Roman"/>
          <w:sz w:val="20"/>
          <w:szCs w:val="20"/>
        </w:rPr>
        <w:t xml:space="preserve"> Xinjiang Key Laboratory of Energy Storage and Photoelectrocatalytic Materials, Xinjiang Normal University, Urumqi 830054, China</w:t>
      </w:r>
    </w:p>
    <w:p>
      <w:pPr>
        <w:pStyle w:val="23"/>
        <w:spacing w:after="0" w:line="240" w:lineRule="auto"/>
        <w:jc w:val="center"/>
        <w:rPr>
          <w:rFonts w:ascii="Times New Roman" w:hAnsi="Times New Roman"/>
          <w:sz w:val="20"/>
          <w:szCs w:val="20"/>
        </w:rPr>
      </w:pPr>
      <w:r>
        <w:rPr>
          <w:rFonts w:ascii="Times New Roman" w:hAnsi="Times New Roman"/>
          <w:sz w:val="20"/>
          <w:szCs w:val="20"/>
          <w:vertAlign w:val="superscript"/>
        </w:rPr>
        <w:t>*</w:t>
      </w:r>
      <w:r>
        <w:rPr>
          <w:rFonts w:ascii="Times New Roman" w:hAnsi="Times New Roman"/>
          <w:sz w:val="20"/>
          <w:szCs w:val="20"/>
        </w:rPr>
        <w:t xml:space="preserve"> Corresponding author E-mail: </w:t>
      </w:r>
      <w:r>
        <w:fldChar w:fldCharType="begin"/>
      </w:r>
      <w:r>
        <w:instrText xml:space="preserve"> HYPERLINK "mailto:wuwei0523@sina.cn" </w:instrText>
      </w:r>
      <w:r>
        <w:fldChar w:fldCharType="separate"/>
      </w:r>
      <w:r>
        <w:rPr>
          <w:rFonts w:ascii="Times New Roman" w:hAnsi="Times New Roman"/>
          <w:sz w:val="20"/>
          <w:szCs w:val="20"/>
        </w:rPr>
        <w:t>wuwei0523@sina.cn</w:t>
      </w:r>
      <w:r>
        <w:rPr>
          <w:rFonts w:ascii="Times New Roman" w:hAnsi="Times New Roman"/>
          <w:sz w:val="20"/>
          <w:szCs w:val="20"/>
        </w:rPr>
        <w:fldChar w:fldCharType="end"/>
      </w:r>
    </w:p>
    <w:bookmarkEnd w:id="6"/>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lang w:bidi="ar"/>
        </w:rPr>
      </w:pPr>
    </w:p>
    <w:p>
      <w:pPr>
        <w:rPr>
          <w:kern w:val="0"/>
          <w:sz w:val="24"/>
          <w:szCs w:val="24"/>
        </w:rPr>
      </w:pPr>
      <w:r>
        <w:t>This file contains 14 pages, including Text S1</w:t>
      </w:r>
      <w:r>
        <w:rPr>
          <w:rFonts w:hint="eastAsia"/>
        </w:rPr>
        <w:t>-S</w:t>
      </w:r>
      <w:r>
        <w:t>3, Figure S1-S6, and Table S1-S3.</w:t>
      </w:r>
    </w:p>
    <w:p>
      <w:pPr>
        <w:rPr>
          <w:lang w:bidi="ar"/>
        </w:rPr>
      </w:pPr>
      <w:r>
        <w:rPr>
          <w:lang w:bidi="ar"/>
        </w:rPr>
        <w:br w:type="page"/>
      </w:r>
    </w:p>
    <w:bookmarkEnd w:id="2"/>
    <w:p>
      <w:pPr>
        <w:rPr>
          <w:rFonts w:eastAsia="等线"/>
          <w:b/>
          <w:sz w:val="24"/>
          <w:szCs w:val="24"/>
        </w:rPr>
      </w:pPr>
      <w:r>
        <w:rPr>
          <w:rFonts w:eastAsia="等线"/>
          <w:b/>
          <w:sz w:val="24"/>
          <w:szCs w:val="24"/>
        </w:rPr>
        <w:t>Summary</w:t>
      </w:r>
    </w:p>
    <w:p>
      <w:pPr>
        <w:spacing w:line="360" w:lineRule="auto"/>
        <w:rPr>
          <w:rFonts w:eastAsia="等线"/>
          <w:b/>
          <w:sz w:val="20"/>
          <w:szCs w:val="20"/>
        </w:rPr>
      </w:pPr>
      <w:r>
        <w:rPr>
          <w:rFonts w:eastAsia="等线"/>
          <w:b/>
          <w:sz w:val="20"/>
          <w:szCs w:val="20"/>
        </w:rPr>
        <w:t>Text S1</w:t>
      </w:r>
      <w:r>
        <w:rPr>
          <w:sz w:val="20"/>
          <w:szCs w:val="20"/>
          <w:lang w:bidi="ar"/>
        </w:rPr>
        <w:t xml:space="preserve"> Optimization of pyrolysis temperature and FA content</w:t>
      </w:r>
      <w:r>
        <w:rPr>
          <w:rFonts w:eastAsia="等线"/>
          <w:b/>
          <w:sz w:val="20"/>
          <w:szCs w:val="20"/>
        </w:rPr>
        <w:t xml:space="preserve"> </w:t>
      </w:r>
    </w:p>
    <w:p>
      <w:pPr>
        <w:spacing w:line="360" w:lineRule="auto"/>
        <w:rPr>
          <w:rFonts w:eastAsia="等线"/>
          <w:bCs/>
          <w:sz w:val="20"/>
          <w:szCs w:val="20"/>
        </w:rPr>
      </w:pPr>
      <w:r>
        <w:rPr>
          <w:rFonts w:eastAsia="等线"/>
          <w:b/>
          <w:sz w:val="20"/>
          <w:szCs w:val="20"/>
        </w:rPr>
        <w:t>Text S2</w:t>
      </w:r>
      <w:r>
        <w:rPr>
          <w:sz w:val="20"/>
          <w:szCs w:val="20"/>
          <w:lang w:bidi="ar"/>
        </w:rPr>
        <w:t xml:space="preserve"> Characterization of materials</w:t>
      </w:r>
    </w:p>
    <w:p>
      <w:pPr>
        <w:spacing w:line="360" w:lineRule="auto"/>
        <w:rPr>
          <w:sz w:val="20"/>
          <w:szCs w:val="20"/>
        </w:rPr>
      </w:pPr>
      <w:r>
        <w:rPr>
          <w:rFonts w:eastAsia="等线"/>
          <w:b/>
          <w:sz w:val="20"/>
          <w:szCs w:val="20"/>
        </w:rPr>
        <w:t>Text S3</w:t>
      </w:r>
      <w:r>
        <w:rPr>
          <w:sz w:val="20"/>
          <w:szCs w:val="20"/>
        </w:rPr>
        <w:t xml:space="preserve"> Leaching of iron ions</w:t>
      </w:r>
    </w:p>
    <w:p>
      <w:pPr>
        <w:spacing w:line="360" w:lineRule="auto"/>
        <w:rPr>
          <w:kern w:val="0"/>
          <w:sz w:val="20"/>
          <w:szCs w:val="20"/>
        </w:rPr>
      </w:pPr>
      <w:r>
        <w:rPr>
          <w:b/>
          <w:bCs/>
          <w:sz w:val="20"/>
          <w:szCs w:val="20"/>
        </w:rPr>
        <w:t>Fig. S1</w:t>
      </w:r>
      <w:r>
        <w:rPr>
          <w:sz w:val="20"/>
          <w:szCs w:val="20"/>
        </w:rPr>
        <w:t xml:space="preserve"> Effects of (a) biochar pyrolysis temperature and (b) fly ash content </w:t>
      </w:r>
      <w:r>
        <w:rPr>
          <w:rFonts w:hint="eastAsia"/>
          <w:sz w:val="20"/>
          <w:szCs w:val="20"/>
        </w:rPr>
        <w:t>in</w:t>
      </w:r>
      <w:r>
        <w:rPr>
          <w:sz w:val="20"/>
          <w:szCs w:val="20"/>
        </w:rPr>
        <w:t xml:space="preserve"> FBC adsorbent on phosphate adsorption</w:t>
      </w:r>
      <w:r>
        <w:rPr>
          <w:rFonts w:eastAsia="Calibri"/>
          <w:sz w:val="20"/>
          <w:szCs w:val="20"/>
        </w:rPr>
        <w:t xml:space="preserve"> (Initial phosphate concentration: 25 mg/L, pH: 7, adsorbent dosage: 2 g/L, contact time: 720 min)</w:t>
      </w:r>
    </w:p>
    <w:p>
      <w:pPr>
        <w:spacing w:line="360" w:lineRule="auto"/>
        <w:rPr>
          <w:kern w:val="0"/>
          <w:sz w:val="20"/>
          <w:szCs w:val="20"/>
        </w:rPr>
      </w:pPr>
      <w:r>
        <w:rPr>
          <w:rFonts w:eastAsia="等线"/>
          <w:b/>
          <w:sz w:val="20"/>
          <w:szCs w:val="20"/>
        </w:rPr>
        <w:t>Fig. S2</w:t>
      </w:r>
      <w:r>
        <w:rPr>
          <w:sz w:val="20"/>
          <w:szCs w:val="20"/>
        </w:rPr>
        <w:t xml:space="preserve"> SEM images of the samples. (a) BC, (b) FA, (c) FBC, (d) Fe-FBC</w:t>
      </w:r>
    </w:p>
    <w:p>
      <w:pPr>
        <w:spacing w:line="360" w:lineRule="auto"/>
        <w:rPr>
          <w:sz w:val="20"/>
          <w:szCs w:val="20"/>
        </w:rPr>
      </w:pPr>
      <w:r>
        <w:rPr>
          <w:b/>
          <w:bCs/>
          <w:sz w:val="20"/>
          <w:szCs w:val="20"/>
        </w:rPr>
        <w:t>Fig. S3</w:t>
      </w:r>
      <w:r>
        <w:rPr>
          <w:sz w:val="20"/>
          <w:szCs w:val="20"/>
        </w:rPr>
        <w:t xml:space="preserve"> Leaching of ferrous and ferric ions from Fe-FBC</w:t>
      </w:r>
    </w:p>
    <w:p>
      <w:pPr>
        <w:spacing w:line="360" w:lineRule="auto"/>
        <w:rPr>
          <w:kern w:val="0"/>
          <w:sz w:val="20"/>
          <w:szCs w:val="20"/>
        </w:rPr>
      </w:pPr>
      <w:r>
        <w:rPr>
          <w:b/>
          <w:bCs/>
          <w:sz w:val="20"/>
          <w:szCs w:val="20"/>
        </w:rPr>
        <w:t>Fig. S4</w:t>
      </w:r>
      <w:r>
        <w:rPr>
          <w:sz w:val="20"/>
          <w:szCs w:val="20"/>
        </w:rPr>
        <w:t xml:space="preserve"> Phosphate adsorption capacity of </w:t>
      </w:r>
      <w:r>
        <w:rPr>
          <w:rFonts w:eastAsiaTheme="minorEastAsia"/>
          <w:sz w:val="20"/>
          <w:szCs w:val="20"/>
        </w:rPr>
        <w:t>BC, FBC, Fe-FBC, Fe-BC and Fe-FA</w:t>
      </w:r>
      <w:r>
        <w:rPr>
          <w:rFonts w:eastAsia="Calibri"/>
          <w:sz w:val="20"/>
          <w:szCs w:val="20"/>
        </w:rPr>
        <w:t xml:space="preserve"> (Initial phosphate concentration: 25 mg/L, pH: 7, adsorbent dosage: 2 g/L, contact time: 720 min)</w:t>
      </w:r>
    </w:p>
    <w:p>
      <w:pPr>
        <w:spacing w:line="360" w:lineRule="auto"/>
        <w:rPr>
          <w:sz w:val="20"/>
          <w:szCs w:val="20"/>
        </w:rPr>
      </w:pPr>
      <w:r>
        <w:rPr>
          <w:b/>
          <w:bCs/>
          <w:sz w:val="20"/>
          <w:szCs w:val="20"/>
        </w:rPr>
        <w:t>Fig. S5</w:t>
      </w:r>
      <w:r>
        <w:rPr>
          <w:sz w:val="20"/>
          <w:szCs w:val="20"/>
        </w:rPr>
        <w:t xml:space="preserve"> The effect of competing anions on (a) phosphate adsorption by BC, FBC and Fe-FBC and (b) pH of phosphate solution</w:t>
      </w:r>
    </w:p>
    <w:p>
      <w:pPr>
        <w:pStyle w:val="26"/>
        <w:spacing w:line="360" w:lineRule="auto"/>
        <w:ind w:firstLine="0" w:firstLineChars="0"/>
        <w:rPr>
          <w:rFonts w:ascii="Times New Roman" w:hAnsi="Times New Roman"/>
          <w:sz w:val="20"/>
          <w:szCs w:val="20"/>
        </w:rPr>
      </w:pPr>
      <w:r>
        <w:rPr>
          <w:rFonts w:ascii="Times New Roman" w:hAnsi="Times New Roman"/>
          <w:b/>
          <w:bCs/>
          <w:sz w:val="20"/>
          <w:szCs w:val="20"/>
        </w:rPr>
        <w:t>Fig. S6</w:t>
      </w:r>
      <w:r>
        <w:rPr>
          <w:rFonts w:ascii="Times New Roman" w:hAnsi="Times New Roman"/>
          <w:sz w:val="20"/>
          <w:szCs w:val="20"/>
        </w:rPr>
        <w:t xml:space="preserve"> (a) XRD patterns and (b) FTIR spectra of BC-P, FBC-P and Fe-FBC-P</w:t>
      </w:r>
    </w:p>
    <w:p>
      <w:pPr>
        <w:pStyle w:val="26"/>
        <w:spacing w:line="360" w:lineRule="auto"/>
        <w:ind w:firstLine="0" w:firstLineChars="0"/>
        <w:rPr>
          <w:rFonts w:ascii="Times New Roman" w:hAnsi="Times New Roman"/>
          <w:sz w:val="20"/>
          <w:szCs w:val="20"/>
        </w:rPr>
      </w:pPr>
      <w:r>
        <w:rPr>
          <w:rFonts w:ascii="Times New Roman" w:hAnsi="Times New Roman"/>
          <w:b/>
          <w:bCs/>
          <w:sz w:val="20"/>
          <w:szCs w:val="20"/>
        </w:rPr>
        <w:t xml:space="preserve">Table S1 </w:t>
      </w:r>
      <w:r>
        <w:rPr>
          <w:rFonts w:ascii="Times New Roman" w:hAnsi="Times New Roman"/>
          <w:sz w:val="20"/>
          <w:szCs w:val="20"/>
        </w:rPr>
        <w:t>BET analysis of BC, FBC and Fe-FBC</w:t>
      </w:r>
    </w:p>
    <w:p>
      <w:pPr>
        <w:spacing w:line="360" w:lineRule="auto"/>
        <w:rPr>
          <w:sz w:val="20"/>
          <w:szCs w:val="20"/>
        </w:rPr>
      </w:pPr>
      <w:r>
        <w:rPr>
          <w:b/>
          <w:bCs/>
          <w:sz w:val="20"/>
          <w:szCs w:val="20"/>
        </w:rPr>
        <w:t>Table S2</w:t>
      </w:r>
      <w:r>
        <w:rPr>
          <w:sz w:val="20"/>
          <w:szCs w:val="20"/>
        </w:rPr>
        <w:t xml:space="preserve"> Fitting data of adsorption kinetics</w:t>
      </w:r>
    </w:p>
    <w:p>
      <w:pPr>
        <w:spacing w:line="360" w:lineRule="auto"/>
        <w:rPr>
          <w:sz w:val="20"/>
          <w:szCs w:val="20"/>
        </w:rPr>
      </w:pPr>
      <w:r>
        <w:rPr>
          <w:b/>
          <w:bCs/>
          <w:sz w:val="20"/>
          <w:szCs w:val="20"/>
        </w:rPr>
        <w:t>Table S3</w:t>
      </w:r>
      <w:r>
        <w:rPr>
          <w:sz w:val="20"/>
          <w:szCs w:val="20"/>
        </w:rPr>
        <w:t xml:space="preserve"> Fitting data of adsorption isotherm</w:t>
      </w:r>
    </w:p>
    <w:p>
      <w:pPr>
        <w:spacing w:line="360" w:lineRule="auto"/>
        <w:rPr>
          <w:sz w:val="20"/>
          <w:szCs w:val="20"/>
        </w:rPr>
      </w:pPr>
    </w:p>
    <w:p>
      <w:pPr>
        <w:spacing w:line="480" w:lineRule="auto"/>
        <w:rPr>
          <w:sz w:val="20"/>
          <w:szCs w:val="20"/>
        </w:rPr>
      </w:pPr>
    </w:p>
    <w:p>
      <w:pPr>
        <w:spacing w:line="480" w:lineRule="auto"/>
        <w:rPr>
          <w:sz w:val="20"/>
          <w:szCs w:val="20"/>
        </w:rPr>
      </w:pPr>
    </w:p>
    <w:p>
      <w:pPr>
        <w:spacing w:line="480" w:lineRule="auto"/>
        <w:rPr>
          <w:sz w:val="24"/>
          <w:szCs w:val="24"/>
        </w:rPr>
      </w:pPr>
    </w:p>
    <w:p>
      <w:pPr>
        <w:spacing w:line="480" w:lineRule="auto"/>
        <w:rPr>
          <w:sz w:val="24"/>
          <w:szCs w:val="24"/>
        </w:rPr>
      </w:pPr>
    </w:p>
    <w:p>
      <w:pPr>
        <w:spacing w:line="480" w:lineRule="auto"/>
        <w:rPr>
          <w:sz w:val="24"/>
          <w:szCs w:val="24"/>
        </w:rPr>
      </w:pPr>
    </w:p>
    <w:p>
      <w:pPr>
        <w:spacing w:line="480" w:lineRule="auto"/>
        <w:rPr>
          <w:sz w:val="24"/>
          <w:szCs w:val="24"/>
        </w:rPr>
      </w:pPr>
    </w:p>
    <w:p>
      <w:pPr>
        <w:spacing w:line="360" w:lineRule="auto"/>
        <w:rPr>
          <w:iCs/>
        </w:rPr>
      </w:pPr>
      <w:r>
        <w:rPr>
          <w:b/>
          <w:iCs/>
        </w:rPr>
        <w:t>Note</w:t>
      </w:r>
      <w:r>
        <w:rPr>
          <w:rFonts w:hint="eastAsia" w:eastAsia="等线"/>
          <w:b/>
          <w:iCs/>
        </w:rPr>
        <w:t>:</w:t>
      </w:r>
      <w:r>
        <w:t xml:space="preserve"> </w:t>
      </w:r>
      <w:r>
        <w:rPr>
          <w:rFonts w:eastAsia="等线"/>
          <w:iCs/>
        </w:rPr>
        <w:t>cotton stalk biochar</w:t>
      </w:r>
      <w:r>
        <w:rPr>
          <w:iCs/>
        </w:rPr>
        <w:t xml:space="preserve"> (BC), fly ash/</w:t>
      </w:r>
      <w:r>
        <w:rPr>
          <w:rFonts w:eastAsia="等线"/>
          <w:iCs/>
        </w:rPr>
        <w:t xml:space="preserve">cotton stalk biochar </w:t>
      </w:r>
      <w:r>
        <w:rPr>
          <w:iCs/>
        </w:rPr>
        <w:t>(FBC), Fe-modified fly ash/cotton stalk biochar (Fe-FBC), respectively.</w:t>
      </w:r>
      <w:r>
        <w:rPr>
          <w:iCs/>
        </w:rPr>
        <w:br w:type="page"/>
      </w:r>
    </w:p>
    <w:p>
      <w:pPr>
        <w:spacing w:line="360" w:lineRule="auto"/>
        <w:rPr>
          <w:sz w:val="20"/>
          <w:szCs w:val="20"/>
          <w:lang w:bidi="ar"/>
        </w:rPr>
      </w:pPr>
      <w:r>
        <w:rPr>
          <w:rFonts w:eastAsia="等线"/>
          <w:b/>
          <w:sz w:val="20"/>
          <w:szCs w:val="20"/>
        </w:rPr>
        <w:t>Text S1</w:t>
      </w:r>
      <w:r>
        <w:rPr>
          <w:sz w:val="20"/>
          <w:szCs w:val="20"/>
          <w:lang w:bidi="ar"/>
        </w:rPr>
        <w:t xml:space="preserve"> Optimization of pyrolysis temperature and FA content</w:t>
      </w:r>
    </w:p>
    <w:p>
      <w:pPr>
        <w:pStyle w:val="44"/>
        <w:spacing w:line="480" w:lineRule="auto"/>
        <w:ind w:firstLine="432" w:firstLineChars="200"/>
        <w:rPr>
          <w:rFonts w:ascii="Times New Roman" w:hAnsi="Times New Roman"/>
          <w:sz w:val="20"/>
          <w:szCs w:val="20"/>
        </w:rPr>
      </w:pPr>
      <w:r>
        <w:rPr>
          <w:rFonts w:ascii="Times New Roman" w:hAnsi="Times New Roman"/>
          <w:sz w:val="20"/>
          <w:szCs w:val="20"/>
        </w:rPr>
        <w:t>To remove impurities, the cotton stalk was rinsed three times with water and soaked in distilled water for 1 h, then dried in an oven at 95</w:t>
      </w:r>
      <w:r>
        <w:rPr>
          <w:rFonts w:hint="eastAsia" w:ascii="Times New Roman" w:hAnsi="Times New Roman"/>
          <w:sz w:val="20"/>
          <w:szCs w:val="20"/>
          <w:vertAlign w:val="superscript"/>
          <w:lang w:eastAsia="zh-CN"/>
        </w:rPr>
        <w:t>o</w:t>
      </w:r>
      <w:r>
        <w:rPr>
          <w:rFonts w:hint="eastAsia" w:ascii="Times New Roman" w:hAnsi="Times New Roman"/>
          <w:sz w:val="20"/>
          <w:szCs w:val="20"/>
          <w:lang w:eastAsia="zh-CN"/>
        </w:rPr>
        <w:t>C</w:t>
      </w:r>
      <w:r>
        <w:rPr>
          <w:rFonts w:ascii="Times New Roman" w:hAnsi="Times New Roman" w:eastAsia="等线"/>
          <w:sz w:val="20"/>
          <w:szCs w:val="20"/>
        </w:rPr>
        <w:t xml:space="preserve"> </w:t>
      </w:r>
      <w:r>
        <w:rPr>
          <w:rFonts w:ascii="Times New Roman" w:hAnsi="Times New Roman"/>
          <w:sz w:val="20"/>
          <w:szCs w:val="20"/>
        </w:rPr>
        <w:t xml:space="preserve">for 10 h. The clean cotton stalk was crushed by mill (800 A, Rongshida, China) and passed through a 20-mesh sieve. </w:t>
      </w:r>
      <w:r>
        <w:rPr>
          <w:rFonts w:ascii="Times New Roman" w:hAnsi="Times New Roman" w:eastAsia="宋体"/>
          <w:w w:val="100"/>
          <w:kern w:val="2"/>
          <w:sz w:val="20"/>
          <w:szCs w:val="20"/>
          <w:lang w:eastAsia="zh-CN"/>
        </w:rPr>
        <w:t>The powder was then pyrolyzed using a tube furnace under the N</w:t>
      </w:r>
      <w:r>
        <w:rPr>
          <w:rFonts w:ascii="Times New Roman" w:hAnsi="Times New Roman" w:eastAsia="宋体"/>
          <w:w w:val="100"/>
          <w:kern w:val="2"/>
          <w:sz w:val="20"/>
          <w:szCs w:val="20"/>
          <w:vertAlign w:val="subscript"/>
          <w:lang w:eastAsia="zh-CN"/>
        </w:rPr>
        <w:t>2</w:t>
      </w:r>
      <w:r>
        <w:rPr>
          <w:rFonts w:ascii="Times New Roman" w:hAnsi="Times New Roman" w:eastAsia="宋体"/>
          <w:w w:val="100"/>
          <w:kern w:val="2"/>
          <w:sz w:val="20"/>
          <w:szCs w:val="20"/>
          <w:lang w:eastAsia="zh-CN"/>
        </w:rPr>
        <w:t xml:space="preserve"> atmosphere at 400</w:t>
      </w:r>
      <w:r>
        <w:rPr>
          <w:rFonts w:hint="eastAsia" w:ascii="Times New Roman" w:hAnsi="Times New Roman"/>
          <w:sz w:val="20"/>
          <w:szCs w:val="20"/>
          <w:vertAlign w:val="superscript"/>
          <w:lang w:eastAsia="zh-CN"/>
        </w:rPr>
        <w:t>o</w:t>
      </w:r>
      <w:r>
        <w:rPr>
          <w:rFonts w:hint="eastAsia" w:ascii="Times New Roman" w:hAnsi="Times New Roman"/>
          <w:sz w:val="20"/>
          <w:szCs w:val="20"/>
          <w:lang w:eastAsia="zh-CN"/>
        </w:rPr>
        <w:t>C</w:t>
      </w:r>
      <w:r>
        <w:rPr>
          <w:rFonts w:ascii="Times New Roman" w:hAnsi="Times New Roman" w:eastAsia="宋体"/>
          <w:w w:val="100"/>
          <w:kern w:val="2"/>
          <w:sz w:val="20"/>
          <w:szCs w:val="20"/>
          <w:lang w:eastAsia="zh-CN"/>
        </w:rPr>
        <w:t>-800</w:t>
      </w:r>
      <w:r>
        <w:rPr>
          <w:rFonts w:hint="eastAsia" w:ascii="Times New Roman" w:hAnsi="Times New Roman"/>
          <w:sz w:val="20"/>
          <w:szCs w:val="20"/>
          <w:vertAlign w:val="superscript"/>
          <w:lang w:eastAsia="zh-CN"/>
        </w:rPr>
        <w:t>o</w:t>
      </w:r>
      <w:r>
        <w:rPr>
          <w:rFonts w:hint="eastAsia" w:ascii="Times New Roman" w:hAnsi="Times New Roman"/>
          <w:sz w:val="20"/>
          <w:szCs w:val="20"/>
          <w:lang w:eastAsia="zh-CN"/>
        </w:rPr>
        <w:t>C</w:t>
      </w:r>
      <w:r>
        <w:rPr>
          <w:rFonts w:ascii="Times New Roman" w:hAnsi="Times New Roman" w:eastAsia="宋体"/>
          <w:w w:val="100"/>
          <w:kern w:val="2"/>
          <w:sz w:val="20"/>
          <w:szCs w:val="20"/>
          <w:lang w:eastAsia="zh-CN"/>
        </w:rPr>
        <w:t xml:space="preserve"> for 2 h. The heating rate was 10</w:t>
      </w:r>
      <w:r>
        <w:rPr>
          <w:rFonts w:hint="eastAsia" w:ascii="Times New Roman" w:hAnsi="Times New Roman"/>
          <w:sz w:val="20"/>
          <w:szCs w:val="20"/>
          <w:vertAlign w:val="superscript"/>
          <w:lang w:eastAsia="zh-CN"/>
        </w:rPr>
        <w:t>o</w:t>
      </w:r>
      <w:r>
        <w:rPr>
          <w:rFonts w:hint="eastAsia" w:ascii="Times New Roman" w:hAnsi="Times New Roman"/>
          <w:sz w:val="20"/>
          <w:szCs w:val="20"/>
          <w:lang w:eastAsia="zh-CN"/>
        </w:rPr>
        <w:t>C</w:t>
      </w:r>
      <w:r>
        <w:rPr>
          <w:rFonts w:ascii="Times New Roman" w:hAnsi="Times New Roman" w:eastAsia="宋体"/>
          <w:w w:val="100"/>
          <w:kern w:val="2"/>
          <w:sz w:val="20"/>
          <w:szCs w:val="20"/>
          <w:lang w:eastAsia="zh-CN"/>
        </w:rPr>
        <w:t>·min</w:t>
      </w:r>
      <w:r>
        <w:rPr>
          <w:rFonts w:ascii="Times New Roman" w:hAnsi="Times New Roman" w:eastAsia="宋体"/>
          <w:w w:val="100"/>
          <w:kern w:val="2"/>
          <w:sz w:val="20"/>
          <w:szCs w:val="20"/>
          <w:vertAlign w:val="superscript"/>
          <w:lang w:eastAsia="zh-CN"/>
        </w:rPr>
        <w:t>-1</w:t>
      </w:r>
      <w:r>
        <w:rPr>
          <w:rFonts w:ascii="Times New Roman" w:hAnsi="Times New Roman" w:eastAsia="宋体"/>
          <w:w w:val="100"/>
          <w:kern w:val="2"/>
          <w:sz w:val="20"/>
          <w:szCs w:val="20"/>
          <w:lang w:eastAsia="zh-CN"/>
        </w:rPr>
        <w:t xml:space="preserve"> for a constant ramping rate. </w:t>
      </w:r>
      <w:bookmarkStart w:id="3" w:name="_Hlk113789144"/>
      <w:r>
        <w:rPr>
          <w:rFonts w:ascii="Times New Roman" w:hAnsi="Times New Roman" w:eastAsia="宋体"/>
          <w:w w:val="100"/>
          <w:kern w:val="2"/>
          <w:sz w:val="20"/>
          <w:szCs w:val="20"/>
          <w:lang w:eastAsia="zh-CN"/>
        </w:rPr>
        <w:t>The samples were washed with distilled water more than three times and subsequently dried in an oven at 95</w:t>
      </w:r>
      <w:r>
        <w:rPr>
          <w:rFonts w:hint="eastAsia" w:ascii="Times New Roman" w:hAnsi="Times New Roman"/>
          <w:sz w:val="20"/>
          <w:szCs w:val="20"/>
          <w:vertAlign w:val="superscript"/>
          <w:lang w:eastAsia="zh-CN"/>
        </w:rPr>
        <w:t>o</w:t>
      </w:r>
      <w:r>
        <w:rPr>
          <w:rFonts w:hint="eastAsia" w:ascii="Times New Roman" w:hAnsi="Times New Roman"/>
          <w:sz w:val="20"/>
          <w:szCs w:val="20"/>
          <w:lang w:eastAsia="zh-CN"/>
        </w:rPr>
        <w:t>C</w:t>
      </w:r>
      <w:r>
        <w:rPr>
          <w:rFonts w:ascii="Times New Roman" w:hAnsi="Times New Roman" w:eastAsia="宋体"/>
          <w:w w:val="100"/>
          <w:kern w:val="2"/>
          <w:sz w:val="20"/>
          <w:szCs w:val="20"/>
          <w:lang w:eastAsia="zh-CN"/>
        </w:rPr>
        <w:t xml:space="preserve"> for 10 h</w:t>
      </w:r>
      <w:bookmarkEnd w:id="3"/>
      <w:r>
        <w:rPr>
          <w:rFonts w:ascii="Times New Roman" w:hAnsi="Times New Roman" w:eastAsia="宋体"/>
          <w:w w:val="100"/>
          <w:kern w:val="2"/>
          <w:sz w:val="20"/>
          <w:szCs w:val="20"/>
          <w:lang w:eastAsia="zh-CN"/>
        </w:rPr>
        <w:t xml:space="preserve"> before passing through an 80-mesh sieve. The samples are represented by BC400, BC500, BC600, BC700 and BC800 respectively. </w:t>
      </w:r>
    </w:p>
    <w:p>
      <w:pPr>
        <w:pStyle w:val="44"/>
        <w:spacing w:line="480" w:lineRule="auto"/>
        <w:ind w:firstLine="400" w:firstLineChars="200"/>
        <w:rPr>
          <w:rFonts w:ascii="Times New Roman" w:hAnsi="Times New Roman" w:eastAsia="宋体"/>
          <w:w w:val="100"/>
          <w:kern w:val="2"/>
          <w:sz w:val="20"/>
          <w:szCs w:val="20"/>
          <w:lang w:eastAsia="zh-CN"/>
        </w:rPr>
      </w:pPr>
      <w:r>
        <w:rPr>
          <w:rFonts w:ascii="Times New Roman" w:hAnsi="Times New Roman" w:eastAsia="宋体"/>
          <w:w w:val="100"/>
          <w:kern w:val="2"/>
          <w:sz w:val="20"/>
          <w:szCs w:val="20"/>
          <w:lang w:eastAsia="zh-CN"/>
        </w:rPr>
        <w:t>The raw material and FA (different mass ratios: 9:1, 8:2, 7:3, and 6:4) were added into 60 mL distilled water and mixed for 8 h. The mixtures were then pyrolyzed using a tube furnace under the N</w:t>
      </w:r>
      <w:r>
        <w:rPr>
          <w:rFonts w:ascii="Times New Roman" w:hAnsi="Times New Roman" w:eastAsia="宋体"/>
          <w:w w:val="100"/>
          <w:kern w:val="2"/>
          <w:sz w:val="20"/>
          <w:szCs w:val="20"/>
          <w:vertAlign w:val="subscript"/>
          <w:lang w:eastAsia="zh-CN"/>
        </w:rPr>
        <w:t>2</w:t>
      </w:r>
      <w:r>
        <w:rPr>
          <w:rFonts w:ascii="Times New Roman" w:hAnsi="Times New Roman" w:eastAsia="宋体"/>
          <w:w w:val="100"/>
          <w:kern w:val="2"/>
          <w:sz w:val="20"/>
          <w:szCs w:val="20"/>
          <w:lang w:eastAsia="zh-CN"/>
        </w:rPr>
        <w:t xml:space="preserve"> atmosphere at 800</w:t>
      </w:r>
      <w:r>
        <w:rPr>
          <w:rFonts w:hint="eastAsia" w:ascii="Times New Roman" w:hAnsi="Times New Roman"/>
          <w:sz w:val="20"/>
          <w:szCs w:val="20"/>
          <w:vertAlign w:val="superscript"/>
          <w:lang w:eastAsia="zh-CN"/>
        </w:rPr>
        <w:t>o</w:t>
      </w:r>
      <w:r>
        <w:rPr>
          <w:rFonts w:hint="eastAsia" w:ascii="Times New Roman" w:hAnsi="Times New Roman"/>
          <w:sz w:val="20"/>
          <w:szCs w:val="20"/>
          <w:lang w:eastAsia="zh-CN"/>
        </w:rPr>
        <w:t>C</w:t>
      </w:r>
      <w:r>
        <w:rPr>
          <w:rFonts w:ascii="Times New Roman" w:hAnsi="Times New Roman" w:eastAsia="宋体"/>
          <w:w w:val="100"/>
          <w:kern w:val="2"/>
          <w:sz w:val="20"/>
          <w:szCs w:val="20"/>
          <w:lang w:eastAsia="zh-CN"/>
        </w:rPr>
        <w:t xml:space="preserve"> for 2 h. The resulting </w:t>
      </w:r>
      <w:r>
        <w:rPr>
          <w:rFonts w:hint="eastAsia" w:ascii="Times New Roman" w:hAnsi="Times New Roman" w:eastAsia="宋体"/>
          <w:w w:val="100"/>
          <w:kern w:val="2"/>
          <w:sz w:val="20"/>
          <w:szCs w:val="20"/>
          <w:lang w:eastAsia="zh-CN"/>
        </w:rPr>
        <w:t>FA</w:t>
      </w:r>
      <w:r>
        <w:rPr>
          <w:rFonts w:ascii="Times New Roman" w:hAnsi="Times New Roman" w:eastAsia="宋体"/>
          <w:w w:val="100"/>
          <w:kern w:val="2"/>
          <w:sz w:val="20"/>
          <w:szCs w:val="20"/>
          <w:lang w:eastAsia="zh-CN"/>
        </w:rPr>
        <w:t>/cotton stalk biochar composites were 10%FBC800, 20%FBC800, 30%FBC800 and 40%FBC800, respectively.</w:t>
      </w:r>
    </w:p>
    <w:p>
      <w:pPr>
        <w:pStyle w:val="44"/>
        <w:spacing w:line="480" w:lineRule="auto"/>
        <w:ind w:firstLine="432" w:firstLineChars="200"/>
        <w:rPr>
          <w:rFonts w:ascii="Times New Roman" w:hAnsi="Times New Roman" w:eastAsia="宋体"/>
          <w:w w:val="100"/>
          <w:kern w:val="2"/>
          <w:sz w:val="20"/>
          <w:szCs w:val="20"/>
          <w:lang w:eastAsia="zh-CN"/>
        </w:rPr>
      </w:pPr>
      <w:r>
        <w:rPr>
          <w:rFonts w:ascii="Times New Roman" w:hAnsi="Times New Roman"/>
          <w:sz w:val="20"/>
          <w:szCs w:val="20"/>
        </w:rPr>
        <w:t>In order to optimize the pyrolysis temperature and the amount of</w:t>
      </w:r>
      <w:r>
        <w:rPr>
          <w:rFonts w:hint="eastAsia" w:ascii="Times New Roman" w:hAnsi="Times New Roman"/>
          <w:sz w:val="20"/>
          <w:szCs w:val="20"/>
          <w:lang w:eastAsia="zh-CN"/>
        </w:rPr>
        <w:t xml:space="preserve"> FA</w:t>
      </w:r>
      <w:r>
        <w:rPr>
          <w:rFonts w:ascii="Times New Roman" w:hAnsi="Times New Roman"/>
          <w:sz w:val="20"/>
          <w:szCs w:val="20"/>
        </w:rPr>
        <w:t xml:space="preserve">, the adsorption performance of the adsorbent was tested, </w:t>
      </w:r>
      <w:r>
        <w:rPr>
          <w:rFonts w:ascii="Times New Roman" w:hAnsi="Times New Roman" w:eastAsia="宋体"/>
          <w:w w:val="100"/>
          <w:kern w:val="2"/>
          <w:sz w:val="20"/>
          <w:szCs w:val="20"/>
          <w:lang w:eastAsia="zh-CN"/>
        </w:rPr>
        <w:t>and the results are shown in Fig. S1. The phosphate adsorption capacity of biochar increased with the pyrolysis temperature increasing, and reached the highest value at 800℃ (Fig. S1(a)). Fig. S1(b) shows that the composite has the best adsorption effect when the FA content is 10%. Therefore, the preparation temperature of biochar was determined to be 800℃ and the amount of FA was 10%.</w:t>
      </w:r>
    </w:p>
    <w:p>
      <w:pPr>
        <w:spacing w:line="360" w:lineRule="auto"/>
        <w:ind w:firstLine="400" w:firstLineChars="200"/>
        <w:rPr>
          <w:sz w:val="20"/>
          <w:szCs w:val="20"/>
          <w:lang w:bidi="ar"/>
        </w:rPr>
      </w:pPr>
      <w:r>
        <w:rPr>
          <w:sz w:val="20"/>
          <w:szCs w:val="20"/>
          <w:lang w:bidi="ar"/>
        </w:rPr>
        <w:br w:type="page"/>
      </w:r>
    </w:p>
    <w:p>
      <w:pPr>
        <w:spacing w:line="360" w:lineRule="auto"/>
        <w:rPr>
          <w:sz w:val="20"/>
          <w:szCs w:val="20"/>
          <w:lang w:bidi="ar"/>
        </w:rPr>
      </w:pPr>
      <w:r>
        <w:rPr>
          <w:rFonts w:eastAsia="等线"/>
          <w:b/>
          <w:sz w:val="20"/>
          <w:szCs w:val="20"/>
        </w:rPr>
        <w:t>Text S2</w:t>
      </w:r>
      <w:r>
        <w:rPr>
          <w:sz w:val="20"/>
          <w:szCs w:val="20"/>
          <w:lang w:bidi="ar"/>
        </w:rPr>
        <w:t xml:space="preserve"> Characterization of materials</w:t>
      </w:r>
    </w:p>
    <w:p>
      <w:pPr>
        <w:spacing w:line="480" w:lineRule="auto"/>
        <w:ind w:firstLine="400" w:firstLineChars="200"/>
        <w:rPr>
          <w:sz w:val="20"/>
          <w:szCs w:val="20"/>
          <w:lang w:bidi="ar"/>
        </w:rPr>
      </w:pPr>
      <w:r>
        <w:rPr>
          <w:sz w:val="20"/>
          <w:szCs w:val="20"/>
          <w:lang w:bidi="ar"/>
        </w:rPr>
        <w:t>The contents of C, H, N and S in the samples were determined using an elemental analyzer (Elementar Unicube, Germany). The content of O in the samples was calculated by the difference subtraction method. The leaching concentration of Fe from the Fe-FBC was determined by inductively coupled plasma optical emission spectrometer (ICP-OES) (Agilent 720ES, USA). The specific surface area (SSA) was calculated by Brunauer</w:t>
      </w:r>
      <w:r>
        <w:rPr>
          <w:rFonts w:hint="eastAsia"/>
          <w:sz w:val="20"/>
          <w:szCs w:val="20"/>
          <w:lang w:bidi="ar"/>
        </w:rPr>
        <w:t>-</w:t>
      </w:r>
      <w:r>
        <w:rPr>
          <w:sz w:val="20"/>
          <w:szCs w:val="20"/>
          <w:lang w:bidi="ar"/>
        </w:rPr>
        <w:t>Emmett</w:t>
      </w:r>
      <w:r>
        <w:rPr>
          <w:rFonts w:hint="eastAsia"/>
          <w:sz w:val="20"/>
          <w:szCs w:val="20"/>
          <w:lang w:bidi="ar"/>
        </w:rPr>
        <w:t>-</w:t>
      </w:r>
      <w:r>
        <w:rPr>
          <w:sz w:val="20"/>
          <w:szCs w:val="20"/>
          <w:lang w:bidi="ar"/>
        </w:rPr>
        <w:t>Teller (BET) method. The pore volume (PV) and pore diameter (PD) were calculated by Barret</w:t>
      </w:r>
      <w:r>
        <w:rPr>
          <w:rFonts w:hint="eastAsia"/>
          <w:sz w:val="20"/>
          <w:szCs w:val="20"/>
          <w:lang w:bidi="ar"/>
        </w:rPr>
        <w:t>-</w:t>
      </w:r>
      <w:r>
        <w:rPr>
          <w:sz w:val="20"/>
          <w:szCs w:val="20"/>
          <w:lang w:bidi="ar"/>
        </w:rPr>
        <w:t>Joyner</w:t>
      </w:r>
      <w:r>
        <w:rPr>
          <w:rFonts w:hint="eastAsia"/>
          <w:sz w:val="20"/>
          <w:szCs w:val="20"/>
          <w:lang w:bidi="ar"/>
        </w:rPr>
        <w:t>-</w:t>
      </w:r>
      <w:r>
        <w:rPr>
          <w:sz w:val="20"/>
          <w:szCs w:val="20"/>
          <w:lang w:bidi="ar"/>
        </w:rPr>
        <w:t>Halenda (BJH) method</w:t>
      </w:r>
      <w:r>
        <w:rPr>
          <w:rFonts w:hint="eastAsia"/>
          <w:sz w:val="20"/>
          <w:szCs w:val="20"/>
          <w:lang w:bidi="ar"/>
        </w:rPr>
        <w:t xml:space="preserve"> </w:t>
      </w:r>
      <w:r>
        <w:rPr>
          <w:sz w:val="20"/>
          <w:szCs w:val="20"/>
          <w:lang w:bidi="ar"/>
        </w:rPr>
        <w:t>by N</w:t>
      </w:r>
      <w:r>
        <w:rPr>
          <w:sz w:val="20"/>
          <w:szCs w:val="20"/>
          <w:vertAlign w:val="subscript"/>
          <w:lang w:bidi="ar"/>
        </w:rPr>
        <w:t>2</w:t>
      </w:r>
      <w:r>
        <w:rPr>
          <w:sz w:val="20"/>
          <w:szCs w:val="20"/>
          <w:lang w:bidi="ar"/>
        </w:rPr>
        <w:t xml:space="preserve"> vapor adsorption-desorption at 77 K on a surface area and porosity analyzer (Micromeritics ASAP 2460, USA). The morphology and microstructure of samples were observed by Scanning electron microscopy (SEM) (TESCAN MIRA LMS, Czech Republic). The crystal structure of samples was determined by X-ray diffractometer (XRD, Rigaku Smartlab SE, Japan) with a scan rate of 5◦/min in the scanning range of 10-90°. FTIR spectra (Bruker, Billerica, USA) was used to determine functional groups in the range of 400~4000cm-1. The zeta potentials of materials at different pH values were analyzed by using zeta potential analyzer (Malvern, Zetasizer Nano ZS90, UK). X-ray photoelectron spectroscopy (XPS) (Thermo Scientific K-Alpha, USA) was used to determine the surface elemental composition and electronic state of materials, equipped with Al Kαradiation as the X-ray source (1486.6 eV, 15 kV, 10 mA). All spectra were calibrated to the C 1s peak (binding energy at 284.8 eV) for the adventitious carbon. The absorbance of residual phosphate in water was measured by UV spectrophotometer (TU-1901 Purkinje General Instrument, China), and the specific detection method was shown below.</w:t>
      </w:r>
    </w:p>
    <w:p>
      <w:pPr>
        <w:spacing w:line="360" w:lineRule="auto"/>
        <w:rPr>
          <w:sz w:val="20"/>
          <w:szCs w:val="20"/>
          <w:lang w:bidi="ar"/>
        </w:rPr>
      </w:pPr>
      <w:r>
        <w:rPr>
          <w:sz w:val="20"/>
          <w:szCs w:val="20"/>
          <w:lang w:bidi="ar"/>
        </w:rPr>
        <w:br w:type="page"/>
      </w:r>
    </w:p>
    <w:p>
      <w:pPr>
        <w:spacing w:line="480" w:lineRule="auto"/>
        <w:rPr>
          <w:sz w:val="20"/>
          <w:szCs w:val="20"/>
          <w:lang w:bidi="ar"/>
        </w:rPr>
      </w:pPr>
      <w:r>
        <w:rPr>
          <w:rFonts w:eastAsia="等线"/>
          <w:b/>
          <w:sz w:val="20"/>
          <w:szCs w:val="20"/>
        </w:rPr>
        <w:t>Text S3</w:t>
      </w:r>
      <w:r>
        <w:rPr>
          <w:rFonts w:eastAsia="等线"/>
          <w:sz w:val="20"/>
          <w:szCs w:val="20"/>
        </w:rPr>
        <w:t xml:space="preserve"> </w:t>
      </w:r>
      <w:r>
        <w:rPr>
          <w:sz w:val="20"/>
          <w:szCs w:val="20"/>
          <w:lang w:bidi="ar"/>
        </w:rPr>
        <w:t>Leaching of iron ions.</w:t>
      </w:r>
    </w:p>
    <w:p>
      <w:pPr>
        <w:spacing w:line="480" w:lineRule="auto"/>
        <w:ind w:firstLine="400" w:firstLineChars="200"/>
        <w:rPr>
          <w:sz w:val="20"/>
          <w:szCs w:val="20"/>
          <w:lang w:bidi="ar"/>
        </w:rPr>
      </w:pPr>
      <w:r>
        <w:rPr>
          <w:sz w:val="20"/>
          <w:szCs w:val="20"/>
          <w:lang w:bidi="ar"/>
        </w:rPr>
        <w:t xml:space="preserve">To check the stability of Fe-FBC, this sample was added to distilled water and shaken at 180 rpm. The iron ion content at different time intervals (0 to 720 min) in solution was analyzed. The concentrations of ferrous and total irons were measured by the 1, 10-phenanthroline method </w:t>
      </w:r>
      <w:r>
        <w:rPr>
          <w:sz w:val="20"/>
          <w:szCs w:val="20"/>
          <w:lang w:bidi="ar"/>
        </w:rPr>
        <w:fldChar w:fldCharType="begin"/>
      </w:r>
      <w:r>
        <w:rPr>
          <w:sz w:val="20"/>
          <w:szCs w:val="20"/>
          <w:lang w:bidi="ar"/>
        </w:rPr>
        <w:instrText xml:space="preserve"> ADDIN EN.CITE &lt;EndNote&gt;&lt;Cite&gt;&lt;Author&gt;Liu&lt;/Author&gt;&lt;Year&gt;2022&lt;/Year&gt;&lt;RecNum&gt;450&lt;/RecNum&gt;&lt;DisplayText&gt;[1]&lt;/DisplayText&gt;&lt;record&gt;&lt;rec-number&gt;450&lt;/rec-number&gt;&lt;foreign-keys&gt;&lt;key app="EN" db-id="00xazsff2w29z7efxr1xtxshz9trwx902525" timestamp="1663662125"&gt;450&lt;/key&gt;&lt;/foreign-keys&gt;&lt;ref-type name="Journal Article"&gt;17&lt;/ref-type&gt;&lt;contributors&gt;&lt;authors&gt;&lt;author&gt;Liu,Yang&lt;/author&gt;&lt;author&gt;Jiang, Zhihui&lt;/author&gt;&lt;author&gt;Fu, Jie&lt;/author&gt;&lt;author&gt;Ao, Wenya&lt;/author&gt;&lt;author&gt;Siyal,AsifAli&lt;/author&gt;&lt;author&gt;Zhou,Chunbao&lt;/author&gt;&lt;author&gt;Liu, C.&lt;/author&gt;&lt;author&gt;Dai, J.&lt;/author&gt;&lt;author&gt;Yu, M.&lt;/author&gt;&lt;author&gt;Zhang, Y.&lt;/author&gt;&lt;/authors&gt;&lt;/contributors&gt;&lt;titles&gt;&lt;title&gt;Iron-biochar production from oily sludge pyrolysis and its application for organic dyes removal&lt;/title&gt;&lt;secondary-title&gt;Chemosphere&lt;/secondary-title&gt;&lt;/titles&gt;&lt;periodical&gt;&lt;full-title&gt;Chemosphere&lt;/full-title&gt;&lt;/periodical&gt;&lt;pages&gt;134803&lt;/pages&gt;&lt;volume&gt;301&lt;/volume&gt;&lt;dates&gt;&lt;year&gt;2022&lt;/year&gt;&lt;/dates&gt;&lt;urls&gt;&lt;/urls&gt;&lt;electronic-resource-num&gt;https://doi.org/10.1016/j.chemosphere.2022.134803&lt;/electronic-resource-num&gt;&lt;/record&gt;&lt;/Cite&gt;&lt;/EndNote&gt;</w:instrText>
      </w:r>
      <w:r>
        <w:rPr>
          <w:sz w:val="20"/>
          <w:szCs w:val="20"/>
          <w:lang w:bidi="ar"/>
        </w:rPr>
        <w:fldChar w:fldCharType="separate"/>
      </w:r>
      <w:r>
        <w:rPr>
          <w:sz w:val="20"/>
          <w:szCs w:val="20"/>
          <w:lang w:bidi="ar"/>
        </w:rPr>
        <w:t>[1]</w:t>
      </w:r>
      <w:r>
        <w:rPr>
          <w:sz w:val="20"/>
          <w:szCs w:val="20"/>
          <w:lang w:bidi="ar"/>
        </w:rPr>
        <w:fldChar w:fldCharType="end"/>
      </w:r>
      <w:r>
        <w:rPr>
          <w:sz w:val="20"/>
          <w:szCs w:val="20"/>
          <w:lang w:bidi="ar"/>
        </w:rPr>
        <w:t>, and the concentration of ferric iron was calculated by the difference subtraction method.</w:t>
      </w:r>
    </w:p>
    <w:p>
      <w:pPr>
        <w:spacing w:line="480" w:lineRule="auto"/>
        <w:ind w:firstLine="400" w:firstLineChars="200"/>
        <w:rPr>
          <w:sz w:val="20"/>
          <w:szCs w:val="20"/>
          <w:lang w:bidi="ar"/>
        </w:rPr>
        <w:sectPr>
          <w:headerReference r:id="rId3" w:type="default"/>
          <w:footerReference r:id="rId5" w:type="default"/>
          <w:headerReference r:id="rId4" w:type="even"/>
          <w:pgSz w:w="11906" w:h="16838"/>
          <w:pgMar w:top="1440" w:right="1800" w:bottom="1440" w:left="1800" w:header="851" w:footer="992" w:gutter="0"/>
          <w:cols w:space="425" w:num="1"/>
          <w:docGrid w:type="lines" w:linePitch="312" w:charSpace="0"/>
        </w:sectPr>
      </w:pPr>
    </w:p>
    <w:p>
      <w:pPr>
        <w:pStyle w:val="20"/>
        <w:spacing w:line="480" w:lineRule="auto"/>
        <w:rPr>
          <w:sz w:val="20"/>
          <w:szCs w:val="20"/>
        </w:rPr>
      </w:pPr>
      <w:r>
        <w:rPr>
          <w:sz w:val="20"/>
          <w:szCs w:val="20"/>
        </w:rPr>
        <w:drawing>
          <wp:inline distT="0" distB="0" distL="0" distR="0">
            <wp:extent cx="5274310" cy="23666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366786"/>
                    </a:xfrm>
                    <a:prstGeom prst="rect">
                      <a:avLst/>
                    </a:prstGeom>
                  </pic:spPr>
                </pic:pic>
              </a:graphicData>
            </a:graphic>
          </wp:inline>
        </w:drawing>
      </w:r>
    </w:p>
    <w:p>
      <w:pPr>
        <w:pStyle w:val="20"/>
        <w:spacing w:line="360" w:lineRule="auto"/>
        <w:jc w:val="center"/>
        <w:rPr>
          <w:rFonts w:eastAsia="Calibri"/>
          <w:sz w:val="24"/>
          <w:szCs w:val="24"/>
        </w:rPr>
      </w:pPr>
      <w:r>
        <w:rPr>
          <w:b/>
          <w:bCs/>
          <w:sz w:val="20"/>
          <w:szCs w:val="20"/>
        </w:rPr>
        <w:t>Fig. S1</w:t>
      </w:r>
      <w:r>
        <w:rPr>
          <w:sz w:val="20"/>
          <w:szCs w:val="20"/>
        </w:rPr>
        <w:t xml:space="preserve"> Effects of (a) biochar pyrolysis temperature and (b) fly ash content </w:t>
      </w:r>
      <w:r>
        <w:rPr>
          <w:rFonts w:hint="eastAsia"/>
          <w:sz w:val="20"/>
          <w:szCs w:val="20"/>
        </w:rPr>
        <w:t>in</w:t>
      </w:r>
      <w:r>
        <w:rPr>
          <w:sz w:val="20"/>
          <w:szCs w:val="20"/>
        </w:rPr>
        <w:t xml:space="preserve"> FBC adsorbent on phosphate adsorption</w:t>
      </w:r>
      <w:r>
        <w:rPr>
          <w:rFonts w:eastAsia="Calibri"/>
          <w:sz w:val="20"/>
          <w:szCs w:val="20"/>
        </w:rPr>
        <w:t xml:space="preserve"> (Initial phosphate concentration: 25 mg/L, pH: 7, adsorbent dosage: 2 g/L, contact time: 720 min)</w:t>
      </w:r>
      <w:r>
        <w:rPr>
          <w:rFonts w:eastAsia="Calibri"/>
          <w:sz w:val="24"/>
          <w:szCs w:val="24"/>
        </w:rPr>
        <w:br w:type="page"/>
      </w:r>
    </w:p>
    <w:p>
      <w:pPr>
        <w:pStyle w:val="20"/>
        <w:spacing w:line="480" w:lineRule="auto"/>
        <w:jc w:val="center"/>
      </w:pPr>
      <w:r>
        <w:drawing>
          <wp:inline distT="0" distB="0" distL="0" distR="0">
            <wp:extent cx="4256405" cy="3657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2049" cy="3662202"/>
                    </a:xfrm>
                    <a:prstGeom prst="rect">
                      <a:avLst/>
                    </a:prstGeom>
                  </pic:spPr>
                </pic:pic>
              </a:graphicData>
            </a:graphic>
          </wp:inline>
        </w:drawing>
      </w:r>
    </w:p>
    <w:p>
      <w:pPr>
        <w:pStyle w:val="20"/>
        <w:spacing w:line="360" w:lineRule="auto"/>
        <w:jc w:val="center"/>
        <w:rPr>
          <w:sz w:val="20"/>
          <w:szCs w:val="20"/>
        </w:rPr>
      </w:pPr>
      <w:r>
        <w:rPr>
          <w:b/>
          <w:bCs/>
          <w:sz w:val="20"/>
          <w:szCs w:val="20"/>
        </w:rPr>
        <w:t>Fig. S2</w:t>
      </w:r>
      <w:r>
        <w:rPr>
          <w:sz w:val="20"/>
          <w:szCs w:val="20"/>
        </w:rPr>
        <w:t xml:space="preserve"> SEM images of the samples. (a) BC, (b) FA, (c) FBC, (d) Fe-FBC</w:t>
      </w:r>
    </w:p>
    <w:p>
      <w:pPr>
        <w:widowControl/>
        <w:spacing w:line="480" w:lineRule="auto"/>
        <w:rPr>
          <w:sz w:val="20"/>
          <w:szCs w:val="20"/>
        </w:rPr>
        <w:sectPr>
          <w:pgSz w:w="11906" w:h="16838"/>
          <w:pgMar w:top="1440" w:right="1800" w:bottom="1440" w:left="1800" w:header="851" w:footer="992" w:gutter="0"/>
          <w:cols w:space="425" w:num="1"/>
          <w:docGrid w:type="lines" w:linePitch="312" w:charSpace="0"/>
        </w:sectPr>
      </w:pPr>
    </w:p>
    <w:p>
      <w:pPr>
        <w:spacing w:line="480" w:lineRule="auto"/>
        <w:jc w:val="center"/>
        <w:rPr>
          <w:sz w:val="20"/>
          <w:szCs w:val="20"/>
        </w:rPr>
      </w:pPr>
      <w:r>
        <w:rPr>
          <w:sz w:val="20"/>
          <w:szCs w:val="20"/>
        </w:rPr>
        <w:drawing>
          <wp:inline distT="0" distB="0" distL="0" distR="0">
            <wp:extent cx="3022600" cy="2437765"/>
            <wp:effectExtent l="0" t="0" r="635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966" cy="2441966"/>
                    </a:xfrm>
                    <a:prstGeom prst="rect">
                      <a:avLst/>
                    </a:prstGeom>
                  </pic:spPr>
                </pic:pic>
              </a:graphicData>
            </a:graphic>
          </wp:inline>
        </w:drawing>
      </w:r>
    </w:p>
    <w:p>
      <w:pPr>
        <w:spacing w:line="360" w:lineRule="auto"/>
        <w:jc w:val="center"/>
        <w:rPr>
          <w:sz w:val="20"/>
          <w:szCs w:val="20"/>
        </w:rPr>
      </w:pPr>
      <w:r>
        <w:rPr>
          <w:b/>
          <w:bCs/>
          <w:sz w:val="20"/>
          <w:szCs w:val="20"/>
        </w:rPr>
        <w:t>Fig. S3</w:t>
      </w:r>
      <w:r>
        <w:rPr>
          <w:sz w:val="20"/>
          <w:szCs w:val="20"/>
        </w:rPr>
        <w:t xml:space="preserve"> Leaching of ferrous and ferric ions from Fe-FBC </w:t>
      </w:r>
    </w:p>
    <w:p>
      <w:pPr>
        <w:widowControl/>
        <w:spacing w:line="480" w:lineRule="auto"/>
        <w:rPr>
          <w:sz w:val="20"/>
          <w:szCs w:val="20"/>
        </w:rPr>
        <w:sectPr>
          <w:pgSz w:w="11906" w:h="16838"/>
          <w:pgMar w:top="1440" w:right="1800" w:bottom="1440" w:left="1800" w:header="851" w:footer="992" w:gutter="0"/>
          <w:cols w:space="425" w:num="1"/>
          <w:docGrid w:type="lines" w:linePitch="312" w:charSpace="0"/>
        </w:sectPr>
      </w:pPr>
    </w:p>
    <w:p>
      <w:pPr>
        <w:pStyle w:val="20"/>
        <w:tabs>
          <w:tab w:val="left" w:pos="4398"/>
        </w:tabs>
        <w:spacing w:line="480" w:lineRule="auto"/>
        <w:jc w:val="center"/>
        <w:rPr>
          <w:sz w:val="20"/>
          <w:szCs w:val="20"/>
        </w:rPr>
      </w:pPr>
      <w:r>
        <w:rPr>
          <w:rFonts w:hint="eastAsia"/>
          <w:sz w:val="20"/>
          <w:szCs w:val="20"/>
        </w:rPr>
        <w:drawing>
          <wp:inline distT="0" distB="0" distL="114300" distR="114300">
            <wp:extent cx="3148330" cy="2446655"/>
            <wp:effectExtent l="0" t="0" r="6350" b="6985"/>
            <wp:docPr id="2" name="图片 2"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4."/>
                    <pic:cNvPicPr>
                      <a:picLocks noChangeAspect="1"/>
                    </pic:cNvPicPr>
                  </pic:nvPicPr>
                  <pic:blipFill>
                    <a:blip r:embed="rId10"/>
                    <a:stretch>
                      <a:fillRect/>
                    </a:stretch>
                  </pic:blipFill>
                  <pic:spPr>
                    <a:xfrm>
                      <a:off x="0" y="0"/>
                      <a:ext cx="3148330" cy="2446655"/>
                    </a:xfrm>
                    <a:prstGeom prst="rect">
                      <a:avLst/>
                    </a:prstGeom>
                  </pic:spPr>
                </pic:pic>
              </a:graphicData>
            </a:graphic>
          </wp:inline>
        </w:drawing>
      </w:r>
    </w:p>
    <w:p>
      <w:pPr>
        <w:spacing w:line="360" w:lineRule="auto"/>
        <w:jc w:val="center"/>
        <w:rPr>
          <w:sz w:val="20"/>
          <w:szCs w:val="20"/>
        </w:rPr>
      </w:pPr>
      <w:r>
        <w:rPr>
          <w:b/>
          <w:bCs/>
          <w:sz w:val="20"/>
          <w:szCs w:val="20"/>
        </w:rPr>
        <w:t>Fig. S4</w:t>
      </w:r>
      <w:r>
        <w:rPr>
          <w:sz w:val="20"/>
          <w:szCs w:val="20"/>
        </w:rPr>
        <w:t xml:space="preserve"> Phosphate adsorption capacity of </w:t>
      </w:r>
      <w:r>
        <w:rPr>
          <w:rFonts w:eastAsiaTheme="minorEastAsia"/>
          <w:sz w:val="20"/>
          <w:szCs w:val="20"/>
        </w:rPr>
        <w:t>BC, FBC, Fe-FBC, Fe-BC and Fe-FA</w:t>
      </w:r>
      <w:r>
        <w:rPr>
          <w:rFonts w:eastAsia="Calibri"/>
          <w:sz w:val="20"/>
          <w:szCs w:val="20"/>
        </w:rPr>
        <w:t xml:space="preserve"> (Initial phosphate concentration: 25 mg/L, pH: 7, adsorbent dosage: 2 g/L, contact time: 720 min)</w:t>
      </w:r>
    </w:p>
    <w:p>
      <w:pPr>
        <w:pStyle w:val="26"/>
        <w:spacing w:line="480" w:lineRule="auto"/>
        <w:ind w:firstLine="400"/>
        <w:jc w:val="center"/>
        <w:rPr>
          <w:rFonts w:ascii="Times New Roman" w:hAnsi="Times New Roman"/>
          <w:sz w:val="20"/>
          <w:szCs w:val="20"/>
        </w:rPr>
        <w:sectPr>
          <w:pgSz w:w="11906" w:h="16838"/>
          <w:pgMar w:top="1440" w:right="1800" w:bottom="1440" w:left="1800" w:header="851" w:footer="992" w:gutter="0"/>
          <w:cols w:space="425" w:num="1"/>
          <w:docGrid w:type="lines" w:linePitch="312" w:charSpace="0"/>
        </w:sectPr>
      </w:pPr>
    </w:p>
    <w:p>
      <w:pPr>
        <w:widowControl/>
        <w:spacing w:line="480" w:lineRule="auto"/>
        <w:jc w:val="center"/>
        <w:rPr>
          <w:sz w:val="20"/>
          <w:szCs w:val="20"/>
        </w:rPr>
      </w:pPr>
      <w:r>
        <w:rPr>
          <w:sz w:val="20"/>
          <w:szCs w:val="20"/>
        </w:rPr>
        <w:drawing>
          <wp:inline distT="0" distB="0" distL="0" distR="0">
            <wp:extent cx="5062855" cy="2273300"/>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7778" cy="2275260"/>
                    </a:xfrm>
                    <a:prstGeom prst="rect">
                      <a:avLst/>
                    </a:prstGeom>
                  </pic:spPr>
                </pic:pic>
              </a:graphicData>
            </a:graphic>
          </wp:inline>
        </w:drawing>
      </w:r>
    </w:p>
    <w:p>
      <w:pPr>
        <w:pStyle w:val="26"/>
        <w:spacing w:line="360" w:lineRule="auto"/>
        <w:ind w:firstLine="402"/>
        <w:jc w:val="center"/>
        <w:rPr>
          <w:rFonts w:ascii="Times New Roman" w:hAnsi="Times New Roman"/>
          <w:sz w:val="20"/>
          <w:szCs w:val="20"/>
        </w:rPr>
      </w:pPr>
      <w:r>
        <w:rPr>
          <w:rFonts w:ascii="Times New Roman" w:hAnsi="Times New Roman"/>
          <w:b/>
          <w:bCs/>
          <w:sz w:val="20"/>
          <w:szCs w:val="20"/>
        </w:rPr>
        <w:t xml:space="preserve">Fig. S5 </w:t>
      </w:r>
      <w:r>
        <w:rPr>
          <w:rFonts w:ascii="Times New Roman" w:hAnsi="Times New Roman"/>
          <w:sz w:val="20"/>
          <w:szCs w:val="20"/>
        </w:rPr>
        <w:t>The effect of competing anions on (a) phosphate adsorption by BC, FBC and Fe-FBC and (b) pH of phosphate solution</w:t>
      </w:r>
    </w:p>
    <w:p>
      <w:pPr>
        <w:widowControl/>
        <w:spacing w:line="480" w:lineRule="auto"/>
        <w:rPr>
          <w:sz w:val="20"/>
          <w:szCs w:val="20"/>
        </w:rPr>
        <w:sectPr>
          <w:pgSz w:w="11906" w:h="16838"/>
          <w:pgMar w:top="1440" w:right="1800" w:bottom="1440" w:left="1800" w:header="851" w:footer="992" w:gutter="0"/>
          <w:cols w:space="425" w:num="1"/>
          <w:docGrid w:type="lines" w:linePitch="312" w:charSpace="0"/>
        </w:sectPr>
      </w:pPr>
    </w:p>
    <w:p>
      <w:pPr>
        <w:pStyle w:val="26"/>
        <w:spacing w:line="480" w:lineRule="auto"/>
        <w:ind w:firstLine="0" w:firstLineChars="0"/>
        <w:rPr>
          <w:rFonts w:ascii="Times New Roman" w:hAnsi="Times New Roman"/>
          <w:sz w:val="20"/>
          <w:szCs w:val="20"/>
        </w:rPr>
      </w:pPr>
      <w:r>
        <w:rPr>
          <w:rFonts w:ascii="Times New Roman" w:hAnsi="Times New Roman"/>
          <w:sz w:val="20"/>
          <w:szCs w:val="20"/>
        </w:rPr>
        <w:drawing>
          <wp:inline distT="0" distB="0" distL="0" distR="0">
            <wp:extent cx="5274310" cy="227330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273300"/>
                    </a:xfrm>
                    <a:prstGeom prst="rect">
                      <a:avLst/>
                    </a:prstGeom>
                  </pic:spPr>
                </pic:pic>
              </a:graphicData>
            </a:graphic>
          </wp:inline>
        </w:drawing>
      </w:r>
    </w:p>
    <w:p>
      <w:pPr>
        <w:pStyle w:val="26"/>
        <w:spacing w:line="360" w:lineRule="auto"/>
        <w:ind w:firstLine="402"/>
        <w:jc w:val="center"/>
        <w:rPr>
          <w:rFonts w:ascii="Times New Roman" w:hAnsi="Times New Roman"/>
          <w:sz w:val="20"/>
          <w:szCs w:val="20"/>
        </w:rPr>
      </w:pPr>
      <w:r>
        <w:rPr>
          <w:rFonts w:ascii="Times New Roman" w:hAnsi="Times New Roman"/>
          <w:b/>
          <w:bCs/>
          <w:sz w:val="20"/>
          <w:szCs w:val="20"/>
        </w:rPr>
        <w:t>Fig. S6</w:t>
      </w:r>
      <w:r>
        <w:rPr>
          <w:rFonts w:ascii="Times New Roman" w:hAnsi="Times New Roman"/>
          <w:sz w:val="20"/>
          <w:szCs w:val="20"/>
        </w:rPr>
        <w:t xml:space="preserve"> (a) XRD patterns and (b) FTIR spectra of BC-P, FBC-P and Fe-FBC-P</w:t>
      </w:r>
    </w:p>
    <w:p>
      <w:pPr>
        <w:widowControl/>
        <w:spacing w:line="480" w:lineRule="auto"/>
        <w:rPr>
          <w:sz w:val="20"/>
          <w:szCs w:val="20"/>
        </w:rPr>
        <w:sectPr>
          <w:pgSz w:w="11906" w:h="16838"/>
          <w:pgMar w:top="1440" w:right="1800" w:bottom="1440" w:left="1800" w:header="851" w:footer="992" w:gutter="0"/>
          <w:cols w:space="425" w:num="1"/>
          <w:docGrid w:type="lines" w:linePitch="312" w:charSpace="0"/>
        </w:sectPr>
      </w:pPr>
      <w:r>
        <w:rPr>
          <w:sz w:val="20"/>
          <w:szCs w:val="20"/>
        </w:rPr>
        <w:br w:type="page"/>
      </w:r>
    </w:p>
    <w:p>
      <w:pPr>
        <w:widowControl/>
        <w:spacing w:line="480" w:lineRule="auto"/>
        <w:jc w:val="center"/>
        <w:rPr>
          <w:sz w:val="20"/>
          <w:szCs w:val="20"/>
        </w:rPr>
      </w:pPr>
      <w:bookmarkStart w:id="4" w:name="_Ref117889487"/>
      <w:bookmarkEnd w:id="4"/>
      <w:r>
        <w:rPr>
          <w:b/>
          <w:bCs/>
          <w:sz w:val="20"/>
          <w:szCs w:val="20"/>
        </w:rPr>
        <w:t>Table S1</w:t>
      </w:r>
      <w:r>
        <w:rPr>
          <w:sz w:val="20"/>
          <w:szCs w:val="20"/>
        </w:rPr>
        <w:t xml:space="preserve"> BET analysis of BC, FBC and Fe-FBC</w:t>
      </w:r>
    </w:p>
    <w:tbl>
      <w:tblPr>
        <w:tblStyle w:val="13"/>
        <w:tblW w:w="6803" w:type="dxa"/>
        <w:jc w:val="center"/>
        <w:tblBorders>
          <w:top w:val="single" w:color="auto" w:sz="4"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843"/>
        <w:gridCol w:w="1459"/>
        <w:gridCol w:w="2267"/>
      </w:tblGrid>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234" w:type="dxa"/>
            <w:tcBorders>
              <w:top w:val="single" w:color="auto" w:sz="12" w:space="0"/>
              <w:left w:val="nil"/>
              <w:bottom w:val="single" w:color="auto" w:sz="6" w:space="0"/>
              <w:right w:val="nil"/>
            </w:tcBorders>
            <w:vAlign w:val="center"/>
          </w:tcPr>
          <w:p>
            <w:pPr>
              <w:widowControl/>
              <w:jc w:val="center"/>
              <w:rPr>
                <w:sz w:val="20"/>
                <w:szCs w:val="20"/>
              </w:rPr>
            </w:pPr>
            <w:bookmarkStart w:id="5" w:name="_Hlk104066310"/>
            <w:r>
              <w:rPr>
                <w:sz w:val="20"/>
                <w:szCs w:val="20"/>
              </w:rPr>
              <w:t>Material</w:t>
            </w:r>
            <w:bookmarkEnd w:id="5"/>
          </w:p>
        </w:tc>
        <w:tc>
          <w:tcPr>
            <w:tcW w:w="1843" w:type="dxa"/>
            <w:tcBorders>
              <w:top w:val="single" w:color="auto" w:sz="12" w:space="0"/>
              <w:left w:val="nil"/>
              <w:bottom w:val="single" w:color="auto" w:sz="6" w:space="0"/>
              <w:right w:val="nil"/>
            </w:tcBorders>
          </w:tcPr>
          <w:p>
            <w:pPr>
              <w:widowControl/>
              <w:jc w:val="center"/>
              <w:rPr>
                <w:sz w:val="20"/>
                <w:szCs w:val="20"/>
              </w:rPr>
            </w:pPr>
            <w:r>
              <w:rPr>
                <w:sz w:val="20"/>
                <w:szCs w:val="20"/>
              </w:rPr>
              <w:t>BET Surface Area</w:t>
            </w:r>
          </w:p>
          <w:p>
            <w:pPr>
              <w:widowControl/>
              <w:jc w:val="center"/>
              <w:rPr>
                <w:sz w:val="20"/>
                <w:szCs w:val="20"/>
              </w:rPr>
            </w:pPr>
            <w:r>
              <w:rPr>
                <w:sz w:val="20"/>
                <w:szCs w:val="20"/>
              </w:rPr>
              <w:t>(m²/g)</w:t>
            </w:r>
          </w:p>
        </w:tc>
        <w:tc>
          <w:tcPr>
            <w:tcW w:w="1459" w:type="dxa"/>
            <w:tcBorders>
              <w:top w:val="single" w:color="auto" w:sz="12" w:space="0"/>
              <w:left w:val="nil"/>
              <w:bottom w:val="single" w:color="auto" w:sz="6" w:space="0"/>
              <w:right w:val="nil"/>
            </w:tcBorders>
          </w:tcPr>
          <w:p>
            <w:pPr>
              <w:widowControl/>
              <w:jc w:val="center"/>
              <w:rPr>
                <w:sz w:val="20"/>
                <w:szCs w:val="20"/>
              </w:rPr>
            </w:pPr>
            <w:r>
              <w:rPr>
                <w:sz w:val="20"/>
                <w:szCs w:val="20"/>
              </w:rPr>
              <w:t>Pore Volume</w:t>
            </w:r>
          </w:p>
          <w:p>
            <w:pPr>
              <w:widowControl/>
              <w:jc w:val="center"/>
              <w:rPr>
                <w:sz w:val="20"/>
                <w:szCs w:val="20"/>
              </w:rPr>
            </w:pPr>
            <w:r>
              <w:rPr>
                <w:sz w:val="20"/>
                <w:szCs w:val="20"/>
              </w:rPr>
              <w:t>(cm</w:t>
            </w:r>
            <w:r>
              <w:rPr>
                <w:sz w:val="20"/>
                <w:szCs w:val="20"/>
                <w:vertAlign w:val="superscript"/>
              </w:rPr>
              <w:t>3</w:t>
            </w:r>
            <w:r>
              <w:rPr>
                <w:sz w:val="20"/>
                <w:szCs w:val="20"/>
              </w:rPr>
              <w:t>/g)</w:t>
            </w:r>
          </w:p>
        </w:tc>
        <w:tc>
          <w:tcPr>
            <w:tcW w:w="2267" w:type="dxa"/>
            <w:tcBorders>
              <w:top w:val="single" w:color="auto" w:sz="12" w:space="0"/>
              <w:left w:val="nil"/>
              <w:bottom w:val="single" w:color="auto" w:sz="6" w:space="0"/>
              <w:right w:val="nil"/>
            </w:tcBorders>
          </w:tcPr>
          <w:p>
            <w:pPr>
              <w:widowControl/>
              <w:jc w:val="center"/>
              <w:rPr>
                <w:sz w:val="20"/>
                <w:szCs w:val="20"/>
              </w:rPr>
            </w:pPr>
            <w:r>
              <w:rPr>
                <w:sz w:val="20"/>
                <w:szCs w:val="20"/>
              </w:rPr>
              <w:t>Average Pore Diameter (nm)</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234" w:type="dxa"/>
            <w:tcBorders>
              <w:top w:val="single" w:color="auto" w:sz="6" w:space="0"/>
              <w:left w:val="nil"/>
              <w:bottom w:val="nil"/>
              <w:right w:val="nil"/>
            </w:tcBorders>
            <w:vAlign w:val="center"/>
          </w:tcPr>
          <w:p>
            <w:pPr>
              <w:widowControl/>
              <w:jc w:val="center"/>
              <w:rPr>
                <w:sz w:val="20"/>
                <w:szCs w:val="20"/>
              </w:rPr>
            </w:pPr>
            <w:r>
              <w:rPr>
                <w:sz w:val="20"/>
                <w:szCs w:val="20"/>
              </w:rPr>
              <w:t>BC</w:t>
            </w:r>
          </w:p>
        </w:tc>
        <w:tc>
          <w:tcPr>
            <w:tcW w:w="1843" w:type="dxa"/>
            <w:tcBorders>
              <w:top w:val="single" w:color="auto" w:sz="6" w:space="0"/>
              <w:left w:val="nil"/>
              <w:bottom w:val="nil"/>
              <w:right w:val="nil"/>
            </w:tcBorders>
            <w:vAlign w:val="center"/>
          </w:tcPr>
          <w:p>
            <w:pPr>
              <w:widowControl/>
              <w:jc w:val="center"/>
              <w:rPr>
                <w:sz w:val="20"/>
                <w:szCs w:val="20"/>
              </w:rPr>
            </w:pPr>
            <w:r>
              <w:rPr>
                <w:sz w:val="20"/>
                <w:szCs w:val="20"/>
              </w:rPr>
              <w:t>88.27</w:t>
            </w:r>
          </w:p>
        </w:tc>
        <w:tc>
          <w:tcPr>
            <w:tcW w:w="1459" w:type="dxa"/>
            <w:tcBorders>
              <w:top w:val="single" w:color="auto" w:sz="6" w:space="0"/>
              <w:left w:val="nil"/>
              <w:bottom w:val="nil"/>
              <w:right w:val="nil"/>
            </w:tcBorders>
            <w:vAlign w:val="center"/>
          </w:tcPr>
          <w:p>
            <w:pPr>
              <w:widowControl/>
              <w:jc w:val="center"/>
              <w:rPr>
                <w:sz w:val="20"/>
                <w:szCs w:val="20"/>
              </w:rPr>
            </w:pPr>
            <w:r>
              <w:rPr>
                <w:sz w:val="20"/>
                <w:szCs w:val="20"/>
              </w:rPr>
              <w:t>0.059</w:t>
            </w:r>
          </w:p>
        </w:tc>
        <w:tc>
          <w:tcPr>
            <w:tcW w:w="2267" w:type="dxa"/>
            <w:tcBorders>
              <w:top w:val="single" w:color="auto" w:sz="6" w:space="0"/>
              <w:left w:val="nil"/>
              <w:bottom w:val="nil"/>
              <w:right w:val="nil"/>
            </w:tcBorders>
            <w:vAlign w:val="center"/>
          </w:tcPr>
          <w:p>
            <w:pPr>
              <w:widowControl/>
              <w:jc w:val="center"/>
              <w:rPr>
                <w:sz w:val="20"/>
                <w:szCs w:val="20"/>
              </w:rPr>
            </w:pPr>
            <w:r>
              <w:rPr>
                <w:sz w:val="20"/>
                <w:szCs w:val="20"/>
              </w:rPr>
              <w:t>10.31</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234" w:type="dxa"/>
            <w:tcBorders>
              <w:top w:val="nil"/>
              <w:left w:val="nil"/>
              <w:bottom w:val="nil"/>
              <w:right w:val="nil"/>
            </w:tcBorders>
            <w:vAlign w:val="center"/>
          </w:tcPr>
          <w:p>
            <w:pPr>
              <w:widowControl/>
              <w:jc w:val="center"/>
              <w:rPr>
                <w:sz w:val="20"/>
                <w:szCs w:val="20"/>
              </w:rPr>
            </w:pPr>
            <w:r>
              <w:rPr>
                <w:sz w:val="20"/>
                <w:szCs w:val="20"/>
              </w:rPr>
              <w:t>FBC</w:t>
            </w:r>
          </w:p>
        </w:tc>
        <w:tc>
          <w:tcPr>
            <w:tcW w:w="1843" w:type="dxa"/>
            <w:tcBorders>
              <w:top w:val="nil"/>
              <w:left w:val="nil"/>
              <w:bottom w:val="nil"/>
              <w:right w:val="nil"/>
            </w:tcBorders>
            <w:vAlign w:val="center"/>
          </w:tcPr>
          <w:p>
            <w:pPr>
              <w:widowControl/>
              <w:jc w:val="center"/>
              <w:rPr>
                <w:sz w:val="20"/>
                <w:szCs w:val="20"/>
              </w:rPr>
            </w:pPr>
            <w:r>
              <w:rPr>
                <w:sz w:val="20"/>
                <w:szCs w:val="20"/>
              </w:rPr>
              <w:t>120.17</w:t>
            </w:r>
          </w:p>
        </w:tc>
        <w:tc>
          <w:tcPr>
            <w:tcW w:w="1459" w:type="dxa"/>
            <w:tcBorders>
              <w:top w:val="nil"/>
              <w:left w:val="nil"/>
              <w:bottom w:val="nil"/>
              <w:right w:val="nil"/>
            </w:tcBorders>
            <w:vAlign w:val="center"/>
          </w:tcPr>
          <w:p>
            <w:pPr>
              <w:widowControl/>
              <w:jc w:val="center"/>
              <w:rPr>
                <w:sz w:val="20"/>
                <w:szCs w:val="20"/>
              </w:rPr>
            </w:pPr>
            <w:r>
              <w:rPr>
                <w:sz w:val="20"/>
                <w:szCs w:val="20"/>
              </w:rPr>
              <w:t>0.070</w:t>
            </w:r>
          </w:p>
        </w:tc>
        <w:tc>
          <w:tcPr>
            <w:tcW w:w="2267" w:type="dxa"/>
            <w:tcBorders>
              <w:top w:val="nil"/>
              <w:left w:val="nil"/>
              <w:bottom w:val="nil"/>
              <w:right w:val="nil"/>
            </w:tcBorders>
            <w:vAlign w:val="center"/>
          </w:tcPr>
          <w:p>
            <w:pPr>
              <w:widowControl/>
              <w:jc w:val="center"/>
              <w:rPr>
                <w:sz w:val="20"/>
                <w:szCs w:val="20"/>
              </w:rPr>
            </w:pPr>
            <w:r>
              <w:rPr>
                <w:sz w:val="20"/>
                <w:szCs w:val="20"/>
              </w:rPr>
              <w:t>5.42</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234" w:type="dxa"/>
            <w:tcBorders>
              <w:top w:val="nil"/>
              <w:left w:val="nil"/>
              <w:bottom w:val="single" w:color="auto" w:sz="12" w:space="0"/>
              <w:right w:val="nil"/>
            </w:tcBorders>
            <w:vAlign w:val="center"/>
          </w:tcPr>
          <w:p>
            <w:pPr>
              <w:widowControl/>
              <w:jc w:val="center"/>
              <w:rPr>
                <w:sz w:val="20"/>
                <w:szCs w:val="20"/>
              </w:rPr>
            </w:pPr>
            <w:r>
              <w:rPr>
                <w:sz w:val="20"/>
                <w:szCs w:val="20"/>
              </w:rPr>
              <w:t>Fe-FBC</w:t>
            </w:r>
          </w:p>
        </w:tc>
        <w:tc>
          <w:tcPr>
            <w:tcW w:w="1843" w:type="dxa"/>
            <w:tcBorders>
              <w:top w:val="nil"/>
              <w:left w:val="nil"/>
              <w:bottom w:val="single" w:color="auto" w:sz="12" w:space="0"/>
              <w:right w:val="nil"/>
            </w:tcBorders>
            <w:vAlign w:val="center"/>
          </w:tcPr>
          <w:p>
            <w:pPr>
              <w:widowControl/>
              <w:jc w:val="center"/>
              <w:rPr>
                <w:sz w:val="20"/>
                <w:szCs w:val="20"/>
              </w:rPr>
            </w:pPr>
            <w:r>
              <w:rPr>
                <w:sz w:val="20"/>
                <w:szCs w:val="20"/>
              </w:rPr>
              <w:t>212.98</w:t>
            </w:r>
          </w:p>
        </w:tc>
        <w:tc>
          <w:tcPr>
            <w:tcW w:w="1459" w:type="dxa"/>
            <w:tcBorders>
              <w:top w:val="nil"/>
              <w:left w:val="nil"/>
              <w:bottom w:val="single" w:color="auto" w:sz="12" w:space="0"/>
              <w:right w:val="nil"/>
            </w:tcBorders>
            <w:vAlign w:val="center"/>
          </w:tcPr>
          <w:p>
            <w:pPr>
              <w:widowControl/>
              <w:jc w:val="center"/>
              <w:rPr>
                <w:sz w:val="20"/>
                <w:szCs w:val="20"/>
              </w:rPr>
            </w:pPr>
            <w:r>
              <w:rPr>
                <w:sz w:val="20"/>
                <w:szCs w:val="20"/>
              </w:rPr>
              <w:t>0.151</w:t>
            </w:r>
          </w:p>
        </w:tc>
        <w:tc>
          <w:tcPr>
            <w:tcW w:w="2267" w:type="dxa"/>
            <w:tcBorders>
              <w:top w:val="nil"/>
              <w:left w:val="nil"/>
              <w:bottom w:val="single" w:color="auto" w:sz="12" w:space="0"/>
              <w:right w:val="nil"/>
            </w:tcBorders>
            <w:vAlign w:val="center"/>
          </w:tcPr>
          <w:p>
            <w:pPr>
              <w:widowControl/>
              <w:jc w:val="center"/>
              <w:rPr>
                <w:sz w:val="20"/>
                <w:szCs w:val="20"/>
              </w:rPr>
            </w:pPr>
            <w:r>
              <w:rPr>
                <w:sz w:val="20"/>
                <w:szCs w:val="20"/>
              </w:rPr>
              <w:t>7.84</w:t>
            </w:r>
          </w:p>
        </w:tc>
      </w:tr>
    </w:tbl>
    <w:p>
      <w:pPr>
        <w:widowControl/>
        <w:ind w:firstLine="800" w:firstLineChars="400"/>
        <w:jc w:val="left"/>
        <w:rPr>
          <w:sz w:val="20"/>
          <w:szCs w:val="20"/>
        </w:rPr>
      </w:pPr>
      <w:r>
        <w:rPr>
          <w:rFonts w:hint="eastAsia"/>
          <w:sz w:val="20"/>
          <w:szCs w:val="20"/>
        </w:rPr>
        <w:t>BET: Brunauer-Emmett-Teller</w:t>
      </w:r>
    </w:p>
    <w:p>
      <w:pPr>
        <w:widowControl/>
        <w:spacing w:line="480" w:lineRule="auto"/>
        <w:rPr>
          <w:sz w:val="20"/>
          <w:szCs w:val="20"/>
        </w:rPr>
      </w:pPr>
      <w:r>
        <w:rPr>
          <w:sz w:val="20"/>
          <w:szCs w:val="20"/>
        </w:rPr>
        <w:t xml:space="preserve"> </w:t>
      </w:r>
    </w:p>
    <w:p>
      <w:pPr>
        <w:widowControl/>
        <w:spacing w:line="480" w:lineRule="auto"/>
        <w:rPr>
          <w:sz w:val="20"/>
          <w:szCs w:val="20"/>
        </w:rPr>
        <w:sectPr>
          <w:pgSz w:w="12240" w:h="15840"/>
          <w:pgMar w:top="1440" w:right="1800" w:bottom="1440" w:left="1800" w:header="720" w:footer="720" w:gutter="0"/>
          <w:cols w:space="720" w:num="1"/>
        </w:sectPr>
      </w:pPr>
    </w:p>
    <w:p>
      <w:pPr>
        <w:widowControl/>
        <w:spacing w:line="480" w:lineRule="auto"/>
        <w:jc w:val="center"/>
        <w:rPr>
          <w:sz w:val="20"/>
          <w:szCs w:val="20"/>
        </w:rPr>
      </w:pPr>
      <w:r>
        <w:rPr>
          <w:b/>
          <w:bCs/>
          <w:sz w:val="20"/>
          <w:szCs w:val="20"/>
        </w:rPr>
        <w:t xml:space="preserve">Table S2 </w:t>
      </w:r>
      <w:r>
        <w:rPr>
          <w:sz w:val="20"/>
          <w:szCs w:val="20"/>
        </w:rPr>
        <w:t>Fitting data of adsorption kinetics</w:t>
      </w:r>
    </w:p>
    <w:tbl>
      <w:tblPr>
        <w:tblStyle w:val="13"/>
        <w:tblpPr w:leftFromText="180" w:rightFromText="180" w:vertAnchor="text" w:horzAnchor="margin" w:tblpXSpec="center" w:tblpY="13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988"/>
        <w:gridCol w:w="988"/>
        <w:gridCol w:w="988"/>
        <w:gridCol w:w="988"/>
        <w:gridCol w:w="988"/>
        <w:gridCol w:w="989"/>
        <w:gridCol w:w="1025"/>
        <w:gridCol w:w="1025"/>
        <w:gridCol w:w="1025"/>
        <w:gridCol w:w="1025"/>
        <w:gridCol w:w="1025"/>
        <w:gridCol w:w="102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vMerge w:val="restart"/>
            <w:tcBorders>
              <w:top w:val="single" w:color="auto" w:sz="8" w:space="0"/>
              <w:left w:val="nil"/>
              <w:bottom w:val="single" w:color="auto" w:sz="4" w:space="0"/>
              <w:right w:val="nil"/>
            </w:tcBorders>
            <w:shd w:val="clear" w:color="auto" w:fill="auto"/>
            <w:vAlign w:val="center"/>
          </w:tcPr>
          <w:p>
            <w:pPr>
              <w:widowControl/>
              <w:spacing w:after="100" w:afterAutospacing="1"/>
              <w:rPr>
                <w:sz w:val="20"/>
                <w:szCs w:val="20"/>
              </w:rPr>
            </w:pPr>
            <w:r>
              <w:rPr>
                <w:sz w:val="20"/>
                <w:szCs w:val="20"/>
              </w:rPr>
              <w:t>Material</w:t>
            </w:r>
          </w:p>
        </w:tc>
        <w:tc>
          <w:tcPr>
            <w:tcW w:w="2964" w:type="dxa"/>
            <w:gridSpan w:val="3"/>
            <w:tcBorders>
              <w:top w:val="single" w:color="auto" w:sz="8" w:space="0"/>
              <w:left w:val="nil"/>
              <w:bottom w:val="single" w:color="auto" w:sz="4" w:space="0"/>
              <w:right w:val="nil"/>
            </w:tcBorders>
            <w:shd w:val="clear" w:color="auto" w:fill="auto"/>
            <w:vAlign w:val="center"/>
          </w:tcPr>
          <w:p>
            <w:pPr>
              <w:widowControl/>
              <w:spacing w:after="100" w:afterAutospacing="1"/>
              <w:jc w:val="center"/>
              <w:rPr>
                <w:sz w:val="20"/>
                <w:szCs w:val="20"/>
              </w:rPr>
            </w:pPr>
            <w:r>
              <w:rPr>
                <w:sz w:val="20"/>
                <w:szCs w:val="20"/>
              </w:rPr>
              <w:t>Pseudo-first-order model</w:t>
            </w:r>
          </w:p>
        </w:tc>
        <w:tc>
          <w:tcPr>
            <w:tcW w:w="2965" w:type="dxa"/>
            <w:gridSpan w:val="3"/>
            <w:tcBorders>
              <w:top w:val="single" w:color="auto" w:sz="8" w:space="0"/>
              <w:left w:val="nil"/>
              <w:bottom w:val="single" w:color="auto" w:sz="4" w:space="0"/>
              <w:right w:val="nil"/>
            </w:tcBorders>
            <w:shd w:val="clear" w:color="auto" w:fill="auto"/>
            <w:vAlign w:val="center"/>
          </w:tcPr>
          <w:p>
            <w:pPr>
              <w:widowControl/>
              <w:spacing w:after="100" w:afterAutospacing="1"/>
              <w:jc w:val="center"/>
              <w:rPr>
                <w:sz w:val="20"/>
                <w:szCs w:val="20"/>
              </w:rPr>
            </w:pPr>
            <w:r>
              <w:rPr>
                <w:sz w:val="20"/>
                <w:szCs w:val="20"/>
              </w:rPr>
              <w:t>Pseudo-second-order model</w:t>
            </w:r>
          </w:p>
        </w:tc>
        <w:tc>
          <w:tcPr>
            <w:tcW w:w="6150" w:type="dxa"/>
            <w:gridSpan w:val="6"/>
            <w:tcBorders>
              <w:top w:val="single" w:color="auto" w:sz="8" w:space="0"/>
              <w:left w:val="nil"/>
              <w:bottom w:val="single" w:color="auto" w:sz="4" w:space="0"/>
              <w:right w:val="nil"/>
            </w:tcBorders>
            <w:vAlign w:val="center"/>
          </w:tcPr>
          <w:p>
            <w:pPr>
              <w:widowControl/>
              <w:spacing w:after="100" w:afterAutospacing="1"/>
              <w:jc w:val="center"/>
              <w:rPr>
                <w:sz w:val="20"/>
                <w:szCs w:val="20"/>
              </w:rPr>
            </w:pPr>
            <w:r>
              <w:rPr>
                <w:sz w:val="20"/>
                <w:szCs w:val="20"/>
              </w:rPr>
              <w:t>Intra-particle-diffusion model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0" w:type="auto"/>
            <w:vMerge w:val="continue"/>
            <w:tcBorders>
              <w:top w:val="single" w:color="auto" w:sz="8" w:space="0"/>
              <w:left w:val="nil"/>
              <w:bottom w:val="single" w:color="auto" w:sz="4" w:space="0"/>
              <w:right w:val="nil"/>
            </w:tcBorders>
            <w:shd w:val="clear" w:color="auto" w:fill="auto"/>
            <w:vAlign w:val="center"/>
          </w:tcPr>
          <w:p>
            <w:pPr>
              <w:widowControl/>
              <w:jc w:val="center"/>
              <w:rPr>
                <w:sz w:val="20"/>
                <w:szCs w:val="20"/>
              </w:rPr>
            </w:pPr>
          </w:p>
        </w:tc>
        <w:tc>
          <w:tcPr>
            <w:tcW w:w="988"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q</w:t>
            </w:r>
            <w:r>
              <w:rPr>
                <w:sz w:val="20"/>
                <w:szCs w:val="20"/>
                <w:vertAlign w:val="subscript"/>
              </w:rPr>
              <w:t>e</w:t>
            </w:r>
          </w:p>
        </w:tc>
        <w:tc>
          <w:tcPr>
            <w:tcW w:w="988"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K</w:t>
            </w:r>
            <w:r>
              <w:rPr>
                <w:sz w:val="20"/>
                <w:szCs w:val="20"/>
                <w:vertAlign w:val="subscript"/>
              </w:rPr>
              <w:t>1</w:t>
            </w:r>
          </w:p>
        </w:tc>
        <w:tc>
          <w:tcPr>
            <w:tcW w:w="988"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R</w:t>
            </w:r>
            <w:r>
              <w:rPr>
                <w:sz w:val="20"/>
                <w:szCs w:val="20"/>
                <w:vertAlign w:val="superscript"/>
              </w:rPr>
              <w:t>2</w:t>
            </w:r>
          </w:p>
        </w:tc>
        <w:tc>
          <w:tcPr>
            <w:tcW w:w="988"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q</w:t>
            </w:r>
            <w:r>
              <w:rPr>
                <w:sz w:val="20"/>
                <w:szCs w:val="20"/>
                <w:vertAlign w:val="subscript"/>
              </w:rPr>
              <w:t>e</w:t>
            </w:r>
          </w:p>
        </w:tc>
        <w:tc>
          <w:tcPr>
            <w:tcW w:w="988"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K</w:t>
            </w:r>
            <w:r>
              <w:rPr>
                <w:sz w:val="20"/>
                <w:szCs w:val="20"/>
                <w:vertAlign w:val="subscript"/>
              </w:rPr>
              <w:t>2</w:t>
            </w:r>
          </w:p>
        </w:tc>
        <w:tc>
          <w:tcPr>
            <w:tcW w:w="989"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R</w:t>
            </w:r>
            <w:r>
              <w:rPr>
                <w:sz w:val="20"/>
                <w:szCs w:val="20"/>
                <w:vertAlign w:val="superscript"/>
              </w:rPr>
              <w:t>2</w:t>
            </w:r>
          </w:p>
        </w:tc>
        <w:tc>
          <w:tcPr>
            <w:tcW w:w="1025" w:type="dxa"/>
            <w:tcBorders>
              <w:top w:val="single" w:color="auto" w:sz="4" w:space="0"/>
              <w:left w:val="nil"/>
              <w:bottom w:val="single" w:color="auto" w:sz="8" w:space="0"/>
              <w:right w:val="nil"/>
            </w:tcBorders>
            <w:vAlign w:val="center"/>
          </w:tcPr>
          <w:p>
            <w:pPr>
              <w:widowControl/>
              <w:spacing w:after="100" w:afterAutospacing="1"/>
              <w:jc w:val="center"/>
              <w:rPr>
                <w:sz w:val="20"/>
                <w:szCs w:val="20"/>
              </w:rPr>
            </w:pPr>
            <w:r>
              <w:rPr>
                <w:sz w:val="20"/>
                <w:szCs w:val="20"/>
              </w:rPr>
              <w:t>C</w:t>
            </w:r>
            <w:r>
              <w:rPr>
                <w:sz w:val="20"/>
                <w:szCs w:val="20"/>
                <w:vertAlign w:val="subscript"/>
              </w:rPr>
              <w:t>1</w:t>
            </w:r>
          </w:p>
        </w:tc>
        <w:tc>
          <w:tcPr>
            <w:tcW w:w="1025" w:type="dxa"/>
            <w:tcBorders>
              <w:top w:val="single" w:color="auto" w:sz="4" w:space="0"/>
              <w:left w:val="nil"/>
              <w:bottom w:val="single" w:color="auto" w:sz="8" w:space="0"/>
              <w:right w:val="nil"/>
            </w:tcBorders>
            <w:vAlign w:val="center"/>
          </w:tcPr>
          <w:p>
            <w:pPr>
              <w:widowControl/>
              <w:spacing w:after="100" w:afterAutospacing="1"/>
              <w:jc w:val="center"/>
              <w:rPr>
                <w:sz w:val="20"/>
                <w:szCs w:val="20"/>
              </w:rPr>
            </w:pPr>
            <w:r>
              <w:rPr>
                <w:sz w:val="20"/>
                <w:szCs w:val="20"/>
              </w:rPr>
              <w:t>C</w:t>
            </w:r>
            <w:r>
              <w:rPr>
                <w:sz w:val="20"/>
                <w:szCs w:val="20"/>
                <w:vertAlign w:val="subscript"/>
              </w:rPr>
              <w:t>2</w:t>
            </w:r>
          </w:p>
        </w:tc>
        <w:tc>
          <w:tcPr>
            <w:tcW w:w="1025" w:type="dxa"/>
            <w:tcBorders>
              <w:top w:val="single" w:color="auto" w:sz="4" w:space="0"/>
              <w:left w:val="nil"/>
              <w:bottom w:val="single" w:color="auto" w:sz="8" w:space="0"/>
              <w:right w:val="nil"/>
            </w:tcBorders>
            <w:vAlign w:val="center"/>
          </w:tcPr>
          <w:p>
            <w:pPr>
              <w:widowControl/>
              <w:spacing w:after="100" w:afterAutospacing="1"/>
              <w:jc w:val="center"/>
              <w:rPr>
                <w:sz w:val="20"/>
                <w:szCs w:val="20"/>
              </w:rPr>
            </w:pPr>
            <w:r>
              <w:rPr>
                <w:sz w:val="20"/>
                <w:szCs w:val="20"/>
              </w:rPr>
              <w:t>K</w:t>
            </w:r>
            <w:r>
              <w:rPr>
                <w:sz w:val="20"/>
                <w:szCs w:val="20"/>
                <w:vertAlign w:val="subscript"/>
              </w:rPr>
              <w:t>p1</w:t>
            </w:r>
          </w:p>
        </w:tc>
        <w:tc>
          <w:tcPr>
            <w:tcW w:w="1025" w:type="dxa"/>
            <w:tcBorders>
              <w:top w:val="single" w:color="auto" w:sz="4" w:space="0"/>
              <w:left w:val="nil"/>
              <w:bottom w:val="single" w:color="auto" w:sz="8" w:space="0"/>
              <w:right w:val="nil"/>
            </w:tcBorders>
            <w:vAlign w:val="center"/>
          </w:tcPr>
          <w:p>
            <w:pPr>
              <w:widowControl/>
              <w:spacing w:after="100" w:afterAutospacing="1"/>
              <w:jc w:val="center"/>
              <w:rPr>
                <w:sz w:val="20"/>
                <w:szCs w:val="20"/>
              </w:rPr>
            </w:pPr>
            <w:r>
              <w:rPr>
                <w:sz w:val="20"/>
                <w:szCs w:val="20"/>
              </w:rPr>
              <w:t>K</w:t>
            </w:r>
            <w:r>
              <w:rPr>
                <w:sz w:val="20"/>
                <w:szCs w:val="20"/>
                <w:vertAlign w:val="subscript"/>
              </w:rPr>
              <w:t>p2</w:t>
            </w:r>
          </w:p>
        </w:tc>
        <w:tc>
          <w:tcPr>
            <w:tcW w:w="1025" w:type="dxa"/>
            <w:tcBorders>
              <w:top w:val="single" w:color="auto" w:sz="4" w:space="0"/>
              <w:left w:val="nil"/>
              <w:bottom w:val="single" w:color="auto" w:sz="8" w:space="0"/>
              <w:right w:val="nil"/>
            </w:tcBorders>
            <w:vAlign w:val="center"/>
          </w:tcPr>
          <w:p>
            <w:pPr>
              <w:widowControl/>
              <w:spacing w:after="100" w:afterAutospacing="1"/>
              <w:jc w:val="center"/>
              <w:rPr>
                <w:sz w:val="20"/>
                <w:szCs w:val="20"/>
              </w:rPr>
            </w:pPr>
            <w:r>
              <w:rPr>
                <w:sz w:val="20"/>
                <w:szCs w:val="20"/>
              </w:rPr>
              <w:t>R</w:t>
            </w:r>
            <w:r>
              <w:rPr>
                <w:sz w:val="20"/>
                <w:szCs w:val="20"/>
                <w:vertAlign w:val="subscript"/>
              </w:rPr>
              <w:t>1</w:t>
            </w:r>
            <w:r>
              <w:rPr>
                <w:sz w:val="20"/>
                <w:szCs w:val="20"/>
                <w:vertAlign w:val="superscript"/>
              </w:rPr>
              <w:t>2</w:t>
            </w:r>
          </w:p>
        </w:tc>
        <w:tc>
          <w:tcPr>
            <w:tcW w:w="1025" w:type="dxa"/>
            <w:tcBorders>
              <w:top w:val="single" w:color="auto" w:sz="4" w:space="0"/>
              <w:left w:val="nil"/>
              <w:bottom w:val="single" w:color="auto" w:sz="8" w:space="0"/>
              <w:right w:val="nil"/>
            </w:tcBorders>
            <w:shd w:val="clear" w:color="auto" w:fill="auto"/>
            <w:vAlign w:val="center"/>
          </w:tcPr>
          <w:p>
            <w:pPr>
              <w:widowControl/>
              <w:spacing w:after="100" w:afterAutospacing="1"/>
              <w:jc w:val="center"/>
              <w:rPr>
                <w:sz w:val="20"/>
                <w:szCs w:val="20"/>
              </w:rPr>
            </w:pPr>
            <w:r>
              <w:rPr>
                <w:sz w:val="20"/>
                <w:szCs w:val="20"/>
              </w:rPr>
              <w:t>R</w:t>
            </w:r>
            <w:r>
              <w:rPr>
                <w:sz w:val="20"/>
                <w:szCs w:val="20"/>
                <w:vertAlign w:val="subscript"/>
              </w:rPr>
              <w:t>2</w:t>
            </w:r>
            <w:r>
              <w:rPr>
                <w:sz w:val="20"/>
                <w:szCs w:val="20"/>
                <w:vertAlign w:val="superscript"/>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0" w:type="auto"/>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BC</w:t>
            </w:r>
          </w:p>
        </w:tc>
        <w:tc>
          <w:tcPr>
            <w:tcW w:w="988" w:type="dxa"/>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1.143</w:t>
            </w:r>
          </w:p>
        </w:tc>
        <w:tc>
          <w:tcPr>
            <w:tcW w:w="988" w:type="dxa"/>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4.697</w:t>
            </w:r>
          </w:p>
        </w:tc>
        <w:tc>
          <w:tcPr>
            <w:tcW w:w="988" w:type="dxa"/>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0.981</w:t>
            </w:r>
          </w:p>
        </w:tc>
        <w:tc>
          <w:tcPr>
            <w:tcW w:w="988" w:type="dxa"/>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1.159</w:t>
            </w:r>
          </w:p>
        </w:tc>
        <w:tc>
          <w:tcPr>
            <w:tcW w:w="988" w:type="dxa"/>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6.639</w:t>
            </w:r>
          </w:p>
        </w:tc>
        <w:tc>
          <w:tcPr>
            <w:tcW w:w="989" w:type="dxa"/>
            <w:tcBorders>
              <w:top w:val="single" w:color="auto" w:sz="8" w:space="0"/>
              <w:left w:val="nil"/>
              <w:bottom w:val="nil"/>
              <w:right w:val="nil"/>
            </w:tcBorders>
            <w:shd w:val="clear" w:color="auto" w:fill="auto"/>
            <w:vAlign w:val="center"/>
          </w:tcPr>
          <w:p>
            <w:pPr>
              <w:widowControl/>
              <w:spacing w:after="100" w:afterAutospacing="1"/>
              <w:jc w:val="center"/>
              <w:rPr>
                <w:sz w:val="20"/>
                <w:szCs w:val="20"/>
              </w:rPr>
            </w:pPr>
            <w:r>
              <w:rPr>
                <w:sz w:val="20"/>
                <w:szCs w:val="20"/>
              </w:rPr>
              <w:t>0.999</w:t>
            </w:r>
          </w:p>
        </w:tc>
        <w:tc>
          <w:tcPr>
            <w:tcW w:w="1025" w:type="dxa"/>
            <w:tcBorders>
              <w:top w:val="single" w:color="auto" w:sz="8" w:space="0"/>
              <w:left w:val="nil"/>
              <w:bottom w:val="nil"/>
              <w:right w:val="nil"/>
            </w:tcBorders>
            <w:vAlign w:val="center"/>
          </w:tcPr>
          <w:p>
            <w:pPr>
              <w:widowControl/>
              <w:spacing w:after="100" w:afterAutospacing="1"/>
              <w:jc w:val="center"/>
              <w:rPr>
                <w:sz w:val="20"/>
                <w:szCs w:val="20"/>
              </w:rPr>
            </w:pPr>
            <w:r>
              <w:rPr>
                <w:sz w:val="20"/>
                <w:szCs w:val="20"/>
              </w:rPr>
              <w:t>0.149</w:t>
            </w:r>
          </w:p>
        </w:tc>
        <w:tc>
          <w:tcPr>
            <w:tcW w:w="1025" w:type="dxa"/>
            <w:tcBorders>
              <w:top w:val="single" w:color="auto" w:sz="8" w:space="0"/>
              <w:left w:val="nil"/>
              <w:bottom w:val="nil"/>
              <w:right w:val="nil"/>
            </w:tcBorders>
            <w:vAlign w:val="center"/>
          </w:tcPr>
          <w:p>
            <w:pPr>
              <w:widowControl/>
              <w:spacing w:after="100" w:afterAutospacing="1"/>
              <w:jc w:val="center"/>
              <w:rPr>
                <w:sz w:val="20"/>
                <w:szCs w:val="20"/>
              </w:rPr>
            </w:pPr>
            <w:r>
              <w:rPr>
                <w:sz w:val="20"/>
                <w:szCs w:val="20"/>
              </w:rPr>
              <w:t>1.063</w:t>
            </w:r>
          </w:p>
        </w:tc>
        <w:tc>
          <w:tcPr>
            <w:tcW w:w="1025" w:type="dxa"/>
            <w:tcBorders>
              <w:top w:val="single" w:color="auto" w:sz="8" w:space="0"/>
              <w:left w:val="nil"/>
              <w:bottom w:val="nil"/>
              <w:right w:val="nil"/>
            </w:tcBorders>
            <w:vAlign w:val="center"/>
          </w:tcPr>
          <w:p>
            <w:pPr>
              <w:widowControl/>
              <w:spacing w:after="100" w:afterAutospacing="1"/>
              <w:jc w:val="center"/>
              <w:rPr>
                <w:sz w:val="20"/>
                <w:szCs w:val="20"/>
              </w:rPr>
            </w:pPr>
            <w:r>
              <w:rPr>
                <w:sz w:val="20"/>
                <w:szCs w:val="20"/>
              </w:rPr>
              <w:t>1.804</w:t>
            </w:r>
          </w:p>
        </w:tc>
        <w:tc>
          <w:tcPr>
            <w:tcW w:w="1025" w:type="dxa"/>
            <w:tcBorders>
              <w:top w:val="single" w:color="auto" w:sz="8" w:space="0"/>
              <w:left w:val="nil"/>
              <w:bottom w:val="nil"/>
              <w:right w:val="nil"/>
            </w:tcBorders>
            <w:vAlign w:val="center"/>
          </w:tcPr>
          <w:p>
            <w:pPr>
              <w:widowControl/>
              <w:spacing w:after="100" w:afterAutospacing="1"/>
              <w:jc w:val="center"/>
              <w:rPr>
                <w:sz w:val="20"/>
                <w:szCs w:val="20"/>
              </w:rPr>
            </w:pPr>
            <w:r>
              <w:rPr>
                <w:sz w:val="20"/>
                <w:szCs w:val="20"/>
              </w:rPr>
              <w:t>0.030</w:t>
            </w:r>
          </w:p>
        </w:tc>
        <w:tc>
          <w:tcPr>
            <w:tcW w:w="1025" w:type="dxa"/>
            <w:tcBorders>
              <w:top w:val="single" w:color="auto" w:sz="8" w:space="0"/>
              <w:left w:val="nil"/>
              <w:bottom w:val="nil"/>
              <w:right w:val="nil"/>
            </w:tcBorders>
            <w:vAlign w:val="center"/>
          </w:tcPr>
          <w:p>
            <w:pPr>
              <w:widowControl/>
              <w:spacing w:after="100" w:afterAutospacing="1"/>
              <w:jc w:val="center"/>
              <w:rPr>
                <w:sz w:val="20"/>
                <w:szCs w:val="20"/>
              </w:rPr>
            </w:pPr>
            <w:r>
              <w:rPr>
                <w:sz w:val="20"/>
                <w:szCs w:val="20"/>
              </w:rPr>
              <w:t>0.895</w:t>
            </w:r>
          </w:p>
        </w:tc>
        <w:tc>
          <w:tcPr>
            <w:tcW w:w="1025" w:type="dxa"/>
            <w:tcBorders>
              <w:top w:val="single" w:color="auto" w:sz="8" w:space="0"/>
              <w:left w:val="nil"/>
              <w:bottom w:val="nil"/>
              <w:right w:val="nil"/>
            </w:tcBorders>
            <w:vAlign w:val="center"/>
          </w:tcPr>
          <w:p>
            <w:pPr>
              <w:widowControl/>
              <w:spacing w:after="100" w:afterAutospacing="1"/>
              <w:jc w:val="center"/>
              <w:rPr>
                <w:sz w:val="20"/>
                <w:szCs w:val="20"/>
              </w:rPr>
            </w:pPr>
            <w:r>
              <w:rPr>
                <w:sz w:val="20"/>
                <w:szCs w:val="20"/>
              </w:rPr>
              <w:t>0.363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0" w:type="auto"/>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FBC</w:t>
            </w:r>
          </w:p>
        </w:tc>
        <w:tc>
          <w:tcPr>
            <w:tcW w:w="988" w:type="dxa"/>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1.710</w:t>
            </w:r>
          </w:p>
        </w:tc>
        <w:tc>
          <w:tcPr>
            <w:tcW w:w="988" w:type="dxa"/>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1.190</w:t>
            </w:r>
          </w:p>
        </w:tc>
        <w:tc>
          <w:tcPr>
            <w:tcW w:w="988" w:type="dxa"/>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0.846</w:t>
            </w:r>
          </w:p>
        </w:tc>
        <w:tc>
          <w:tcPr>
            <w:tcW w:w="988" w:type="dxa"/>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1.455</w:t>
            </w:r>
          </w:p>
        </w:tc>
        <w:tc>
          <w:tcPr>
            <w:tcW w:w="988" w:type="dxa"/>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12.45</w:t>
            </w:r>
          </w:p>
        </w:tc>
        <w:tc>
          <w:tcPr>
            <w:tcW w:w="989" w:type="dxa"/>
            <w:tcBorders>
              <w:top w:val="nil"/>
              <w:left w:val="nil"/>
              <w:bottom w:val="nil"/>
              <w:right w:val="nil"/>
            </w:tcBorders>
            <w:shd w:val="clear" w:color="auto" w:fill="auto"/>
            <w:vAlign w:val="center"/>
          </w:tcPr>
          <w:p>
            <w:pPr>
              <w:widowControl/>
              <w:spacing w:after="100" w:afterAutospacing="1"/>
              <w:jc w:val="center"/>
              <w:rPr>
                <w:sz w:val="20"/>
                <w:szCs w:val="20"/>
              </w:rPr>
            </w:pPr>
            <w:r>
              <w:rPr>
                <w:sz w:val="20"/>
                <w:szCs w:val="20"/>
              </w:rPr>
              <w:t>0.999</w:t>
            </w:r>
          </w:p>
        </w:tc>
        <w:tc>
          <w:tcPr>
            <w:tcW w:w="1025" w:type="dxa"/>
            <w:tcBorders>
              <w:top w:val="nil"/>
              <w:left w:val="nil"/>
              <w:bottom w:val="nil"/>
              <w:right w:val="nil"/>
            </w:tcBorders>
            <w:vAlign w:val="center"/>
          </w:tcPr>
          <w:p>
            <w:pPr>
              <w:widowControl/>
              <w:spacing w:after="100" w:afterAutospacing="1"/>
              <w:jc w:val="center"/>
              <w:rPr>
                <w:sz w:val="20"/>
                <w:szCs w:val="20"/>
              </w:rPr>
            </w:pPr>
            <w:r>
              <w:rPr>
                <w:sz w:val="20"/>
                <w:szCs w:val="20"/>
              </w:rPr>
              <w:t>0.420</w:t>
            </w:r>
          </w:p>
        </w:tc>
        <w:tc>
          <w:tcPr>
            <w:tcW w:w="1025" w:type="dxa"/>
            <w:tcBorders>
              <w:top w:val="nil"/>
              <w:left w:val="nil"/>
              <w:bottom w:val="nil"/>
              <w:right w:val="nil"/>
            </w:tcBorders>
            <w:vAlign w:val="center"/>
          </w:tcPr>
          <w:p>
            <w:pPr>
              <w:widowControl/>
              <w:spacing w:after="100" w:afterAutospacing="1"/>
              <w:jc w:val="center"/>
              <w:rPr>
                <w:sz w:val="20"/>
                <w:szCs w:val="20"/>
              </w:rPr>
            </w:pPr>
            <w:r>
              <w:rPr>
                <w:sz w:val="20"/>
                <w:szCs w:val="20"/>
              </w:rPr>
              <w:t>1.248</w:t>
            </w:r>
          </w:p>
        </w:tc>
        <w:tc>
          <w:tcPr>
            <w:tcW w:w="1025" w:type="dxa"/>
            <w:tcBorders>
              <w:top w:val="nil"/>
              <w:left w:val="nil"/>
              <w:bottom w:val="nil"/>
              <w:right w:val="nil"/>
            </w:tcBorders>
            <w:vAlign w:val="center"/>
          </w:tcPr>
          <w:p>
            <w:pPr>
              <w:widowControl/>
              <w:spacing w:after="100" w:afterAutospacing="1"/>
              <w:jc w:val="center"/>
              <w:rPr>
                <w:sz w:val="20"/>
                <w:szCs w:val="20"/>
              </w:rPr>
            </w:pPr>
            <w:r>
              <w:rPr>
                <w:sz w:val="20"/>
                <w:szCs w:val="20"/>
              </w:rPr>
              <w:t>1.582</w:t>
            </w:r>
          </w:p>
        </w:tc>
        <w:tc>
          <w:tcPr>
            <w:tcW w:w="1025" w:type="dxa"/>
            <w:tcBorders>
              <w:top w:val="nil"/>
              <w:left w:val="nil"/>
              <w:bottom w:val="nil"/>
              <w:right w:val="nil"/>
            </w:tcBorders>
            <w:vAlign w:val="center"/>
          </w:tcPr>
          <w:p>
            <w:pPr>
              <w:widowControl/>
              <w:spacing w:after="100" w:afterAutospacing="1"/>
              <w:jc w:val="center"/>
              <w:rPr>
                <w:sz w:val="20"/>
                <w:szCs w:val="20"/>
              </w:rPr>
            </w:pPr>
            <w:r>
              <w:rPr>
                <w:sz w:val="20"/>
                <w:szCs w:val="20"/>
              </w:rPr>
              <w:t>0.083</w:t>
            </w:r>
          </w:p>
        </w:tc>
        <w:tc>
          <w:tcPr>
            <w:tcW w:w="1025" w:type="dxa"/>
            <w:tcBorders>
              <w:top w:val="nil"/>
              <w:left w:val="nil"/>
              <w:bottom w:val="nil"/>
              <w:right w:val="nil"/>
            </w:tcBorders>
            <w:vAlign w:val="center"/>
          </w:tcPr>
          <w:p>
            <w:pPr>
              <w:widowControl/>
              <w:spacing w:after="100" w:afterAutospacing="1"/>
              <w:jc w:val="center"/>
              <w:rPr>
                <w:sz w:val="20"/>
                <w:szCs w:val="20"/>
              </w:rPr>
            </w:pPr>
            <w:r>
              <w:rPr>
                <w:sz w:val="20"/>
                <w:szCs w:val="20"/>
              </w:rPr>
              <w:t>0.986</w:t>
            </w:r>
          </w:p>
        </w:tc>
        <w:tc>
          <w:tcPr>
            <w:tcW w:w="1025" w:type="dxa"/>
            <w:tcBorders>
              <w:top w:val="nil"/>
              <w:left w:val="nil"/>
              <w:bottom w:val="nil"/>
              <w:right w:val="nil"/>
            </w:tcBorders>
            <w:vAlign w:val="center"/>
          </w:tcPr>
          <w:p>
            <w:pPr>
              <w:widowControl/>
              <w:spacing w:after="100" w:afterAutospacing="1"/>
              <w:jc w:val="center"/>
              <w:rPr>
                <w:sz w:val="20"/>
                <w:szCs w:val="20"/>
              </w:rPr>
            </w:pPr>
            <w:r>
              <w:rPr>
                <w:sz w:val="20"/>
                <w:szCs w:val="20"/>
              </w:rPr>
              <w:t>0.638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0" w:type="auto"/>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Fe-FBC</w:t>
            </w:r>
          </w:p>
        </w:tc>
        <w:tc>
          <w:tcPr>
            <w:tcW w:w="988" w:type="dxa"/>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1.538</w:t>
            </w:r>
          </w:p>
        </w:tc>
        <w:tc>
          <w:tcPr>
            <w:tcW w:w="988" w:type="dxa"/>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0.574</w:t>
            </w:r>
          </w:p>
        </w:tc>
        <w:tc>
          <w:tcPr>
            <w:tcW w:w="988" w:type="dxa"/>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0.894</w:t>
            </w:r>
          </w:p>
        </w:tc>
        <w:tc>
          <w:tcPr>
            <w:tcW w:w="988" w:type="dxa"/>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4.585</w:t>
            </w:r>
          </w:p>
        </w:tc>
        <w:tc>
          <w:tcPr>
            <w:tcW w:w="988" w:type="dxa"/>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3.150</w:t>
            </w:r>
          </w:p>
        </w:tc>
        <w:tc>
          <w:tcPr>
            <w:tcW w:w="989" w:type="dxa"/>
            <w:tcBorders>
              <w:top w:val="nil"/>
              <w:left w:val="nil"/>
              <w:bottom w:val="single" w:color="auto" w:sz="12" w:space="0"/>
              <w:right w:val="nil"/>
            </w:tcBorders>
            <w:shd w:val="clear" w:color="auto" w:fill="auto"/>
            <w:vAlign w:val="center"/>
          </w:tcPr>
          <w:p>
            <w:pPr>
              <w:widowControl/>
              <w:spacing w:after="100" w:afterAutospacing="1"/>
              <w:jc w:val="center"/>
              <w:rPr>
                <w:sz w:val="20"/>
                <w:szCs w:val="20"/>
              </w:rPr>
            </w:pPr>
            <w:r>
              <w:rPr>
                <w:sz w:val="20"/>
                <w:szCs w:val="20"/>
              </w:rPr>
              <w:t>1</w:t>
            </w:r>
          </w:p>
        </w:tc>
        <w:tc>
          <w:tcPr>
            <w:tcW w:w="1025" w:type="dxa"/>
            <w:tcBorders>
              <w:top w:val="nil"/>
              <w:left w:val="nil"/>
              <w:bottom w:val="single" w:color="auto" w:sz="12" w:space="0"/>
              <w:right w:val="nil"/>
            </w:tcBorders>
            <w:vAlign w:val="center"/>
          </w:tcPr>
          <w:p>
            <w:pPr>
              <w:widowControl/>
              <w:spacing w:after="100" w:afterAutospacing="1"/>
              <w:jc w:val="center"/>
              <w:rPr>
                <w:sz w:val="20"/>
                <w:szCs w:val="20"/>
              </w:rPr>
            </w:pPr>
            <w:r>
              <w:rPr>
                <w:sz w:val="20"/>
                <w:szCs w:val="20"/>
              </w:rPr>
              <w:t>3.389</w:t>
            </w:r>
          </w:p>
        </w:tc>
        <w:tc>
          <w:tcPr>
            <w:tcW w:w="1025" w:type="dxa"/>
            <w:tcBorders>
              <w:top w:val="nil"/>
              <w:left w:val="nil"/>
              <w:bottom w:val="single" w:color="auto" w:sz="12" w:space="0"/>
              <w:right w:val="nil"/>
            </w:tcBorders>
            <w:vAlign w:val="center"/>
          </w:tcPr>
          <w:p>
            <w:pPr>
              <w:widowControl/>
              <w:spacing w:after="100" w:afterAutospacing="1"/>
              <w:jc w:val="center"/>
              <w:rPr>
                <w:sz w:val="20"/>
                <w:szCs w:val="20"/>
              </w:rPr>
            </w:pPr>
            <w:r>
              <w:rPr>
                <w:sz w:val="20"/>
                <w:szCs w:val="20"/>
              </w:rPr>
              <w:t>4.701</w:t>
            </w:r>
          </w:p>
        </w:tc>
        <w:tc>
          <w:tcPr>
            <w:tcW w:w="1025" w:type="dxa"/>
            <w:tcBorders>
              <w:top w:val="nil"/>
              <w:left w:val="nil"/>
              <w:bottom w:val="single" w:color="auto" w:sz="12" w:space="0"/>
              <w:right w:val="nil"/>
            </w:tcBorders>
            <w:vAlign w:val="center"/>
          </w:tcPr>
          <w:p>
            <w:pPr>
              <w:widowControl/>
              <w:spacing w:after="100" w:afterAutospacing="1"/>
              <w:jc w:val="center"/>
              <w:rPr>
                <w:sz w:val="20"/>
                <w:szCs w:val="20"/>
              </w:rPr>
            </w:pPr>
            <w:r>
              <w:rPr>
                <w:sz w:val="20"/>
                <w:szCs w:val="20"/>
              </w:rPr>
              <w:t>1.963</w:t>
            </w:r>
          </w:p>
        </w:tc>
        <w:tc>
          <w:tcPr>
            <w:tcW w:w="1025" w:type="dxa"/>
            <w:tcBorders>
              <w:top w:val="nil"/>
              <w:left w:val="nil"/>
              <w:bottom w:val="single" w:color="auto" w:sz="12" w:space="0"/>
              <w:right w:val="nil"/>
            </w:tcBorders>
            <w:vAlign w:val="center"/>
          </w:tcPr>
          <w:p>
            <w:pPr>
              <w:widowControl/>
              <w:spacing w:after="100" w:afterAutospacing="1"/>
              <w:jc w:val="center"/>
              <w:rPr>
                <w:sz w:val="20"/>
                <w:szCs w:val="20"/>
              </w:rPr>
            </w:pPr>
            <w:r>
              <w:rPr>
                <w:sz w:val="20"/>
                <w:szCs w:val="20"/>
              </w:rPr>
              <w:t>0.374</w:t>
            </w:r>
          </w:p>
        </w:tc>
        <w:tc>
          <w:tcPr>
            <w:tcW w:w="1025" w:type="dxa"/>
            <w:tcBorders>
              <w:top w:val="nil"/>
              <w:left w:val="nil"/>
              <w:bottom w:val="single" w:color="auto" w:sz="12" w:space="0"/>
              <w:right w:val="nil"/>
            </w:tcBorders>
            <w:vAlign w:val="center"/>
          </w:tcPr>
          <w:p>
            <w:pPr>
              <w:widowControl/>
              <w:spacing w:after="100" w:afterAutospacing="1"/>
              <w:jc w:val="center"/>
              <w:rPr>
                <w:sz w:val="20"/>
                <w:szCs w:val="20"/>
              </w:rPr>
            </w:pPr>
            <w:r>
              <w:rPr>
                <w:sz w:val="20"/>
                <w:szCs w:val="20"/>
              </w:rPr>
              <w:t>0.740</w:t>
            </w:r>
          </w:p>
        </w:tc>
        <w:tc>
          <w:tcPr>
            <w:tcW w:w="1025" w:type="dxa"/>
            <w:tcBorders>
              <w:top w:val="nil"/>
              <w:left w:val="nil"/>
              <w:bottom w:val="single" w:color="auto" w:sz="12" w:space="0"/>
              <w:right w:val="nil"/>
            </w:tcBorders>
            <w:vAlign w:val="center"/>
          </w:tcPr>
          <w:p>
            <w:pPr>
              <w:widowControl/>
              <w:spacing w:after="100" w:afterAutospacing="1"/>
              <w:jc w:val="center"/>
              <w:rPr>
                <w:sz w:val="20"/>
                <w:szCs w:val="20"/>
              </w:rPr>
            </w:pPr>
            <w:r>
              <w:rPr>
                <w:sz w:val="20"/>
                <w:szCs w:val="20"/>
              </w:rPr>
              <w:t>0.875</w:t>
            </w:r>
          </w:p>
        </w:tc>
      </w:tr>
    </w:tbl>
    <w:p>
      <w:pPr>
        <w:widowControl/>
        <w:rPr>
          <w:sz w:val="20"/>
          <w:szCs w:val="20"/>
        </w:rPr>
      </w:pPr>
      <w:r>
        <w:rPr>
          <w:rFonts w:eastAsia="等线"/>
          <w:iCs/>
          <w:sz w:val="20"/>
          <w:szCs w:val="20"/>
        </w:rPr>
        <w:t>Note: cotton stalk biochar (BC), fly ash/cotton stalk biochar (FBC), Fe-modified fly ash/cotton stalk biochar (Fe-FBC), respectively.</w:t>
      </w:r>
    </w:p>
    <w:p>
      <w:pPr>
        <w:spacing w:line="360" w:lineRule="auto"/>
        <w:rPr>
          <w:rFonts w:eastAsia="等线"/>
          <w:iCs/>
          <w:kern w:val="0"/>
          <w:sz w:val="20"/>
          <w:szCs w:val="20"/>
        </w:rPr>
      </w:pPr>
      <w:r>
        <w:rPr>
          <w:rFonts w:eastAsia="等线"/>
          <w:iCs/>
          <w:sz w:val="20"/>
          <w:szCs w:val="20"/>
        </w:rPr>
        <w:t>.</w:t>
      </w:r>
    </w:p>
    <w:p>
      <w:pPr>
        <w:widowControl/>
        <w:spacing w:line="360" w:lineRule="auto"/>
        <w:jc w:val="center"/>
        <w:rPr>
          <w:b/>
          <w:bCs/>
          <w:sz w:val="20"/>
          <w:szCs w:val="20"/>
        </w:rPr>
      </w:pPr>
    </w:p>
    <w:p>
      <w:pPr>
        <w:widowControl/>
        <w:spacing w:line="360" w:lineRule="auto"/>
        <w:jc w:val="center"/>
        <w:rPr>
          <w:b/>
          <w:bCs/>
          <w:sz w:val="20"/>
          <w:szCs w:val="20"/>
        </w:rPr>
        <w:sectPr>
          <w:pgSz w:w="16838" w:h="11906" w:orient="landscape"/>
          <w:pgMar w:top="1800" w:right="1440" w:bottom="1800" w:left="1440" w:header="851" w:footer="992" w:gutter="0"/>
          <w:cols w:space="425" w:num="1"/>
          <w:docGrid w:type="lines" w:linePitch="312" w:charSpace="0"/>
        </w:sectPr>
      </w:pPr>
    </w:p>
    <w:p>
      <w:pPr>
        <w:widowControl/>
        <w:spacing w:line="480" w:lineRule="auto"/>
        <w:jc w:val="center"/>
        <w:rPr>
          <w:b/>
          <w:bCs/>
          <w:sz w:val="20"/>
          <w:szCs w:val="20"/>
        </w:rPr>
      </w:pPr>
      <w:r>
        <w:rPr>
          <w:b/>
          <w:bCs/>
          <w:sz w:val="20"/>
          <w:szCs w:val="20"/>
        </w:rPr>
        <w:t xml:space="preserve">Table S3 </w:t>
      </w:r>
      <w:r>
        <w:rPr>
          <w:sz w:val="20"/>
          <w:szCs w:val="20"/>
        </w:rPr>
        <w:t>Fitting data of adsorption isotherm</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1043"/>
        <w:gridCol w:w="1043"/>
        <w:gridCol w:w="1043"/>
        <w:gridCol w:w="1071"/>
        <w:gridCol w:w="1071"/>
        <w:gridCol w:w="1071"/>
        <w:gridCol w:w="1071"/>
        <w:gridCol w:w="1071"/>
        <w:gridCol w:w="107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op w:val="single" w:color="000000" w:sz="8" w:space="0"/>
              <w:left w:val="nil"/>
              <w:right w:val="nil"/>
            </w:tcBorders>
            <w:shd w:val="clear" w:color="auto" w:fill="auto"/>
          </w:tcPr>
          <w:p>
            <w:pPr>
              <w:widowControl/>
              <w:rPr>
                <w:sz w:val="20"/>
                <w:szCs w:val="20"/>
              </w:rPr>
            </w:pPr>
            <w:r>
              <w:rPr>
                <w:sz w:val="20"/>
                <w:szCs w:val="20"/>
              </w:rPr>
              <w:t>Material</w:t>
            </w:r>
          </w:p>
        </w:tc>
        <w:tc>
          <w:tcPr>
            <w:tcW w:w="3129" w:type="dxa"/>
            <w:gridSpan w:val="3"/>
            <w:tcBorders>
              <w:top w:val="single" w:color="000000" w:sz="8" w:space="0"/>
              <w:left w:val="nil"/>
              <w:bottom w:val="single" w:color="auto" w:sz="4" w:space="0"/>
              <w:right w:val="nil"/>
            </w:tcBorders>
            <w:shd w:val="clear" w:color="auto" w:fill="auto"/>
          </w:tcPr>
          <w:p>
            <w:pPr>
              <w:widowControl/>
              <w:jc w:val="center"/>
              <w:rPr>
                <w:sz w:val="20"/>
                <w:szCs w:val="20"/>
              </w:rPr>
            </w:pPr>
            <w:r>
              <w:rPr>
                <w:sz w:val="20"/>
                <w:szCs w:val="20"/>
              </w:rPr>
              <w:t>Langmuir</w:t>
            </w:r>
          </w:p>
        </w:tc>
        <w:tc>
          <w:tcPr>
            <w:tcW w:w="3213" w:type="dxa"/>
            <w:gridSpan w:val="3"/>
            <w:tcBorders>
              <w:top w:val="single" w:color="000000" w:sz="8" w:space="0"/>
              <w:left w:val="nil"/>
              <w:bottom w:val="single" w:color="auto" w:sz="4" w:space="0"/>
              <w:right w:val="nil"/>
            </w:tcBorders>
            <w:shd w:val="clear" w:color="auto" w:fill="auto"/>
          </w:tcPr>
          <w:p>
            <w:pPr>
              <w:widowControl/>
              <w:jc w:val="center"/>
              <w:rPr>
                <w:sz w:val="20"/>
                <w:szCs w:val="20"/>
              </w:rPr>
            </w:pPr>
            <w:r>
              <w:rPr>
                <w:sz w:val="20"/>
                <w:szCs w:val="20"/>
              </w:rPr>
              <w:t>Freundlich</w:t>
            </w:r>
          </w:p>
        </w:tc>
        <w:tc>
          <w:tcPr>
            <w:tcW w:w="3214" w:type="dxa"/>
            <w:gridSpan w:val="3"/>
            <w:tcBorders>
              <w:top w:val="single" w:color="000000" w:sz="8" w:space="0"/>
              <w:left w:val="nil"/>
              <w:bottom w:val="single" w:color="auto" w:sz="4" w:space="0"/>
              <w:right w:val="nil"/>
            </w:tcBorders>
            <w:shd w:val="clear" w:color="auto" w:fill="auto"/>
          </w:tcPr>
          <w:p>
            <w:pPr>
              <w:widowControl/>
              <w:jc w:val="center"/>
              <w:rPr>
                <w:sz w:val="20"/>
                <w:szCs w:val="20"/>
              </w:rPr>
            </w:pPr>
            <w:r>
              <w:rPr>
                <w:sz w:val="20"/>
                <w:szCs w:val="20"/>
              </w:rPr>
              <w:t>Sips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0" w:type="auto"/>
            <w:vMerge w:val="continue"/>
            <w:tcBorders>
              <w:left w:val="nil"/>
              <w:bottom w:val="nil"/>
              <w:right w:val="nil"/>
            </w:tcBorders>
            <w:shd w:val="clear" w:color="auto" w:fill="auto"/>
            <w:vAlign w:val="center"/>
          </w:tcPr>
          <w:p>
            <w:pPr>
              <w:widowControl/>
              <w:jc w:val="left"/>
              <w:rPr>
                <w:sz w:val="20"/>
                <w:szCs w:val="20"/>
              </w:rPr>
            </w:pPr>
          </w:p>
        </w:tc>
        <w:tc>
          <w:tcPr>
            <w:tcW w:w="1043"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q</w:t>
            </w:r>
            <w:r>
              <w:rPr>
                <w:sz w:val="20"/>
                <w:szCs w:val="20"/>
                <w:vertAlign w:val="subscript"/>
              </w:rPr>
              <w:t>m</w:t>
            </w:r>
          </w:p>
          <w:p>
            <w:pPr>
              <w:widowControl/>
              <w:jc w:val="center"/>
              <w:rPr>
                <w:sz w:val="20"/>
                <w:szCs w:val="20"/>
              </w:rPr>
            </w:pPr>
            <w:r>
              <w:rPr>
                <w:sz w:val="20"/>
                <w:szCs w:val="20"/>
              </w:rPr>
              <w:t>(mg/g)</w:t>
            </w:r>
          </w:p>
        </w:tc>
        <w:tc>
          <w:tcPr>
            <w:tcW w:w="1043"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K</w:t>
            </w:r>
            <w:r>
              <w:rPr>
                <w:sz w:val="20"/>
                <w:szCs w:val="20"/>
                <w:vertAlign w:val="subscript"/>
              </w:rPr>
              <w:t>L</w:t>
            </w:r>
          </w:p>
          <w:p>
            <w:pPr>
              <w:widowControl/>
              <w:jc w:val="center"/>
              <w:rPr>
                <w:sz w:val="20"/>
                <w:szCs w:val="20"/>
              </w:rPr>
            </w:pPr>
            <w:r>
              <w:rPr>
                <w:sz w:val="20"/>
                <w:szCs w:val="20"/>
              </w:rPr>
              <w:t>(L/mg)</w:t>
            </w:r>
          </w:p>
        </w:tc>
        <w:tc>
          <w:tcPr>
            <w:tcW w:w="1043"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R</w:t>
            </w:r>
            <w:r>
              <w:rPr>
                <w:sz w:val="20"/>
                <w:szCs w:val="20"/>
                <w:vertAlign w:val="superscript"/>
              </w:rPr>
              <w:t>2</w:t>
            </w:r>
          </w:p>
        </w:tc>
        <w:tc>
          <w:tcPr>
            <w:tcW w:w="1071"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1/n</w:t>
            </w:r>
          </w:p>
        </w:tc>
        <w:tc>
          <w:tcPr>
            <w:tcW w:w="1071"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K</w:t>
            </w:r>
            <w:r>
              <w:rPr>
                <w:sz w:val="20"/>
                <w:szCs w:val="20"/>
                <w:vertAlign w:val="subscript"/>
              </w:rPr>
              <w:t>F</w:t>
            </w:r>
          </w:p>
          <w:p>
            <w:pPr>
              <w:widowControl/>
              <w:jc w:val="center"/>
              <w:rPr>
                <w:sz w:val="20"/>
                <w:szCs w:val="20"/>
              </w:rPr>
            </w:pPr>
            <w:r>
              <w:rPr>
                <w:sz w:val="20"/>
                <w:szCs w:val="20"/>
              </w:rPr>
              <w:t>(mg/g)</w:t>
            </w:r>
          </w:p>
        </w:tc>
        <w:tc>
          <w:tcPr>
            <w:tcW w:w="1071"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R</w:t>
            </w:r>
            <w:r>
              <w:rPr>
                <w:sz w:val="20"/>
                <w:szCs w:val="20"/>
                <w:vertAlign w:val="superscript"/>
              </w:rPr>
              <w:t>2</w:t>
            </w:r>
          </w:p>
        </w:tc>
        <w:tc>
          <w:tcPr>
            <w:tcW w:w="1071"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q</w:t>
            </w:r>
            <w:r>
              <w:rPr>
                <w:sz w:val="20"/>
                <w:szCs w:val="20"/>
                <w:vertAlign w:val="subscript"/>
              </w:rPr>
              <w:t>m</w:t>
            </w:r>
          </w:p>
          <w:p>
            <w:pPr>
              <w:widowControl/>
              <w:jc w:val="center"/>
              <w:rPr>
                <w:sz w:val="20"/>
                <w:szCs w:val="20"/>
              </w:rPr>
            </w:pPr>
            <w:r>
              <w:rPr>
                <w:sz w:val="20"/>
                <w:szCs w:val="20"/>
              </w:rPr>
              <w:t>(mg/g)</w:t>
            </w:r>
          </w:p>
        </w:tc>
        <w:tc>
          <w:tcPr>
            <w:tcW w:w="1071"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lang w:bidi="ar"/>
              </w:rPr>
              <w:t>r</w:t>
            </w:r>
          </w:p>
        </w:tc>
        <w:tc>
          <w:tcPr>
            <w:tcW w:w="1072" w:type="dxa"/>
            <w:tcBorders>
              <w:top w:val="single" w:color="auto" w:sz="4" w:space="0"/>
              <w:left w:val="nil"/>
              <w:bottom w:val="single" w:color="auto" w:sz="4" w:space="0"/>
              <w:right w:val="nil"/>
            </w:tcBorders>
            <w:shd w:val="clear" w:color="auto" w:fill="auto"/>
          </w:tcPr>
          <w:p>
            <w:pPr>
              <w:widowControl/>
              <w:jc w:val="center"/>
              <w:rPr>
                <w:sz w:val="20"/>
                <w:szCs w:val="20"/>
              </w:rPr>
            </w:pPr>
            <w:r>
              <w:rPr>
                <w:sz w:val="20"/>
                <w:szCs w:val="20"/>
              </w:rPr>
              <w:t>R</w:t>
            </w:r>
            <w:r>
              <w:rPr>
                <w:sz w:val="20"/>
                <w:szCs w:val="20"/>
                <w:vertAlign w:val="superscript"/>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auto"/>
          </w:tcPr>
          <w:p>
            <w:pPr>
              <w:widowControl/>
              <w:rPr>
                <w:sz w:val="20"/>
                <w:szCs w:val="20"/>
              </w:rPr>
            </w:pPr>
            <w:r>
              <w:rPr>
                <w:sz w:val="20"/>
                <w:szCs w:val="20"/>
              </w:rPr>
              <w:t>BC</w:t>
            </w:r>
          </w:p>
        </w:tc>
        <w:tc>
          <w:tcPr>
            <w:tcW w:w="1043" w:type="dxa"/>
            <w:tcBorders>
              <w:top w:val="single" w:color="auto" w:sz="4" w:space="0"/>
              <w:left w:val="nil"/>
              <w:bottom w:val="nil"/>
              <w:right w:val="nil"/>
            </w:tcBorders>
            <w:shd w:val="clear" w:color="auto" w:fill="auto"/>
          </w:tcPr>
          <w:p>
            <w:pPr>
              <w:widowControl/>
              <w:jc w:val="center"/>
              <w:rPr>
                <w:sz w:val="20"/>
                <w:szCs w:val="20"/>
              </w:rPr>
            </w:pPr>
            <w:r>
              <w:rPr>
                <w:sz w:val="20"/>
                <w:szCs w:val="20"/>
              </w:rPr>
              <w:t>3.80</w:t>
            </w:r>
          </w:p>
        </w:tc>
        <w:tc>
          <w:tcPr>
            <w:tcW w:w="1043" w:type="dxa"/>
            <w:tcBorders>
              <w:top w:val="single" w:color="auto" w:sz="4" w:space="0"/>
              <w:left w:val="nil"/>
              <w:bottom w:val="nil"/>
              <w:right w:val="nil"/>
            </w:tcBorders>
            <w:shd w:val="clear" w:color="auto" w:fill="auto"/>
          </w:tcPr>
          <w:p>
            <w:pPr>
              <w:widowControl/>
              <w:jc w:val="center"/>
              <w:rPr>
                <w:sz w:val="20"/>
                <w:szCs w:val="20"/>
              </w:rPr>
            </w:pPr>
            <w:r>
              <w:rPr>
                <w:sz w:val="20"/>
                <w:szCs w:val="20"/>
              </w:rPr>
              <w:t>0.016</w:t>
            </w:r>
          </w:p>
        </w:tc>
        <w:tc>
          <w:tcPr>
            <w:tcW w:w="1043" w:type="dxa"/>
            <w:tcBorders>
              <w:top w:val="single" w:color="auto" w:sz="4" w:space="0"/>
              <w:left w:val="nil"/>
              <w:bottom w:val="nil"/>
              <w:right w:val="nil"/>
            </w:tcBorders>
            <w:shd w:val="clear" w:color="auto" w:fill="auto"/>
          </w:tcPr>
          <w:p>
            <w:pPr>
              <w:widowControl/>
              <w:jc w:val="center"/>
              <w:rPr>
                <w:sz w:val="20"/>
                <w:szCs w:val="20"/>
              </w:rPr>
            </w:pPr>
            <w:r>
              <w:rPr>
                <w:sz w:val="20"/>
                <w:szCs w:val="20"/>
              </w:rPr>
              <w:t>0.959</w:t>
            </w:r>
          </w:p>
        </w:tc>
        <w:tc>
          <w:tcPr>
            <w:tcW w:w="1071" w:type="dxa"/>
            <w:tcBorders>
              <w:top w:val="single" w:color="auto" w:sz="4" w:space="0"/>
              <w:left w:val="nil"/>
              <w:bottom w:val="nil"/>
              <w:right w:val="nil"/>
            </w:tcBorders>
            <w:shd w:val="clear" w:color="auto" w:fill="auto"/>
          </w:tcPr>
          <w:p>
            <w:pPr>
              <w:widowControl/>
              <w:jc w:val="center"/>
              <w:rPr>
                <w:sz w:val="20"/>
                <w:szCs w:val="20"/>
              </w:rPr>
            </w:pPr>
            <w:r>
              <w:rPr>
                <w:sz w:val="20"/>
                <w:szCs w:val="20"/>
              </w:rPr>
              <w:t>0.493</w:t>
            </w:r>
          </w:p>
        </w:tc>
        <w:tc>
          <w:tcPr>
            <w:tcW w:w="1071" w:type="dxa"/>
            <w:tcBorders>
              <w:top w:val="single" w:color="auto" w:sz="4" w:space="0"/>
              <w:left w:val="nil"/>
              <w:bottom w:val="nil"/>
              <w:right w:val="nil"/>
            </w:tcBorders>
            <w:shd w:val="clear" w:color="auto" w:fill="auto"/>
          </w:tcPr>
          <w:p>
            <w:pPr>
              <w:widowControl/>
              <w:jc w:val="center"/>
              <w:rPr>
                <w:sz w:val="20"/>
                <w:szCs w:val="20"/>
              </w:rPr>
            </w:pPr>
            <w:r>
              <w:rPr>
                <w:sz w:val="20"/>
                <w:szCs w:val="20"/>
              </w:rPr>
              <w:t>0.199</w:t>
            </w:r>
          </w:p>
        </w:tc>
        <w:tc>
          <w:tcPr>
            <w:tcW w:w="1071" w:type="dxa"/>
            <w:tcBorders>
              <w:top w:val="single" w:color="auto" w:sz="4" w:space="0"/>
              <w:left w:val="nil"/>
              <w:bottom w:val="nil"/>
              <w:right w:val="nil"/>
            </w:tcBorders>
            <w:shd w:val="clear" w:color="auto" w:fill="auto"/>
          </w:tcPr>
          <w:p>
            <w:pPr>
              <w:widowControl/>
              <w:jc w:val="center"/>
              <w:rPr>
                <w:sz w:val="20"/>
                <w:szCs w:val="20"/>
              </w:rPr>
            </w:pPr>
            <w:r>
              <w:rPr>
                <w:color w:val="000000"/>
                <w:sz w:val="20"/>
                <w:szCs w:val="20"/>
              </w:rPr>
              <w:t>0.991</w:t>
            </w:r>
          </w:p>
        </w:tc>
        <w:tc>
          <w:tcPr>
            <w:tcW w:w="1071" w:type="dxa"/>
            <w:tcBorders>
              <w:top w:val="single" w:color="auto" w:sz="4" w:space="0"/>
              <w:left w:val="nil"/>
              <w:bottom w:val="nil"/>
              <w:right w:val="nil"/>
            </w:tcBorders>
            <w:shd w:val="clear" w:color="auto" w:fill="auto"/>
          </w:tcPr>
          <w:p>
            <w:pPr>
              <w:widowControl/>
              <w:jc w:val="center"/>
              <w:rPr>
                <w:sz w:val="20"/>
                <w:szCs w:val="20"/>
              </w:rPr>
            </w:pPr>
            <w:r>
              <w:rPr>
                <w:color w:val="000000"/>
                <w:sz w:val="20"/>
                <w:szCs w:val="20"/>
              </w:rPr>
              <w:t>6.60</w:t>
            </w:r>
          </w:p>
        </w:tc>
        <w:tc>
          <w:tcPr>
            <w:tcW w:w="1071" w:type="dxa"/>
            <w:tcBorders>
              <w:top w:val="single" w:color="auto" w:sz="4" w:space="0"/>
              <w:left w:val="nil"/>
              <w:bottom w:val="nil"/>
              <w:right w:val="nil"/>
            </w:tcBorders>
            <w:shd w:val="clear" w:color="auto" w:fill="auto"/>
          </w:tcPr>
          <w:p>
            <w:pPr>
              <w:widowControl/>
              <w:jc w:val="center"/>
              <w:rPr>
                <w:sz w:val="20"/>
                <w:szCs w:val="20"/>
              </w:rPr>
            </w:pPr>
            <w:r>
              <w:rPr>
                <w:color w:val="000000"/>
                <w:sz w:val="20"/>
                <w:szCs w:val="20"/>
              </w:rPr>
              <w:t>0.569</w:t>
            </w:r>
          </w:p>
        </w:tc>
        <w:tc>
          <w:tcPr>
            <w:tcW w:w="1072" w:type="dxa"/>
            <w:tcBorders>
              <w:top w:val="single" w:color="auto" w:sz="4" w:space="0"/>
              <w:left w:val="nil"/>
              <w:bottom w:val="nil"/>
              <w:right w:val="nil"/>
            </w:tcBorders>
            <w:shd w:val="clear" w:color="auto" w:fill="auto"/>
          </w:tcPr>
          <w:p>
            <w:pPr>
              <w:pStyle w:val="11"/>
              <w:rPr>
                <w:sz w:val="20"/>
                <w:szCs w:val="20"/>
              </w:rPr>
            </w:pPr>
            <w:r>
              <w:rPr>
                <w:color w:val="000000"/>
                <w:sz w:val="20"/>
                <w:szCs w:val="20"/>
              </w:rPr>
              <w:t>0.992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auto"/>
          </w:tcPr>
          <w:p>
            <w:pPr>
              <w:widowControl/>
              <w:rPr>
                <w:sz w:val="20"/>
                <w:szCs w:val="20"/>
              </w:rPr>
            </w:pPr>
            <w:r>
              <w:rPr>
                <w:sz w:val="20"/>
                <w:szCs w:val="20"/>
              </w:rPr>
              <w:t>FBC</w:t>
            </w:r>
          </w:p>
        </w:tc>
        <w:tc>
          <w:tcPr>
            <w:tcW w:w="1043" w:type="dxa"/>
            <w:tcBorders>
              <w:top w:val="nil"/>
              <w:left w:val="nil"/>
              <w:bottom w:val="nil"/>
              <w:right w:val="nil"/>
            </w:tcBorders>
            <w:shd w:val="clear" w:color="auto" w:fill="auto"/>
          </w:tcPr>
          <w:p>
            <w:pPr>
              <w:widowControl/>
              <w:jc w:val="center"/>
              <w:rPr>
                <w:sz w:val="20"/>
                <w:szCs w:val="20"/>
              </w:rPr>
            </w:pPr>
            <w:r>
              <w:rPr>
                <w:sz w:val="20"/>
                <w:szCs w:val="20"/>
              </w:rPr>
              <w:t>7.63</w:t>
            </w:r>
          </w:p>
        </w:tc>
        <w:tc>
          <w:tcPr>
            <w:tcW w:w="1043" w:type="dxa"/>
            <w:tcBorders>
              <w:top w:val="nil"/>
              <w:left w:val="nil"/>
              <w:bottom w:val="nil"/>
              <w:right w:val="nil"/>
            </w:tcBorders>
            <w:shd w:val="clear" w:color="auto" w:fill="auto"/>
          </w:tcPr>
          <w:p>
            <w:pPr>
              <w:widowControl/>
              <w:jc w:val="center"/>
              <w:rPr>
                <w:sz w:val="20"/>
                <w:szCs w:val="20"/>
              </w:rPr>
            </w:pPr>
            <w:r>
              <w:rPr>
                <w:sz w:val="20"/>
                <w:szCs w:val="20"/>
              </w:rPr>
              <w:t>0.016</w:t>
            </w:r>
          </w:p>
        </w:tc>
        <w:tc>
          <w:tcPr>
            <w:tcW w:w="1043" w:type="dxa"/>
            <w:tcBorders>
              <w:top w:val="nil"/>
              <w:left w:val="nil"/>
              <w:bottom w:val="nil"/>
              <w:right w:val="nil"/>
            </w:tcBorders>
            <w:shd w:val="clear" w:color="auto" w:fill="auto"/>
          </w:tcPr>
          <w:p>
            <w:pPr>
              <w:widowControl/>
              <w:jc w:val="center"/>
              <w:rPr>
                <w:sz w:val="20"/>
                <w:szCs w:val="20"/>
              </w:rPr>
            </w:pPr>
            <w:r>
              <w:rPr>
                <w:sz w:val="20"/>
                <w:szCs w:val="20"/>
              </w:rPr>
              <w:t>0.977</w:t>
            </w:r>
          </w:p>
        </w:tc>
        <w:tc>
          <w:tcPr>
            <w:tcW w:w="1071" w:type="dxa"/>
            <w:tcBorders>
              <w:top w:val="nil"/>
              <w:left w:val="nil"/>
              <w:bottom w:val="nil"/>
              <w:right w:val="nil"/>
            </w:tcBorders>
            <w:shd w:val="clear" w:color="auto" w:fill="auto"/>
          </w:tcPr>
          <w:p>
            <w:pPr>
              <w:widowControl/>
              <w:jc w:val="center"/>
              <w:rPr>
                <w:sz w:val="20"/>
                <w:szCs w:val="20"/>
              </w:rPr>
            </w:pPr>
            <w:r>
              <w:rPr>
                <w:sz w:val="20"/>
                <w:szCs w:val="20"/>
              </w:rPr>
              <w:t>0.486</w:t>
            </w:r>
          </w:p>
        </w:tc>
        <w:tc>
          <w:tcPr>
            <w:tcW w:w="1071" w:type="dxa"/>
            <w:tcBorders>
              <w:top w:val="nil"/>
              <w:left w:val="nil"/>
              <w:bottom w:val="nil"/>
              <w:right w:val="nil"/>
            </w:tcBorders>
            <w:shd w:val="clear" w:color="auto" w:fill="auto"/>
          </w:tcPr>
          <w:p>
            <w:pPr>
              <w:widowControl/>
              <w:jc w:val="center"/>
              <w:rPr>
                <w:sz w:val="20"/>
                <w:szCs w:val="20"/>
              </w:rPr>
            </w:pPr>
            <w:r>
              <w:rPr>
                <w:sz w:val="20"/>
                <w:szCs w:val="20"/>
              </w:rPr>
              <w:t>0.378</w:t>
            </w:r>
          </w:p>
        </w:tc>
        <w:tc>
          <w:tcPr>
            <w:tcW w:w="1071" w:type="dxa"/>
            <w:tcBorders>
              <w:top w:val="nil"/>
              <w:left w:val="nil"/>
              <w:bottom w:val="nil"/>
              <w:right w:val="nil"/>
            </w:tcBorders>
            <w:shd w:val="clear" w:color="auto" w:fill="auto"/>
          </w:tcPr>
          <w:p>
            <w:pPr>
              <w:widowControl/>
              <w:jc w:val="center"/>
              <w:rPr>
                <w:sz w:val="20"/>
                <w:szCs w:val="20"/>
              </w:rPr>
            </w:pPr>
            <w:r>
              <w:rPr>
                <w:color w:val="000000"/>
                <w:sz w:val="20"/>
                <w:szCs w:val="20"/>
              </w:rPr>
              <w:t>0.979</w:t>
            </w:r>
          </w:p>
        </w:tc>
        <w:tc>
          <w:tcPr>
            <w:tcW w:w="1071" w:type="dxa"/>
            <w:tcBorders>
              <w:top w:val="nil"/>
              <w:left w:val="nil"/>
              <w:bottom w:val="nil"/>
              <w:right w:val="nil"/>
            </w:tcBorders>
            <w:shd w:val="clear" w:color="auto" w:fill="auto"/>
          </w:tcPr>
          <w:p>
            <w:pPr>
              <w:widowControl/>
              <w:jc w:val="center"/>
              <w:rPr>
                <w:sz w:val="20"/>
                <w:szCs w:val="20"/>
              </w:rPr>
            </w:pPr>
            <w:r>
              <w:rPr>
                <w:color w:val="000000"/>
                <w:sz w:val="20"/>
                <w:szCs w:val="20"/>
              </w:rPr>
              <w:t>12.15</w:t>
            </w:r>
          </w:p>
        </w:tc>
        <w:tc>
          <w:tcPr>
            <w:tcW w:w="1071" w:type="dxa"/>
            <w:tcBorders>
              <w:top w:val="nil"/>
              <w:left w:val="nil"/>
              <w:bottom w:val="nil"/>
              <w:right w:val="nil"/>
            </w:tcBorders>
            <w:shd w:val="clear" w:color="auto" w:fill="auto"/>
          </w:tcPr>
          <w:p>
            <w:pPr>
              <w:widowControl/>
              <w:jc w:val="center"/>
              <w:rPr>
                <w:sz w:val="20"/>
                <w:szCs w:val="20"/>
              </w:rPr>
            </w:pPr>
            <w:r>
              <w:rPr>
                <w:color w:val="000000"/>
                <w:sz w:val="20"/>
                <w:szCs w:val="20"/>
              </w:rPr>
              <w:t>0.678</w:t>
            </w:r>
          </w:p>
        </w:tc>
        <w:tc>
          <w:tcPr>
            <w:tcW w:w="1072" w:type="dxa"/>
            <w:tcBorders>
              <w:top w:val="nil"/>
              <w:left w:val="nil"/>
              <w:bottom w:val="nil"/>
              <w:right w:val="nil"/>
            </w:tcBorders>
            <w:shd w:val="clear" w:color="auto" w:fill="auto"/>
          </w:tcPr>
          <w:p>
            <w:pPr>
              <w:widowControl/>
              <w:rPr>
                <w:sz w:val="20"/>
                <w:szCs w:val="20"/>
              </w:rPr>
            </w:pPr>
            <w:r>
              <w:rPr>
                <w:color w:val="000000"/>
                <w:sz w:val="20"/>
                <w:szCs w:val="20"/>
              </w:rPr>
              <w:t>0.985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000000" w:sz="8" w:space="0"/>
              <w:right w:val="nil"/>
            </w:tcBorders>
            <w:shd w:val="clear" w:color="auto" w:fill="auto"/>
          </w:tcPr>
          <w:p>
            <w:pPr>
              <w:widowControl/>
              <w:rPr>
                <w:sz w:val="20"/>
                <w:szCs w:val="20"/>
              </w:rPr>
            </w:pPr>
            <w:r>
              <w:rPr>
                <w:sz w:val="20"/>
                <w:szCs w:val="20"/>
              </w:rPr>
              <w:t>Fe-FBC</w:t>
            </w:r>
          </w:p>
        </w:tc>
        <w:tc>
          <w:tcPr>
            <w:tcW w:w="1043" w:type="dxa"/>
            <w:tcBorders>
              <w:top w:val="nil"/>
              <w:left w:val="nil"/>
              <w:bottom w:val="single" w:color="000000" w:sz="8" w:space="0"/>
              <w:right w:val="nil"/>
            </w:tcBorders>
            <w:shd w:val="clear" w:color="auto" w:fill="auto"/>
          </w:tcPr>
          <w:p>
            <w:pPr>
              <w:widowControl/>
              <w:jc w:val="center"/>
              <w:rPr>
                <w:sz w:val="20"/>
                <w:szCs w:val="20"/>
              </w:rPr>
            </w:pPr>
            <w:r>
              <w:rPr>
                <w:sz w:val="20"/>
                <w:szCs w:val="20"/>
              </w:rPr>
              <w:t>26.32</w:t>
            </w:r>
          </w:p>
        </w:tc>
        <w:tc>
          <w:tcPr>
            <w:tcW w:w="1043" w:type="dxa"/>
            <w:tcBorders>
              <w:top w:val="nil"/>
              <w:left w:val="nil"/>
              <w:bottom w:val="single" w:color="000000" w:sz="8" w:space="0"/>
              <w:right w:val="nil"/>
            </w:tcBorders>
            <w:shd w:val="clear" w:color="auto" w:fill="auto"/>
          </w:tcPr>
          <w:p>
            <w:pPr>
              <w:widowControl/>
              <w:jc w:val="center"/>
              <w:rPr>
                <w:sz w:val="20"/>
                <w:szCs w:val="20"/>
              </w:rPr>
            </w:pPr>
            <w:r>
              <w:rPr>
                <w:sz w:val="20"/>
                <w:szCs w:val="20"/>
              </w:rPr>
              <w:t>0.014</w:t>
            </w:r>
          </w:p>
        </w:tc>
        <w:tc>
          <w:tcPr>
            <w:tcW w:w="1043" w:type="dxa"/>
            <w:tcBorders>
              <w:top w:val="nil"/>
              <w:left w:val="nil"/>
              <w:bottom w:val="single" w:color="000000" w:sz="8" w:space="0"/>
              <w:right w:val="nil"/>
            </w:tcBorders>
            <w:shd w:val="clear" w:color="auto" w:fill="auto"/>
          </w:tcPr>
          <w:p>
            <w:pPr>
              <w:widowControl/>
              <w:jc w:val="center"/>
              <w:rPr>
                <w:sz w:val="20"/>
                <w:szCs w:val="20"/>
              </w:rPr>
            </w:pPr>
            <w:r>
              <w:rPr>
                <w:sz w:val="20"/>
                <w:szCs w:val="20"/>
              </w:rPr>
              <w:t>0.986</w:t>
            </w:r>
          </w:p>
        </w:tc>
        <w:tc>
          <w:tcPr>
            <w:tcW w:w="1071" w:type="dxa"/>
            <w:tcBorders>
              <w:top w:val="nil"/>
              <w:left w:val="nil"/>
              <w:bottom w:val="single" w:color="000000" w:sz="8" w:space="0"/>
              <w:right w:val="nil"/>
            </w:tcBorders>
            <w:shd w:val="clear" w:color="auto" w:fill="auto"/>
          </w:tcPr>
          <w:p>
            <w:pPr>
              <w:widowControl/>
              <w:jc w:val="center"/>
              <w:rPr>
                <w:sz w:val="20"/>
                <w:szCs w:val="20"/>
              </w:rPr>
            </w:pPr>
            <w:r>
              <w:rPr>
                <w:sz w:val="20"/>
                <w:szCs w:val="20"/>
              </w:rPr>
              <w:t>0.365</w:t>
            </w:r>
          </w:p>
        </w:tc>
        <w:tc>
          <w:tcPr>
            <w:tcW w:w="1071" w:type="dxa"/>
            <w:tcBorders>
              <w:top w:val="nil"/>
              <w:left w:val="nil"/>
              <w:bottom w:val="single" w:color="000000" w:sz="8" w:space="0"/>
              <w:right w:val="nil"/>
            </w:tcBorders>
            <w:shd w:val="clear" w:color="auto" w:fill="auto"/>
          </w:tcPr>
          <w:p>
            <w:pPr>
              <w:widowControl/>
              <w:jc w:val="center"/>
              <w:rPr>
                <w:sz w:val="20"/>
                <w:szCs w:val="20"/>
              </w:rPr>
            </w:pPr>
            <w:r>
              <w:rPr>
                <w:sz w:val="20"/>
                <w:szCs w:val="20"/>
              </w:rPr>
              <w:t>2.672</w:t>
            </w:r>
          </w:p>
        </w:tc>
        <w:tc>
          <w:tcPr>
            <w:tcW w:w="1071" w:type="dxa"/>
            <w:tcBorders>
              <w:top w:val="nil"/>
              <w:left w:val="nil"/>
              <w:bottom w:val="single" w:color="000000" w:sz="8" w:space="0"/>
              <w:right w:val="nil"/>
            </w:tcBorders>
            <w:shd w:val="clear" w:color="auto" w:fill="auto"/>
          </w:tcPr>
          <w:p>
            <w:pPr>
              <w:widowControl/>
              <w:jc w:val="center"/>
              <w:rPr>
                <w:sz w:val="20"/>
                <w:szCs w:val="20"/>
              </w:rPr>
            </w:pPr>
            <w:r>
              <w:rPr>
                <w:sz w:val="20"/>
                <w:szCs w:val="20"/>
              </w:rPr>
              <w:t>0.995</w:t>
            </w:r>
          </w:p>
        </w:tc>
        <w:tc>
          <w:tcPr>
            <w:tcW w:w="1071" w:type="dxa"/>
            <w:tcBorders>
              <w:top w:val="nil"/>
              <w:left w:val="nil"/>
              <w:bottom w:val="single" w:color="000000" w:sz="8" w:space="0"/>
              <w:right w:val="nil"/>
            </w:tcBorders>
            <w:shd w:val="clear" w:color="auto" w:fill="auto"/>
          </w:tcPr>
          <w:p>
            <w:pPr>
              <w:widowControl/>
              <w:jc w:val="center"/>
              <w:rPr>
                <w:sz w:val="20"/>
                <w:szCs w:val="20"/>
              </w:rPr>
            </w:pPr>
            <w:r>
              <w:rPr>
                <w:color w:val="000000"/>
                <w:sz w:val="20"/>
                <w:szCs w:val="20"/>
              </w:rPr>
              <w:t>47.91</w:t>
            </w:r>
          </w:p>
        </w:tc>
        <w:tc>
          <w:tcPr>
            <w:tcW w:w="1071" w:type="dxa"/>
            <w:tcBorders>
              <w:top w:val="nil"/>
              <w:left w:val="nil"/>
              <w:bottom w:val="single" w:color="000000" w:sz="8" w:space="0"/>
              <w:right w:val="nil"/>
            </w:tcBorders>
            <w:shd w:val="clear" w:color="auto" w:fill="auto"/>
          </w:tcPr>
          <w:p>
            <w:pPr>
              <w:widowControl/>
              <w:jc w:val="center"/>
              <w:rPr>
                <w:sz w:val="20"/>
                <w:szCs w:val="20"/>
              </w:rPr>
            </w:pPr>
            <w:r>
              <w:rPr>
                <w:color w:val="000000"/>
                <w:sz w:val="20"/>
                <w:szCs w:val="20"/>
              </w:rPr>
              <w:t>0.514</w:t>
            </w:r>
          </w:p>
        </w:tc>
        <w:tc>
          <w:tcPr>
            <w:tcW w:w="1072" w:type="dxa"/>
            <w:tcBorders>
              <w:top w:val="nil"/>
              <w:left w:val="nil"/>
              <w:bottom w:val="single" w:color="000000" w:sz="8" w:space="0"/>
              <w:right w:val="nil"/>
            </w:tcBorders>
            <w:shd w:val="clear" w:color="auto" w:fill="auto"/>
          </w:tcPr>
          <w:p>
            <w:pPr>
              <w:widowControl/>
              <w:rPr>
                <w:sz w:val="20"/>
                <w:szCs w:val="20"/>
              </w:rPr>
            </w:pPr>
            <w:r>
              <w:rPr>
                <w:color w:val="000000"/>
                <w:sz w:val="20"/>
                <w:szCs w:val="20"/>
              </w:rPr>
              <w:t>0.999</w:t>
            </w:r>
          </w:p>
        </w:tc>
      </w:tr>
    </w:tbl>
    <w:p>
      <w:pPr>
        <w:widowControl/>
        <w:jc w:val="center"/>
        <w:rPr>
          <w:rFonts w:eastAsia="等线"/>
          <w:iCs/>
          <w:sz w:val="20"/>
          <w:szCs w:val="20"/>
        </w:rPr>
      </w:pPr>
      <w:r>
        <w:rPr>
          <w:rFonts w:eastAsia="等线"/>
          <w:iCs/>
          <w:sz w:val="20"/>
          <w:szCs w:val="20"/>
        </w:rPr>
        <w:t>Note: cotton stalk biochar (BC), fly ash/cotton stalk biochar (FBC), Fe-modified fly ash/cotton stalk biochar (Fe-FBC), respectively.</w:t>
      </w:r>
    </w:p>
    <w:p>
      <w:pPr>
        <w:widowControl/>
        <w:spacing w:line="360" w:lineRule="auto"/>
        <w:jc w:val="left"/>
        <w:rPr>
          <w:rFonts w:eastAsia="等线"/>
          <w:b/>
          <w:bCs/>
          <w:iCs/>
          <w:sz w:val="20"/>
          <w:szCs w:val="20"/>
        </w:rPr>
      </w:pPr>
      <w:r>
        <w:rPr>
          <w:rFonts w:eastAsia="等线"/>
          <w:b/>
          <w:bCs/>
          <w:iCs/>
          <w:sz w:val="20"/>
          <w:szCs w:val="20"/>
        </w:rPr>
        <w:t>Reference</w:t>
      </w:r>
    </w:p>
    <w:p>
      <w:pPr>
        <w:pStyle w:val="35"/>
        <w:rPr>
          <w:szCs w:val="20"/>
        </w:rPr>
      </w:pPr>
      <w:r>
        <w:rPr>
          <w:szCs w:val="20"/>
        </w:rPr>
        <w:fldChar w:fldCharType="begin"/>
      </w:r>
      <w:r>
        <w:rPr>
          <w:szCs w:val="20"/>
        </w:rPr>
        <w:instrText xml:space="preserve"> ADDIN EN.REFLIST </w:instrText>
      </w:r>
      <w:r>
        <w:rPr>
          <w:szCs w:val="20"/>
        </w:rPr>
        <w:fldChar w:fldCharType="separate"/>
      </w:r>
      <w:r>
        <w:rPr>
          <w:szCs w:val="20"/>
        </w:rPr>
        <w:t>[1] Y. Liu, Z. Jiang, J. Fu, W. Ao, A. Siyal, C. Zhou, C. Liu, J. Dai, M. Yu, Y. Zhang, Iron-biochar production from oily sludge pyrolysis and its application for organic dyes removal, Chemosphere 301 (2022) 134803.</w:t>
      </w:r>
      <w:r>
        <w:fldChar w:fldCharType="begin"/>
      </w:r>
      <w:r>
        <w:instrText xml:space="preserve"> HYPERLINK "https://doi.org/10.1016/j.chemosphere.2022.134803" </w:instrText>
      </w:r>
      <w:r>
        <w:fldChar w:fldCharType="separate"/>
      </w:r>
      <w:r>
        <w:rPr>
          <w:rStyle w:val="17"/>
          <w:szCs w:val="20"/>
        </w:rPr>
        <w:t>https://doi.org/10.1016/j.chemosphere.2022.134803</w:t>
      </w:r>
      <w:r>
        <w:rPr>
          <w:rStyle w:val="17"/>
          <w:szCs w:val="20"/>
        </w:rPr>
        <w:fldChar w:fldCharType="end"/>
      </w:r>
    </w:p>
    <w:p>
      <w:pPr>
        <w:widowControl/>
        <w:wordWrap w:val="0"/>
        <w:spacing w:line="480" w:lineRule="auto"/>
        <w:rPr>
          <w:sz w:val="20"/>
          <w:szCs w:val="20"/>
        </w:rPr>
      </w:pPr>
      <w:r>
        <w:rPr>
          <w:sz w:val="20"/>
          <w:szCs w:val="20"/>
        </w:rPr>
        <w:fldChar w:fldCharType="end"/>
      </w:r>
    </w:p>
    <w:p>
      <w:pPr>
        <w:widowControl/>
        <w:spacing w:line="360" w:lineRule="auto"/>
        <w:jc w:val="center"/>
        <w:rPr>
          <w:sz w:val="20"/>
          <w:szCs w:val="20"/>
        </w:rPr>
      </w:pPr>
    </w:p>
    <w:p>
      <w:pPr>
        <w:pStyle w:val="2"/>
        <w:rPr>
          <w:sz w:val="20"/>
          <w:szCs w:val="2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419110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zMDMzODYxNmQxOWExYzVmOGYzN2NjMzhkM2IzY2YifQ=="/>
    <w:docVar w:name="EN.InstantFormat" w:val="&lt;ENInstantFormat&gt;&lt;Enabled&gt;1&lt;/Enabled&gt;&lt;ScanUnformatted&gt;1&lt;/ScanUnformatted&gt;&lt;ScanChanges&gt;1&lt;/ScanChanges&gt;&lt;Suspended&gt;0&lt;/Suspended&gt;&lt;/ENInstantFormat&gt;"/>
    <w:docVar w:name="EN.Layout" w:val="&lt;ENLayout&gt;&lt;Style&gt;J Colloid Interface Sci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xazsff2w29z7efxr1xtxshz9trwx902525&quot;&gt;郝梦琪的文献&lt;record-ids&gt;&lt;item&gt;450&lt;/item&gt;&lt;/record-ids&gt;&lt;/item&gt;&lt;/Libraries&gt;"/>
  </w:docVars>
  <w:rsids>
    <w:rsidRoot w:val="005115F5"/>
    <w:rsid w:val="000359C4"/>
    <w:rsid w:val="0004131B"/>
    <w:rsid w:val="0004550F"/>
    <w:rsid w:val="00056CE1"/>
    <w:rsid w:val="00070BDB"/>
    <w:rsid w:val="00076023"/>
    <w:rsid w:val="000C4163"/>
    <w:rsid w:val="00107119"/>
    <w:rsid w:val="0018142D"/>
    <w:rsid w:val="00186D70"/>
    <w:rsid w:val="001A78AC"/>
    <w:rsid w:val="001C3D90"/>
    <w:rsid w:val="001E3755"/>
    <w:rsid w:val="0023489E"/>
    <w:rsid w:val="002663BB"/>
    <w:rsid w:val="00286D3F"/>
    <w:rsid w:val="002E0994"/>
    <w:rsid w:val="003151C2"/>
    <w:rsid w:val="003174EF"/>
    <w:rsid w:val="00345800"/>
    <w:rsid w:val="003657EE"/>
    <w:rsid w:val="003728A2"/>
    <w:rsid w:val="00377811"/>
    <w:rsid w:val="00390575"/>
    <w:rsid w:val="003B60BB"/>
    <w:rsid w:val="003B788C"/>
    <w:rsid w:val="003C50E2"/>
    <w:rsid w:val="003D0DB7"/>
    <w:rsid w:val="003D44B9"/>
    <w:rsid w:val="003F4131"/>
    <w:rsid w:val="0041030D"/>
    <w:rsid w:val="00447C69"/>
    <w:rsid w:val="004578DE"/>
    <w:rsid w:val="004A5780"/>
    <w:rsid w:val="004E7539"/>
    <w:rsid w:val="005006A1"/>
    <w:rsid w:val="005115F5"/>
    <w:rsid w:val="005141FB"/>
    <w:rsid w:val="005257EA"/>
    <w:rsid w:val="005404F9"/>
    <w:rsid w:val="005449FB"/>
    <w:rsid w:val="00545698"/>
    <w:rsid w:val="005A1EE4"/>
    <w:rsid w:val="005A4576"/>
    <w:rsid w:val="005B3666"/>
    <w:rsid w:val="005B4143"/>
    <w:rsid w:val="005F7950"/>
    <w:rsid w:val="00602595"/>
    <w:rsid w:val="00661147"/>
    <w:rsid w:val="00663556"/>
    <w:rsid w:val="00664C18"/>
    <w:rsid w:val="006D3186"/>
    <w:rsid w:val="007209F2"/>
    <w:rsid w:val="00721DE2"/>
    <w:rsid w:val="007246DD"/>
    <w:rsid w:val="007371ED"/>
    <w:rsid w:val="0076256D"/>
    <w:rsid w:val="007B0390"/>
    <w:rsid w:val="007B1C00"/>
    <w:rsid w:val="007D44B5"/>
    <w:rsid w:val="007E369D"/>
    <w:rsid w:val="0083771F"/>
    <w:rsid w:val="0084144D"/>
    <w:rsid w:val="0084558A"/>
    <w:rsid w:val="00886643"/>
    <w:rsid w:val="008B7C25"/>
    <w:rsid w:val="008C48AA"/>
    <w:rsid w:val="008D508D"/>
    <w:rsid w:val="008F55C1"/>
    <w:rsid w:val="008F5BF5"/>
    <w:rsid w:val="00910070"/>
    <w:rsid w:val="009276E7"/>
    <w:rsid w:val="00983EB6"/>
    <w:rsid w:val="00997079"/>
    <w:rsid w:val="009A1A6C"/>
    <w:rsid w:val="009C51DE"/>
    <w:rsid w:val="009E465B"/>
    <w:rsid w:val="009E4F20"/>
    <w:rsid w:val="00A158AA"/>
    <w:rsid w:val="00A66995"/>
    <w:rsid w:val="00A81CE7"/>
    <w:rsid w:val="00A8258B"/>
    <w:rsid w:val="00A921D7"/>
    <w:rsid w:val="00AD405C"/>
    <w:rsid w:val="00B01A86"/>
    <w:rsid w:val="00B032B0"/>
    <w:rsid w:val="00B60251"/>
    <w:rsid w:val="00BA7418"/>
    <w:rsid w:val="00BD0C31"/>
    <w:rsid w:val="00BD349F"/>
    <w:rsid w:val="00BE2DDD"/>
    <w:rsid w:val="00BF21F4"/>
    <w:rsid w:val="00BF2ABC"/>
    <w:rsid w:val="00BF78BF"/>
    <w:rsid w:val="00C33211"/>
    <w:rsid w:val="00C810E7"/>
    <w:rsid w:val="00CB0CC9"/>
    <w:rsid w:val="00D0066E"/>
    <w:rsid w:val="00D21984"/>
    <w:rsid w:val="00D47B21"/>
    <w:rsid w:val="00D57047"/>
    <w:rsid w:val="00D72DAA"/>
    <w:rsid w:val="00D8638E"/>
    <w:rsid w:val="00D8769E"/>
    <w:rsid w:val="00DC27E1"/>
    <w:rsid w:val="00DD26DE"/>
    <w:rsid w:val="00DE61A8"/>
    <w:rsid w:val="00DF44A0"/>
    <w:rsid w:val="00E21F4C"/>
    <w:rsid w:val="00E23890"/>
    <w:rsid w:val="00E33710"/>
    <w:rsid w:val="00E44B13"/>
    <w:rsid w:val="00E7325B"/>
    <w:rsid w:val="00E76B0F"/>
    <w:rsid w:val="00E80DEA"/>
    <w:rsid w:val="00E9059F"/>
    <w:rsid w:val="00EA21F9"/>
    <w:rsid w:val="00EE0194"/>
    <w:rsid w:val="00EE059E"/>
    <w:rsid w:val="00EE63AA"/>
    <w:rsid w:val="00F43C98"/>
    <w:rsid w:val="00F4534A"/>
    <w:rsid w:val="00F46A5F"/>
    <w:rsid w:val="00F81BCD"/>
    <w:rsid w:val="00F97D8C"/>
    <w:rsid w:val="00F97F40"/>
    <w:rsid w:val="00FB3247"/>
    <w:rsid w:val="00FB48DD"/>
    <w:rsid w:val="00FC7543"/>
    <w:rsid w:val="0230769A"/>
    <w:rsid w:val="0E875108"/>
    <w:rsid w:val="11BF511D"/>
    <w:rsid w:val="13F82B68"/>
    <w:rsid w:val="13FC384F"/>
    <w:rsid w:val="142461C9"/>
    <w:rsid w:val="157D50D3"/>
    <w:rsid w:val="15D373E9"/>
    <w:rsid w:val="166938A9"/>
    <w:rsid w:val="16734728"/>
    <w:rsid w:val="167D5231"/>
    <w:rsid w:val="20407429"/>
    <w:rsid w:val="2A02355D"/>
    <w:rsid w:val="306B6744"/>
    <w:rsid w:val="313E0968"/>
    <w:rsid w:val="38B92586"/>
    <w:rsid w:val="43DF71C3"/>
    <w:rsid w:val="461B7300"/>
    <w:rsid w:val="4BCF73E3"/>
    <w:rsid w:val="4D3C1B29"/>
    <w:rsid w:val="50F2355D"/>
    <w:rsid w:val="54A174C9"/>
    <w:rsid w:val="586A0FEC"/>
    <w:rsid w:val="5BBE7421"/>
    <w:rsid w:val="60894CA8"/>
    <w:rsid w:val="64F92714"/>
    <w:rsid w:val="678371C8"/>
    <w:rsid w:val="687436E1"/>
    <w:rsid w:val="739918DA"/>
    <w:rsid w:val="77B51620"/>
    <w:rsid w:val="786D6842"/>
    <w:rsid w:val="788C23C3"/>
    <w:rsid w:val="7A4A42A1"/>
    <w:rsid w:val="7B852BE7"/>
    <w:rsid w:val="7DFF1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9"/>
    <w:pPr>
      <w:keepNext/>
      <w:keepLines/>
      <w:spacing w:before="260" w:after="260" w:line="480" w:lineRule="auto"/>
      <w:ind w:firstLine="200" w:firstLineChars="200"/>
      <w:outlineLvl w:val="2"/>
    </w:pPr>
    <w:rPr>
      <w:rFonts w:eastAsia="Times New Roman"/>
      <w:b/>
      <w:bCs/>
      <w:sz w:val="28"/>
      <w:szCs w:val="32"/>
    </w:rPr>
  </w:style>
  <w:style w:type="character" w:default="1" w:styleId="15">
    <w:name w:val="Default Paragraph Font"/>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caption"/>
    <w:basedOn w:val="1"/>
    <w:next w:val="1"/>
    <w:qFormat/>
    <w:uiPriority w:val="99"/>
    <w:rPr>
      <w:rFonts w:ascii="Cambria" w:hAnsi="Cambria" w:eastAsia="黑体"/>
      <w:sz w:val="20"/>
      <w:szCs w:val="20"/>
    </w:rPr>
  </w:style>
  <w:style w:type="paragraph" w:styleId="6">
    <w:name w:val="annotation text"/>
    <w:basedOn w:val="1"/>
    <w:link w:val="25"/>
    <w:semiHidden/>
    <w:unhideWhenUsed/>
    <w:qFormat/>
    <w:uiPriority w:val="99"/>
    <w:pPr>
      <w:jc w:val="left"/>
    </w:pPr>
  </w:style>
  <w:style w:type="paragraph" w:styleId="7">
    <w:name w:val="endnote text"/>
    <w:basedOn w:val="1"/>
    <w:link w:val="41"/>
    <w:semiHidden/>
    <w:unhideWhenUsed/>
    <w:qFormat/>
    <w:uiPriority w:val="99"/>
    <w:pPr>
      <w:snapToGrid w:val="0"/>
      <w:jc w:val="left"/>
    </w:p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38"/>
    <w:semiHidden/>
    <w:unhideWhenUsed/>
    <w:qFormat/>
    <w:uiPriority w:val="99"/>
    <w:pPr>
      <w:snapToGrid w:val="0"/>
      <w:jc w:val="left"/>
    </w:pPr>
    <w:rPr>
      <w:sz w:val="18"/>
      <w:szCs w:val="18"/>
    </w:rPr>
  </w:style>
  <w:style w:type="paragraph" w:styleId="11">
    <w:name w:val="Normal (Web)"/>
    <w:basedOn w:val="1"/>
    <w:unhideWhenUsed/>
    <w:qFormat/>
    <w:uiPriority w:val="99"/>
    <w:rPr>
      <w:sz w:val="24"/>
    </w:rPr>
  </w:style>
  <w:style w:type="paragraph" w:styleId="12">
    <w:name w:val="annotation subject"/>
    <w:basedOn w:val="6"/>
    <w:next w:val="6"/>
    <w:link w:val="30"/>
    <w:semiHidden/>
    <w:unhideWhenUsed/>
    <w:qFormat/>
    <w:uiPriority w:val="99"/>
    <w:rPr>
      <w:b/>
      <w:bCs/>
    </w:rPr>
  </w:style>
  <w:style w:type="table" w:styleId="14">
    <w:name w:val="Table Grid"/>
    <w:basedOn w:val="13"/>
    <w:qFormat/>
    <w:uiPriority w:val="5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ndnote reference"/>
    <w:basedOn w:val="15"/>
    <w:semiHidden/>
    <w:unhideWhenUsed/>
    <w:qFormat/>
    <w:uiPriority w:val="99"/>
    <w:rPr>
      <w:vertAlign w:val="superscript"/>
    </w:rPr>
  </w:style>
  <w:style w:type="character" w:styleId="17">
    <w:name w:val="Hyperlink"/>
    <w:basedOn w:val="15"/>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styleId="19">
    <w:name w:val="footnote reference"/>
    <w:basedOn w:val="15"/>
    <w:semiHidden/>
    <w:unhideWhenUsed/>
    <w:qFormat/>
    <w:uiPriority w:val="99"/>
    <w:rPr>
      <w:vertAlign w:val="superscript"/>
    </w:rPr>
  </w:style>
  <w:style w:type="paragraph" w:customStyle="1" w:styleId="20">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21">
    <w:name w:val="页眉 字符"/>
    <w:basedOn w:val="15"/>
    <w:link w:val="9"/>
    <w:qFormat/>
    <w:uiPriority w:val="99"/>
    <w:rPr>
      <w:sz w:val="18"/>
      <w:szCs w:val="18"/>
    </w:rPr>
  </w:style>
  <w:style w:type="character" w:customStyle="1" w:styleId="22">
    <w:name w:val="页脚 字符"/>
    <w:basedOn w:val="15"/>
    <w:link w:val="8"/>
    <w:qFormat/>
    <w:uiPriority w:val="99"/>
    <w:rPr>
      <w:sz w:val="18"/>
      <w:szCs w:val="18"/>
    </w:rPr>
  </w:style>
  <w:style w:type="paragraph" w:customStyle="1" w:styleId="23">
    <w:name w:val="RSC B01 ART Abstract"/>
    <w:basedOn w:val="1"/>
    <w:qFormat/>
    <w:uiPriority w:val="0"/>
    <w:pPr>
      <w:widowControl/>
      <w:spacing w:beforeAutospacing="1" w:after="200" w:line="240" w:lineRule="exact"/>
    </w:pPr>
    <w:rPr>
      <w:rFonts w:hint="eastAsia" w:ascii="等线" w:hAnsi="等线" w:eastAsia="等线"/>
      <w:kern w:val="0"/>
      <w:sz w:val="16"/>
      <w:szCs w:val="16"/>
    </w:rPr>
  </w:style>
  <w:style w:type="character" w:customStyle="1" w:styleId="24">
    <w:name w:val="15"/>
    <w:basedOn w:val="15"/>
    <w:qFormat/>
    <w:uiPriority w:val="0"/>
    <w:rPr>
      <w:rFonts w:hint="default" w:ascii="Times New Roman" w:hAnsi="Times New Roman" w:cs="Times New Roman"/>
      <w:color w:val="0000FF"/>
      <w:u w:val="single"/>
    </w:rPr>
  </w:style>
  <w:style w:type="character" w:customStyle="1" w:styleId="25">
    <w:name w:val="批注文字 字符"/>
    <w:basedOn w:val="15"/>
    <w:link w:val="6"/>
    <w:semiHidden/>
    <w:qFormat/>
    <w:uiPriority w:val="99"/>
    <w:rPr>
      <w:kern w:val="2"/>
      <w:sz w:val="21"/>
      <w:szCs w:val="21"/>
    </w:rPr>
  </w:style>
  <w:style w:type="paragraph" w:customStyle="1" w:styleId="26">
    <w:name w:val="列表段落1"/>
    <w:basedOn w:val="1"/>
    <w:link w:val="27"/>
    <w:qFormat/>
    <w:uiPriority w:val="0"/>
    <w:pPr>
      <w:ind w:firstLine="420" w:firstLineChars="200"/>
    </w:pPr>
    <w:rPr>
      <w:rFonts w:ascii="Calibri" w:hAnsi="Calibri"/>
    </w:rPr>
  </w:style>
  <w:style w:type="character" w:customStyle="1" w:styleId="27">
    <w:name w:val="列表段落1 字符"/>
    <w:basedOn w:val="15"/>
    <w:link w:val="26"/>
    <w:qFormat/>
    <w:uiPriority w:val="0"/>
    <w:rPr>
      <w:rFonts w:ascii="Calibri" w:hAnsi="Calibri"/>
      <w:kern w:val="2"/>
      <w:sz w:val="21"/>
      <w:szCs w:val="21"/>
    </w:rPr>
  </w:style>
  <w:style w:type="paragraph" w:customStyle="1" w:styleId="28">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29">
    <w:name w:val="修订2"/>
    <w:hidden/>
    <w:semiHidden/>
    <w:qFormat/>
    <w:uiPriority w:val="99"/>
    <w:rPr>
      <w:rFonts w:ascii="Times New Roman" w:hAnsi="Times New Roman" w:eastAsia="宋体" w:cs="Times New Roman"/>
      <w:kern w:val="2"/>
      <w:sz w:val="21"/>
      <w:szCs w:val="21"/>
      <w:lang w:val="en-US" w:eastAsia="zh-CN" w:bidi="ar-SA"/>
    </w:rPr>
  </w:style>
  <w:style w:type="character" w:customStyle="1" w:styleId="30">
    <w:name w:val="批注主题 字符"/>
    <w:basedOn w:val="25"/>
    <w:link w:val="12"/>
    <w:semiHidden/>
    <w:qFormat/>
    <w:uiPriority w:val="99"/>
    <w:rPr>
      <w:b/>
      <w:bCs/>
      <w:kern w:val="2"/>
      <w:sz w:val="21"/>
      <w:szCs w:val="21"/>
    </w:rPr>
  </w:style>
  <w:style w:type="paragraph" w:customStyle="1" w:styleId="31">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32">
    <w:name w:val="Authors"/>
    <w:basedOn w:val="1"/>
    <w:next w:val="1"/>
    <w:qFormat/>
    <w:uiPriority w:val="0"/>
    <w:pPr>
      <w:framePr w:w="9072" w:hSpace="187" w:vSpace="187" w:wrap="notBeside" w:vAnchor="text" w:hAnchor="page" w:xAlign="center" w:y="1"/>
      <w:widowControl/>
      <w:autoSpaceDE w:val="0"/>
      <w:autoSpaceDN w:val="0"/>
      <w:spacing w:after="320"/>
      <w:jc w:val="center"/>
    </w:pPr>
    <w:rPr>
      <w:kern w:val="0"/>
      <w:sz w:val="22"/>
      <w:szCs w:val="22"/>
      <w:lang w:eastAsia="en-US"/>
    </w:rPr>
  </w:style>
  <w:style w:type="paragraph" w:customStyle="1" w:styleId="33">
    <w:name w:val="EndNote Bibliography Title"/>
    <w:basedOn w:val="1"/>
    <w:link w:val="34"/>
    <w:qFormat/>
    <w:uiPriority w:val="0"/>
    <w:pPr>
      <w:jc w:val="center"/>
    </w:pPr>
    <w:rPr>
      <w:sz w:val="20"/>
    </w:rPr>
  </w:style>
  <w:style w:type="character" w:customStyle="1" w:styleId="34">
    <w:name w:val="EndNote Bibliography Title 字符"/>
    <w:basedOn w:val="15"/>
    <w:link w:val="33"/>
    <w:qFormat/>
    <w:uiPriority w:val="0"/>
    <w:rPr>
      <w:kern w:val="2"/>
      <w:szCs w:val="21"/>
    </w:rPr>
  </w:style>
  <w:style w:type="paragraph" w:customStyle="1" w:styleId="35">
    <w:name w:val="EndNote Bibliography"/>
    <w:basedOn w:val="1"/>
    <w:link w:val="36"/>
    <w:qFormat/>
    <w:uiPriority w:val="0"/>
    <w:pPr>
      <w:jc w:val="center"/>
    </w:pPr>
    <w:rPr>
      <w:sz w:val="20"/>
    </w:rPr>
  </w:style>
  <w:style w:type="character" w:customStyle="1" w:styleId="36">
    <w:name w:val="EndNote Bibliography 字符"/>
    <w:basedOn w:val="15"/>
    <w:link w:val="35"/>
    <w:qFormat/>
    <w:uiPriority w:val="0"/>
    <w:rPr>
      <w:kern w:val="2"/>
      <w:szCs w:val="21"/>
    </w:rPr>
  </w:style>
  <w:style w:type="character" w:customStyle="1" w:styleId="37">
    <w:name w:val="未处理的提及1"/>
    <w:basedOn w:val="15"/>
    <w:semiHidden/>
    <w:unhideWhenUsed/>
    <w:qFormat/>
    <w:uiPriority w:val="99"/>
    <w:rPr>
      <w:color w:val="605E5C"/>
      <w:shd w:val="clear" w:color="auto" w:fill="E1DFDD"/>
    </w:rPr>
  </w:style>
  <w:style w:type="character" w:customStyle="1" w:styleId="38">
    <w:name w:val="脚注文本 字符"/>
    <w:basedOn w:val="15"/>
    <w:link w:val="10"/>
    <w:semiHidden/>
    <w:qFormat/>
    <w:uiPriority w:val="99"/>
    <w:rPr>
      <w:kern w:val="2"/>
      <w:sz w:val="18"/>
      <w:szCs w:val="18"/>
    </w:rPr>
  </w:style>
  <w:style w:type="character" w:customStyle="1" w:styleId="39">
    <w:name w:val="标题 2 字符"/>
    <w:basedOn w:val="15"/>
    <w:link w:val="3"/>
    <w:semiHidden/>
    <w:qFormat/>
    <w:uiPriority w:val="9"/>
    <w:rPr>
      <w:rFonts w:asciiTheme="majorHAnsi" w:hAnsiTheme="majorHAnsi" w:eastAsiaTheme="majorEastAsia" w:cstheme="majorBidi"/>
      <w:b/>
      <w:bCs/>
      <w:kern w:val="2"/>
      <w:sz w:val="32"/>
      <w:szCs w:val="32"/>
    </w:rPr>
  </w:style>
  <w:style w:type="character" w:customStyle="1" w:styleId="40">
    <w:name w:val="标题 1 字符"/>
    <w:basedOn w:val="15"/>
    <w:link w:val="2"/>
    <w:qFormat/>
    <w:uiPriority w:val="9"/>
    <w:rPr>
      <w:b/>
      <w:bCs/>
      <w:kern w:val="44"/>
      <w:sz w:val="44"/>
      <w:szCs w:val="44"/>
    </w:rPr>
  </w:style>
  <w:style w:type="character" w:customStyle="1" w:styleId="41">
    <w:name w:val="尾注文本 字符"/>
    <w:basedOn w:val="15"/>
    <w:link w:val="7"/>
    <w:semiHidden/>
    <w:qFormat/>
    <w:uiPriority w:val="99"/>
    <w:rPr>
      <w:kern w:val="2"/>
      <w:sz w:val="21"/>
      <w:szCs w:val="21"/>
    </w:rPr>
  </w:style>
  <w:style w:type="paragraph" w:customStyle="1" w:styleId="42">
    <w:name w:val="RSC H01 Paper Title"/>
    <w:basedOn w:val="1"/>
    <w:next w:val="1"/>
    <w:link w:val="43"/>
    <w:qFormat/>
    <w:uiPriority w:val="0"/>
    <w:pPr>
      <w:widowControl/>
      <w:tabs>
        <w:tab w:val="left" w:pos="284"/>
      </w:tabs>
      <w:spacing w:before="400" w:after="160"/>
      <w:jc w:val="left"/>
    </w:pPr>
    <w:rPr>
      <w:rFonts w:asciiTheme="minorHAnsi" w:hAnsiTheme="minorHAnsi" w:eastAsiaTheme="minorEastAsia"/>
      <w:b/>
      <w:kern w:val="0"/>
      <w:sz w:val="29"/>
      <w:szCs w:val="32"/>
      <w:lang w:eastAsia="en-US"/>
    </w:rPr>
  </w:style>
  <w:style w:type="character" w:customStyle="1" w:styleId="43">
    <w:name w:val="RSC H01 Paper Title Char"/>
    <w:basedOn w:val="15"/>
    <w:link w:val="42"/>
    <w:qFormat/>
    <w:uiPriority w:val="0"/>
    <w:rPr>
      <w:rFonts w:asciiTheme="minorHAnsi" w:hAnsiTheme="minorHAnsi" w:eastAsiaTheme="minorEastAsia"/>
      <w:b/>
      <w:sz w:val="29"/>
      <w:szCs w:val="32"/>
      <w:lang w:eastAsia="en-US"/>
    </w:rPr>
  </w:style>
  <w:style w:type="paragraph" w:customStyle="1" w:styleId="44">
    <w:name w:val="RSC B02 Article Text"/>
    <w:basedOn w:val="1"/>
    <w:link w:val="45"/>
    <w:qFormat/>
    <w:uiPriority w:val="0"/>
    <w:pPr>
      <w:widowControl/>
      <w:spacing w:line="240" w:lineRule="exact"/>
    </w:pPr>
    <w:rPr>
      <w:rFonts w:asciiTheme="minorHAnsi" w:hAnsiTheme="minorHAnsi" w:eastAsiaTheme="minorEastAsia"/>
      <w:w w:val="108"/>
      <w:kern w:val="0"/>
      <w:sz w:val="18"/>
      <w:szCs w:val="18"/>
      <w:lang w:eastAsia="en-US"/>
    </w:rPr>
  </w:style>
  <w:style w:type="character" w:customStyle="1" w:styleId="45">
    <w:name w:val="RSC B02 Article Text Char"/>
    <w:basedOn w:val="15"/>
    <w:link w:val="44"/>
    <w:qFormat/>
    <w:uiPriority w:val="0"/>
    <w:rPr>
      <w:rFonts w:asciiTheme="minorHAnsi" w:hAnsiTheme="minorHAnsi" w:eastAsiaTheme="minorEastAsia"/>
      <w:w w:val="108"/>
      <w:sz w:val="18"/>
      <w:szCs w:val="18"/>
      <w:lang w:eastAsia="en-US"/>
    </w:rPr>
  </w:style>
  <w:style w:type="character" w:customStyle="1" w:styleId="46">
    <w:name w:val="未处理的提及2"/>
    <w:basedOn w:val="15"/>
    <w:semiHidden/>
    <w:unhideWhenUsed/>
    <w:qFormat/>
    <w:uiPriority w:val="99"/>
    <w:rPr>
      <w:color w:val="605E5C"/>
      <w:shd w:val="clear" w:color="auto" w:fill="E1DFDD"/>
    </w:rPr>
  </w:style>
  <w:style w:type="character" w:customStyle="1" w:styleId="47">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jpeg"/><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093F7-256E-497C-B880-15BCE458F5A4}">
  <ds:schemaRefs/>
</ds:datastoreItem>
</file>

<file path=docProps/app.xml><?xml version="1.0" encoding="utf-8"?>
<Properties xmlns="http://schemas.openxmlformats.org/officeDocument/2006/extended-properties" xmlns:vt="http://schemas.openxmlformats.org/officeDocument/2006/docPropsVTypes">
  <Template>Normal</Template>
  <Pages>14</Pages>
  <Words>1211</Words>
  <Characters>6439</Characters>
  <Lines>63</Lines>
  <Paragraphs>17</Paragraphs>
  <TotalTime>20</TotalTime>
  <ScaleCrop>false</ScaleCrop>
  <LinksUpToDate>false</LinksUpToDate>
  <CharactersWithSpaces>7492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2022-12-16T15:47:00Z</dcterms:created>
  <dc:creator>郝 梦琪</dc:creator>
  <cp:lastModifiedBy>八尾猫</cp:lastModifiedBy>
  <dcterms:modified xsi:type="dcterms:W3CDTF">2022-12-23T15:38:43Z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EDC5392AEA1345DA97BA3B0FAFE04DA0</vt:lpwstr>
  </property>
</Properties>
</file>