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1EB54" w14:textId="77777777" w:rsidR="00427EF1" w:rsidRDefault="00427EF1" w:rsidP="00427E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Supplementary Figures:</w:t>
      </w:r>
    </w:p>
    <w:p w14:paraId="24DDD760" w14:textId="77777777" w:rsidR="00427EF1" w:rsidRDefault="00427EF1" w:rsidP="00427E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6D9C39E4" w14:textId="77777777" w:rsidR="00427EF1" w:rsidRDefault="00427EF1" w:rsidP="00427EF1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Flesch-Kincaid Score</w:t>
      </w:r>
    </w:p>
    <w:p w14:paraId="1D65CCA0" w14:textId="77777777" w:rsidR="00427EF1" w:rsidRDefault="00427EF1" w:rsidP="00427EF1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D6FE502" wp14:editId="68B1419C">
            <wp:extent cx="4095750" cy="428625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67E612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F23979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093B73E" w14:textId="77777777" w:rsidR="00427EF1" w:rsidRDefault="00427EF1" w:rsidP="00427EF1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Flesch-Kincaid Grade Level </w:t>
      </w:r>
    </w:p>
    <w:p w14:paraId="2DE988A9" w14:textId="77777777" w:rsidR="00427EF1" w:rsidRDefault="00427EF1" w:rsidP="00427EF1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732EED3D" wp14:editId="6A5028C1">
            <wp:extent cx="3876675" cy="428625"/>
            <wp:effectExtent l="0" t="0" r="0" b="0"/>
            <wp:docPr id="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2C8BA4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F60107" w14:textId="77777777" w:rsidR="00427EF1" w:rsidRDefault="00427EF1" w:rsidP="00427EF1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Automated Readability Index </w:t>
      </w:r>
    </w:p>
    <w:p w14:paraId="0E921322" w14:textId="77777777" w:rsidR="00427EF1" w:rsidRDefault="00427EF1" w:rsidP="00427EF1">
      <w:pPr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20386E06" wp14:editId="2FE1A3F6">
            <wp:extent cx="3943350" cy="428625"/>
            <wp:effectExtent l="0" t="0" r="0" b="0"/>
            <wp:docPr id="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F4AB90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9666D3C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97959EF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F7BF612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9BFEFC" w14:textId="77777777" w:rsidR="00427EF1" w:rsidRDefault="00427EF1" w:rsidP="00427EF1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Gunning Fog Index</w:t>
      </w:r>
    </w:p>
    <w:p w14:paraId="6891D97E" w14:textId="77777777" w:rsidR="00427EF1" w:rsidRDefault="00427EF1" w:rsidP="00427EF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7E5BEEA7" wp14:editId="27DF7827">
            <wp:extent cx="3714750" cy="428625"/>
            <wp:effectExtent l="0" t="0" r="0" b="0"/>
            <wp:docPr id="1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51AFB5" w14:textId="77777777" w:rsidR="00427EF1" w:rsidRDefault="00427EF1" w:rsidP="00427E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5ECE9309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1A-D:  Programmatic Approach Distributions of Pre and Post Processing Readability Scores</w:t>
      </w:r>
    </w:p>
    <w:p w14:paraId="35EBA9C5" w14:textId="77777777" w:rsidR="00427EF1" w:rsidRDefault="00427EF1" w:rsidP="00427EF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114300" distB="114300" distL="114300" distR="114300" wp14:anchorId="431130D5" wp14:editId="058B2BDB">
            <wp:extent cx="3063764" cy="1749400"/>
            <wp:effectExtent l="0" t="0" r="0" b="0"/>
            <wp:docPr id="24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3764" cy="174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471E272E" wp14:editId="6AD1F982">
            <wp:extent cx="2757488" cy="1401054"/>
            <wp:effectExtent l="0" t="0" r="0" b="0"/>
            <wp:docPr id="15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7488" cy="14010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145DDC5A" wp14:editId="6FDB205D">
            <wp:extent cx="2700338" cy="1580685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0338" cy="1580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44758E6A" wp14:editId="6CE55172">
            <wp:extent cx="3157538" cy="1532210"/>
            <wp:effectExtent l="0" t="0" r="0" b="0"/>
            <wp:docPr id="26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57538" cy="1532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DCBAD1" w14:textId="77777777" w:rsidR="00427EF1" w:rsidRDefault="00427EF1" w:rsidP="00427EF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F7AC02" w14:textId="77777777" w:rsidR="00427EF1" w:rsidRDefault="00427EF1" w:rsidP="00427EF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Figure 2A-D: </w:t>
      </w:r>
      <w:r>
        <w:rPr>
          <w:rFonts w:ascii="Times New Roman" w:eastAsia="Times New Roman" w:hAnsi="Times New Roman" w:cs="Times New Roman"/>
          <w:sz w:val="24"/>
          <w:szCs w:val="24"/>
        </w:rPr>
        <w:t>In this figure we show the distributions of FKS, FKG, GFI, and ARI; red = distributions of original pre-substitution definitions, green = distributions of post-substitution definitions. These figures show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change in simplicity distribution for: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FKS 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increase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score is considered increase in readability.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FKG contrasting the logic of FKS where 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decrease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grade level is considered and increase in readability.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C) GFI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grade distributions, a decrease in grade level is considered and increase in readability.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D) ARI </w:t>
      </w:r>
      <w:r>
        <w:rPr>
          <w:rFonts w:ascii="Times New Roman" w:eastAsia="Times New Roman" w:hAnsi="Times New Roman" w:cs="Times New Roman"/>
          <w:sz w:val="24"/>
          <w:szCs w:val="24"/>
        </w:rPr>
        <w:t>grade, a decrease in grade level is considered an increase in readability. Here we show with the programmatic approach, we increase readability across all metrics.</w:t>
      </w:r>
    </w:p>
    <w:p w14:paraId="7A8E9886" w14:textId="77777777" w:rsidR="00427EF1" w:rsidRDefault="00427EF1" w:rsidP="00427EF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7E37AD" w14:textId="77777777" w:rsidR="00427EF1" w:rsidRDefault="00427EF1" w:rsidP="00427EF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2AD05F" w14:textId="77777777" w:rsidR="00427EF1" w:rsidRDefault="00427EF1" w:rsidP="00427EF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88B543" w14:textId="77777777" w:rsidR="00427EF1" w:rsidRDefault="00427EF1" w:rsidP="00427EF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Figure 3A-D: T5 Approach Distributions of Pre and Post Processing Readability Scores</w:t>
      </w:r>
    </w:p>
    <w:p w14:paraId="4C9EA2A2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3472738F" wp14:editId="25C7F337">
            <wp:extent cx="2738438" cy="1871927"/>
            <wp:effectExtent l="0" t="0" r="0" b="0"/>
            <wp:docPr id="29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8438" cy="18719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2CA5CA7" wp14:editId="285113B7">
            <wp:extent cx="2871788" cy="1851289"/>
            <wp:effectExtent l="0" t="0" r="0" b="0"/>
            <wp:docPr id="28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1788" cy="18512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96E0AEE" wp14:editId="1DA626D4">
            <wp:extent cx="2675820" cy="1883724"/>
            <wp:effectExtent l="0" t="0" r="0" b="0"/>
            <wp:docPr id="2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5820" cy="18837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A2C48BE" wp14:editId="5FEF5D90">
            <wp:extent cx="2890838" cy="1751835"/>
            <wp:effectExtent l="0" t="0" r="0" b="0"/>
            <wp:docPr id="1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0838" cy="1751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D1EBC7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3A-D: </w:t>
      </w:r>
      <w:r>
        <w:rPr>
          <w:rFonts w:ascii="Times New Roman" w:eastAsia="Times New Roman" w:hAnsi="Times New Roman" w:cs="Times New Roman"/>
          <w:sz w:val="24"/>
          <w:szCs w:val="24"/>
        </w:rPr>
        <w:t>Similarly as in Figure 2A-D, FKS, FKG, GFI, and ARI; red = distributions of original pre-substitution definitions, green = distributions of post-substitution definitions. As with the programmatic approach, the T5 approach showed an increase in readability across all metrics.</w:t>
      </w:r>
    </w:p>
    <w:p w14:paraId="1C4F23B6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19BEAE" w14:textId="77777777" w:rsidR="00427EF1" w:rsidRDefault="00427EF1" w:rsidP="00427EF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Figure 4: A-D -  T5 Approach Distributions of Pre and Post Processing Readability Scores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7CE55485" wp14:editId="04E87226">
            <wp:extent cx="2767013" cy="1855603"/>
            <wp:effectExtent l="0" t="0" r="0" b="0"/>
            <wp:docPr id="17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7013" cy="18556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646FCAC8" wp14:editId="2FC35697">
            <wp:extent cx="2890838" cy="1801998"/>
            <wp:effectExtent l="0" t="0" r="0" b="0"/>
            <wp:docPr id="23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0838" cy="18019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73DDA2F6" wp14:editId="18C1BBD8">
            <wp:extent cx="2805113" cy="1908286"/>
            <wp:effectExtent l="0" t="0" r="0" b="0"/>
            <wp:docPr id="1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5113" cy="19082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5B500657" wp14:editId="28100C47">
            <wp:extent cx="2928938" cy="1719687"/>
            <wp:effectExtent l="0" t="0" r="0" b="0"/>
            <wp:docPr id="1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8938" cy="17196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B4F094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4A-D: </w:t>
      </w:r>
      <w:r>
        <w:rPr>
          <w:rFonts w:ascii="Times New Roman" w:eastAsia="Times New Roman" w:hAnsi="Times New Roman" w:cs="Times New Roman"/>
          <w:sz w:val="24"/>
          <w:szCs w:val="24"/>
        </w:rPr>
        <w:t>Similarly as in Figure 2A-D, FKS, FKG, GFI, and ARI; red = distributions of original pre-substitution definitions, green = distributions of post-substitution definitions. As with the programmatic and T5 approach, the GPT approach showed an increase in readability across all metrics.</w:t>
      </w:r>
    </w:p>
    <w:p w14:paraId="117E2FAA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0F754B1" w14:textId="77777777" w:rsidR="00427EF1" w:rsidRDefault="00427EF1" w:rsidP="00427EF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Tables 1A-C</w:t>
      </w:r>
    </w:p>
    <w:p w14:paraId="1B78CC2A" w14:textId="77777777" w:rsidR="00427EF1" w:rsidRDefault="00427EF1" w:rsidP="00427EF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3D3423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Table 2A: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Programmatic Approach Readability Metrics Welch T-Test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0AB3BD03" wp14:editId="2C66DEED">
            <wp:extent cx="5943600" cy="2108200"/>
            <wp:effectExtent l="0" t="0" r="0" b="0"/>
            <wp:docPr id="21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05E421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0D8F6A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A) The programmatic approach had a mean FKS increase of 32.31 (p-value 1.53e-105, CI 29.58 to 35.030), mean FKG reduction of 4.30  (p-value 2.58e-81, CI -4.67 to -3.85), mean ARI grade reduction of 4.51 (p-value 8.02e-57, CI -5.04 to -3.97), and mean GFI reduction of 4.39 (p-value 5.76e-58, CI -4.91 to -3.87). </w:t>
      </w:r>
    </w:p>
    <w:p w14:paraId="5F43D602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875F859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Table 2B: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T5 Approach Readability Metrics Welch T-Test </w:t>
      </w:r>
    </w:p>
    <w:p w14:paraId="70C53E34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18304D7" wp14:editId="1A5D5E4F">
            <wp:extent cx="5943600" cy="2082800"/>
            <wp:effectExtent l="0" t="0" r="0" b="0"/>
            <wp:docPr id="9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F042DB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The T5 approach had a mean FKS increase of 5.63 (p-value 1.53e-105, CI 29.58 to 35.030), mean FKG reduction of 0.89  (p-value 6.86e-05, CI -1.33 to -0.45), mean ARI grade reduction of 4.41 (p-value 2.86e-62, CI -4.91 to -3.91), and mean GFI reduction of 0.51 (p-value 0.06, CI -1.02 to 0.02). </w:t>
      </w:r>
    </w:p>
    <w:p w14:paraId="7141B009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B395E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 2C: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GPT Approach Readability Metrics Welch T-Test </w:t>
      </w:r>
    </w:p>
    <w:p w14:paraId="49A4746F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AF7CB01" wp14:editId="5F339D39">
            <wp:extent cx="5943600" cy="2108200"/>
            <wp:effectExtent l="0" t="0" r="0" b="0"/>
            <wp:docPr id="13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13A363" w14:textId="77777777" w:rsidR="00427EF1" w:rsidRDefault="00427EF1" w:rsidP="00427EF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The GPT-J-6b approach had a mean FKS increase of 31.64 (p-value 1.37e-41, CI 27.21 to 36.07), mean FKG reduction of 4.86 (p-value 1.99e-41, CI -5.54 to -4.17), mean ARI grade reduction of 10.33 (p-value 4.08e-124, CI -11.10 to -9.56), and mean GFI grade reduction of 3.81 (p-value 3.65e-23, CI -4.55 to -3.06). </w:t>
      </w:r>
    </w:p>
    <w:p w14:paraId="42ECF8BC" w14:textId="77777777" w:rsidR="002F0F5E" w:rsidRDefault="00427EF1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462DD4"/>
    <w:multiLevelType w:val="multilevel"/>
    <w:tmpl w:val="BD7E140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EF1"/>
    <w:rsid w:val="0021090F"/>
    <w:rsid w:val="003A76DF"/>
    <w:rsid w:val="00427EF1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CE6DF"/>
  <w15:chartTrackingRefBased/>
  <w15:docId w15:val="{3225A242-8F6A-4778-8B88-C9B4AEE2B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EF1"/>
    <w:pPr>
      <w:spacing w:after="0" w:line="276" w:lineRule="auto"/>
    </w:pPr>
    <w:rPr>
      <w:rFonts w:ascii="Roboto" w:eastAsia="Roboto" w:hAnsi="Roboto" w:cs="Roboto"/>
      <w:sz w:val="20"/>
      <w:szCs w:val="2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438</Words>
  <Characters>2501</Characters>
  <Application>Microsoft Office Word</Application>
  <DocSecurity>0</DocSecurity>
  <Lines>20</Lines>
  <Paragraphs>5</Paragraphs>
  <ScaleCrop>false</ScaleCrop>
  <Company>Springer Nature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2022-12-28T07:31:00Z</dcterms:created>
  <dcterms:modified xsi:type="dcterms:W3CDTF">2022-12-28T07:32:00Z</dcterms:modified>
</cp:coreProperties>
</file>