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77F6DE" w14:textId="77777777" w:rsidR="00C01017" w:rsidRDefault="00C01017" w:rsidP="00C01017">
      <w:pPr>
        <w:ind w:firstLine="0"/>
        <w:rPr>
          <w:b/>
          <w:bCs/>
          <w:szCs w:val="24"/>
          <w:lang w:val="en-GB"/>
        </w:rPr>
      </w:pPr>
      <w:r w:rsidRPr="00104B3F">
        <w:rPr>
          <w:b/>
          <w:bCs/>
          <w:szCs w:val="24"/>
          <w:lang w:val="en-GB"/>
        </w:rPr>
        <w:t>Supplementary Materials</w:t>
      </w:r>
    </w:p>
    <w:p w14:paraId="10468602" w14:textId="77777777" w:rsidR="00C01017" w:rsidRPr="00443FFA" w:rsidRDefault="00C01017" w:rsidP="00C01017">
      <w:pPr>
        <w:ind w:firstLine="0"/>
        <w:rPr>
          <w:b/>
          <w:bCs/>
          <w:szCs w:val="24"/>
          <w:lang w:val="en-GB"/>
        </w:rPr>
      </w:pPr>
    </w:p>
    <w:p w14:paraId="7C8FA8A7" w14:textId="77777777" w:rsidR="00C01017" w:rsidRDefault="00C01017" w:rsidP="00C01017">
      <w:pPr>
        <w:keepNext/>
        <w:ind w:firstLine="0"/>
        <w:jc w:val="center"/>
      </w:pPr>
      <w:r>
        <w:rPr>
          <w:noProof/>
        </w:rPr>
        <w:drawing>
          <wp:inline distT="0" distB="0" distL="0" distR="0" wp14:anchorId="296DE8A1" wp14:editId="7882337D">
            <wp:extent cx="4244340" cy="6248833"/>
            <wp:effectExtent l="0" t="0" r="3810" b="0"/>
            <wp:docPr id="9" name="Imagem 9"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Gráfico, Histograma&#10;&#10;Descrição gerada automaticament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47471" cy="6253443"/>
                    </a:xfrm>
                    <a:prstGeom prst="rect">
                      <a:avLst/>
                    </a:prstGeom>
                    <a:noFill/>
                    <a:ln>
                      <a:noFill/>
                    </a:ln>
                  </pic:spPr>
                </pic:pic>
              </a:graphicData>
            </a:graphic>
          </wp:inline>
        </w:drawing>
      </w:r>
    </w:p>
    <w:p w14:paraId="2E461C22" w14:textId="77777777" w:rsidR="00C01017" w:rsidRPr="005B557C" w:rsidRDefault="00C01017" w:rsidP="00C01017">
      <w:pPr>
        <w:keepNext/>
        <w:ind w:firstLine="720"/>
        <w:rPr>
          <w:sz w:val="20"/>
          <w:szCs w:val="18"/>
          <w:lang w:val="en-US"/>
        </w:rPr>
      </w:pPr>
      <w:r w:rsidRPr="005B557C">
        <w:rPr>
          <w:b/>
          <w:sz w:val="20"/>
          <w:szCs w:val="18"/>
          <w:lang w:val="en-US"/>
        </w:rPr>
        <w:t xml:space="preserve">Figure </w:t>
      </w:r>
      <w:r w:rsidRPr="005B557C">
        <w:rPr>
          <w:b/>
          <w:sz w:val="20"/>
          <w:szCs w:val="18"/>
        </w:rPr>
        <w:fldChar w:fldCharType="begin"/>
      </w:r>
      <w:r w:rsidRPr="005B557C">
        <w:rPr>
          <w:b/>
          <w:sz w:val="20"/>
          <w:szCs w:val="18"/>
          <w:lang w:val="en-US"/>
        </w:rPr>
        <w:instrText xml:space="preserve"> SEQ Figure_SM \* ARABIC </w:instrText>
      </w:r>
      <w:r w:rsidRPr="005B557C">
        <w:rPr>
          <w:b/>
          <w:sz w:val="20"/>
          <w:szCs w:val="18"/>
        </w:rPr>
        <w:fldChar w:fldCharType="separate"/>
      </w:r>
      <w:r w:rsidRPr="005B557C">
        <w:rPr>
          <w:b/>
          <w:sz w:val="20"/>
          <w:szCs w:val="18"/>
          <w:lang w:val="en-US"/>
        </w:rPr>
        <w:t>1</w:t>
      </w:r>
      <w:r w:rsidRPr="005B557C">
        <w:rPr>
          <w:b/>
          <w:sz w:val="20"/>
          <w:szCs w:val="18"/>
        </w:rPr>
        <w:fldChar w:fldCharType="end"/>
      </w:r>
      <w:r w:rsidRPr="00561335">
        <w:rPr>
          <w:b/>
          <w:sz w:val="20"/>
          <w:szCs w:val="18"/>
          <w:lang w:val="en-US"/>
        </w:rPr>
        <w:t xml:space="preserve"> </w:t>
      </w:r>
      <w:r w:rsidRPr="005B557C">
        <w:rPr>
          <w:b/>
          <w:sz w:val="20"/>
          <w:szCs w:val="18"/>
          <w:lang w:val="en-US"/>
        </w:rPr>
        <w:t>S</w:t>
      </w:r>
      <w:r>
        <w:rPr>
          <w:b/>
          <w:sz w:val="20"/>
          <w:szCs w:val="18"/>
          <w:lang w:val="en-US"/>
        </w:rPr>
        <w:t>M</w:t>
      </w:r>
      <w:r w:rsidRPr="005B557C">
        <w:rPr>
          <w:b/>
          <w:sz w:val="20"/>
          <w:szCs w:val="18"/>
          <w:lang w:val="en-US"/>
        </w:rPr>
        <w:t>.</w:t>
      </w:r>
      <w:r w:rsidRPr="005B557C">
        <w:rPr>
          <w:sz w:val="20"/>
          <w:szCs w:val="18"/>
          <w:lang w:val="en-US"/>
        </w:rPr>
        <w:t xml:space="preserve"> Seasonal evolution of selected isotope and meteorological data recorded at Rio Claro GNIP station (September 2019 – February 2021)</w:t>
      </w:r>
      <w:r>
        <w:rPr>
          <w:sz w:val="20"/>
          <w:szCs w:val="18"/>
          <w:lang w:val="en-US"/>
        </w:rPr>
        <w:t>:</w:t>
      </w:r>
      <w:r w:rsidRPr="005B557C">
        <w:rPr>
          <w:sz w:val="20"/>
          <w:szCs w:val="18"/>
          <w:lang w:val="en-US"/>
        </w:rPr>
        <w:t xml:space="preserve"> </w:t>
      </w:r>
      <w:r>
        <w:rPr>
          <w:sz w:val="20"/>
          <w:szCs w:val="18"/>
          <w:lang w:val="en-US"/>
        </w:rPr>
        <w:t>(</w:t>
      </w:r>
      <w:r w:rsidRPr="005B557C">
        <w:rPr>
          <w:sz w:val="20"/>
          <w:szCs w:val="18"/>
          <w:lang w:val="en-US"/>
        </w:rPr>
        <w:t>a</w:t>
      </w:r>
      <w:r>
        <w:rPr>
          <w:sz w:val="20"/>
          <w:szCs w:val="18"/>
          <w:lang w:val="en-US"/>
        </w:rPr>
        <w:t>)</w:t>
      </w:r>
      <w:r w:rsidRPr="005B557C">
        <w:rPr>
          <w:sz w:val="20"/>
          <w:szCs w:val="18"/>
          <w:lang w:val="en-US"/>
        </w:rPr>
        <w:t xml:space="preserve"> Seasonal variation of </w:t>
      </w:r>
      <w:r w:rsidRPr="005B557C">
        <w:rPr>
          <w:sz w:val="20"/>
          <w:szCs w:val="18"/>
          <w:lang w:val="en-US"/>
        </w:rPr>
        <w:sym w:font="Symbol" w:char="F064"/>
      </w:r>
      <w:r w:rsidRPr="005B557C">
        <w:rPr>
          <w:sz w:val="20"/>
          <w:szCs w:val="18"/>
          <w:vertAlign w:val="superscript"/>
          <w:lang w:val="en-US"/>
        </w:rPr>
        <w:t>18</w:t>
      </w:r>
      <w:r w:rsidRPr="005B557C">
        <w:rPr>
          <w:sz w:val="20"/>
          <w:szCs w:val="18"/>
          <w:lang w:val="en-US"/>
        </w:rPr>
        <w:t xml:space="preserve">O and d-excess values in </w:t>
      </w:r>
      <w:r>
        <w:rPr>
          <w:sz w:val="20"/>
          <w:szCs w:val="18"/>
          <w:lang w:val="en-US"/>
        </w:rPr>
        <w:t xml:space="preserve">fully aggregated </w:t>
      </w:r>
      <w:r w:rsidRPr="005B557C">
        <w:rPr>
          <w:sz w:val="20"/>
          <w:szCs w:val="18"/>
          <w:lang w:val="en-US"/>
        </w:rPr>
        <w:t xml:space="preserve">monthly precipitation. The inserted graph </w:t>
      </w:r>
      <w:r>
        <w:rPr>
          <w:sz w:val="20"/>
          <w:szCs w:val="18"/>
          <w:lang w:val="en-US"/>
        </w:rPr>
        <w:t xml:space="preserve">(b) </w:t>
      </w:r>
      <w:r w:rsidRPr="005B557C">
        <w:rPr>
          <w:sz w:val="20"/>
          <w:szCs w:val="18"/>
          <w:lang w:val="en-US"/>
        </w:rPr>
        <w:t xml:space="preserve">shows monthly </w:t>
      </w:r>
      <w:r w:rsidRPr="005B557C">
        <w:rPr>
          <w:sz w:val="20"/>
          <w:szCs w:val="18"/>
          <w:lang w:val="en-US"/>
        </w:rPr>
        <w:sym w:font="Symbol" w:char="F064"/>
      </w:r>
      <w:r w:rsidRPr="005B557C">
        <w:rPr>
          <w:sz w:val="20"/>
          <w:szCs w:val="18"/>
          <w:vertAlign w:val="superscript"/>
          <w:lang w:val="en-US"/>
        </w:rPr>
        <w:t>2</w:t>
      </w:r>
      <w:r w:rsidRPr="005B557C">
        <w:rPr>
          <w:sz w:val="20"/>
          <w:szCs w:val="18"/>
          <w:lang w:val="en-US"/>
        </w:rPr>
        <w:t xml:space="preserve">H and  </w:t>
      </w:r>
      <w:r w:rsidRPr="005B557C">
        <w:rPr>
          <w:sz w:val="20"/>
          <w:szCs w:val="18"/>
          <w:lang w:val="en-US"/>
        </w:rPr>
        <w:sym w:font="Symbol" w:char="F064"/>
      </w:r>
      <w:r w:rsidRPr="005B557C">
        <w:rPr>
          <w:sz w:val="20"/>
          <w:szCs w:val="18"/>
          <w:vertAlign w:val="superscript"/>
          <w:lang w:val="en-US"/>
        </w:rPr>
        <w:t>18</w:t>
      </w:r>
      <w:r w:rsidRPr="005B557C">
        <w:rPr>
          <w:sz w:val="20"/>
          <w:szCs w:val="18"/>
          <w:lang w:val="en-US"/>
        </w:rPr>
        <w:t xml:space="preserve">O rainfall data plotted in the </w:t>
      </w:r>
      <w:r w:rsidRPr="005B557C">
        <w:rPr>
          <w:sz w:val="20"/>
          <w:szCs w:val="18"/>
          <w:lang w:val="en-US"/>
        </w:rPr>
        <w:sym w:font="Symbol" w:char="F064"/>
      </w:r>
      <w:r w:rsidRPr="005B557C">
        <w:rPr>
          <w:sz w:val="20"/>
          <w:szCs w:val="18"/>
          <w:vertAlign w:val="superscript"/>
          <w:lang w:val="en-US"/>
        </w:rPr>
        <w:t>2</w:t>
      </w:r>
      <w:r w:rsidRPr="005B557C">
        <w:rPr>
          <w:sz w:val="20"/>
          <w:szCs w:val="18"/>
          <w:lang w:val="en-US"/>
        </w:rPr>
        <w:t>H/</w:t>
      </w:r>
      <w:r w:rsidRPr="005B557C">
        <w:rPr>
          <w:sz w:val="20"/>
          <w:szCs w:val="18"/>
          <w:lang w:val="en-US"/>
        </w:rPr>
        <w:sym w:font="Symbol" w:char="F064"/>
      </w:r>
      <w:r w:rsidRPr="005B557C">
        <w:rPr>
          <w:sz w:val="20"/>
          <w:szCs w:val="18"/>
          <w:vertAlign w:val="superscript"/>
          <w:lang w:val="en-US"/>
        </w:rPr>
        <w:t>18</w:t>
      </w:r>
      <w:r w:rsidRPr="005B557C">
        <w:rPr>
          <w:sz w:val="20"/>
          <w:szCs w:val="18"/>
          <w:lang w:val="en-US"/>
        </w:rPr>
        <w:t xml:space="preserve">O </w:t>
      </w:r>
      <w:r w:rsidRPr="005B557C">
        <w:rPr>
          <w:i/>
          <w:iCs/>
          <w:sz w:val="20"/>
          <w:szCs w:val="18"/>
          <w:lang w:val="en-US"/>
        </w:rPr>
        <w:t xml:space="preserve">dual </w:t>
      </w:r>
      <w:r>
        <w:rPr>
          <w:i/>
          <w:iCs/>
          <w:sz w:val="20"/>
          <w:szCs w:val="18"/>
          <w:lang w:val="en-US"/>
        </w:rPr>
        <w:t xml:space="preserve">isotope </w:t>
      </w:r>
      <w:r w:rsidRPr="005B557C">
        <w:rPr>
          <w:sz w:val="20"/>
          <w:szCs w:val="18"/>
          <w:lang w:val="en-US"/>
        </w:rPr>
        <w:t>space.</w:t>
      </w:r>
      <w:r w:rsidRPr="005B557C">
        <w:rPr>
          <w:i/>
          <w:iCs/>
          <w:sz w:val="20"/>
          <w:szCs w:val="18"/>
          <w:lang w:val="en-US"/>
        </w:rPr>
        <w:t xml:space="preserve"> </w:t>
      </w:r>
      <w:r w:rsidRPr="005B557C">
        <w:rPr>
          <w:sz w:val="20"/>
          <w:szCs w:val="18"/>
          <w:lang w:val="en-US"/>
        </w:rPr>
        <w:t>(</w:t>
      </w:r>
      <w:r>
        <w:rPr>
          <w:sz w:val="20"/>
          <w:szCs w:val="18"/>
          <w:lang w:val="en-US"/>
        </w:rPr>
        <w:t>c</w:t>
      </w:r>
      <w:r w:rsidRPr="005B557C">
        <w:rPr>
          <w:sz w:val="20"/>
          <w:szCs w:val="18"/>
          <w:lang w:val="en-US"/>
        </w:rPr>
        <w:t xml:space="preserve">) - </w:t>
      </w:r>
      <w:r>
        <w:rPr>
          <w:sz w:val="20"/>
          <w:szCs w:val="18"/>
          <w:lang w:val="en-US"/>
        </w:rPr>
        <w:t>Aggregated</w:t>
      </w:r>
      <w:r w:rsidRPr="005B557C">
        <w:rPr>
          <w:sz w:val="20"/>
          <w:szCs w:val="18"/>
          <w:lang w:val="en-US"/>
        </w:rPr>
        <w:t xml:space="preserve"> monthly precipitation </w:t>
      </w:r>
      <w:r>
        <w:rPr>
          <w:sz w:val="20"/>
          <w:szCs w:val="18"/>
          <w:lang w:val="en-US"/>
        </w:rPr>
        <w:t xml:space="preserve">amounts </w:t>
      </w:r>
      <w:r w:rsidRPr="005B557C">
        <w:rPr>
          <w:sz w:val="20"/>
          <w:szCs w:val="18"/>
          <w:lang w:val="en-US"/>
        </w:rPr>
        <w:t>at Rio Claro separated into day and night fraction</w:t>
      </w:r>
      <w:r>
        <w:rPr>
          <w:sz w:val="20"/>
          <w:szCs w:val="18"/>
          <w:lang w:val="en-US"/>
        </w:rPr>
        <w:t>.</w:t>
      </w:r>
      <w:r w:rsidRPr="005B557C">
        <w:rPr>
          <w:sz w:val="20"/>
          <w:szCs w:val="18"/>
          <w:lang w:val="en-US"/>
        </w:rPr>
        <w:t xml:space="preserve"> (</w:t>
      </w:r>
      <w:r>
        <w:rPr>
          <w:sz w:val="20"/>
          <w:szCs w:val="18"/>
          <w:lang w:val="en-US"/>
        </w:rPr>
        <w:t>d</w:t>
      </w:r>
      <w:r w:rsidRPr="005B557C">
        <w:rPr>
          <w:sz w:val="20"/>
          <w:szCs w:val="18"/>
          <w:lang w:val="en-US"/>
        </w:rPr>
        <w:t>) - MERRA-2 outgoing longwave radiation (</w:t>
      </w:r>
      <w:r>
        <w:rPr>
          <w:sz w:val="20"/>
          <w:szCs w:val="18"/>
          <w:lang w:val="en-US"/>
        </w:rPr>
        <w:t xml:space="preserve">monthly averaged </w:t>
      </w:r>
      <w:r w:rsidRPr="005B557C">
        <w:rPr>
          <w:sz w:val="20"/>
          <w:szCs w:val="18"/>
          <w:lang w:val="en-US"/>
        </w:rPr>
        <w:t>daytime and night-time data) (</w:t>
      </w:r>
      <w:r>
        <w:rPr>
          <w:sz w:val="20"/>
          <w:szCs w:val="18"/>
          <w:lang w:val="en-US"/>
        </w:rPr>
        <w:t>e</w:t>
      </w:r>
      <w:r w:rsidRPr="005B557C">
        <w:rPr>
          <w:sz w:val="20"/>
          <w:szCs w:val="18"/>
          <w:lang w:val="en-US"/>
        </w:rPr>
        <w:t xml:space="preserve">) </w:t>
      </w:r>
      <w:r w:rsidRPr="005B557C">
        <w:rPr>
          <w:sz w:val="20"/>
          <w:szCs w:val="20"/>
          <w:lang w:val="en-US"/>
        </w:rPr>
        <w:t xml:space="preserve">- </w:t>
      </w:r>
      <w:r w:rsidRPr="005B557C">
        <w:rPr>
          <w:sz w:val="20"/>
          <w:szCs w:val="20"/>
          <w:lang w:val="en-GB"/>
        </w:rPr>
        <w:t xml:space="preserve">Aqua/AIRS </w:t>
      </w:r>
      <w:r w:rsidRPr="005B557C">
        <w:rPr>
          <w:sz w:val="20"/>
          <w:szCs w:val="20"/>
          <w:lang w:val="en-US"/>
        </w:rPr>
        <w:t>latent heat flux.</w:t>
      </w:r>
    </w:p>
    <w:p w14:paraId="52B21BCB" w14:textId="77777777" w:rsidR="00C01017" w:rsidRPr="00443FFA" w:rsidRDefault="00C01017" w:rsidP="00C01017">
      <w:pPr>
        <w:pStyle w:val="Caption"/>
        <w:jc w:val="left"/>
        <w:rPr>
          <w:rFonts w:cs="Arial"/>
          <w:i w:val="0"/>
          <w:iCs w:val="0"/>
          <w:lang w:val="en-US"/>
        </w:rPr>
        <w:sectPr w:rsidR="00C01017" w:rsidRPr="00443FFA" w:rsidSect="008043D2">
          <w:pgSz w:w="11906" w:h="16838"/>
          <w:pgMar w:top="1701" w:right="1134" w:bottom="1134" w:left="1701" w:header="709" w:footer="709" w:gutter="0"/>
          <w:cols w:space="708"/>
          <w:docGrid w:linePitch="360"/>
        </w:sectPr>
      </w:pPr>
    </w:p>
    <w:p w14:paraId="15E1139D" w14:textId="77777777" w:rsidR="00C01017" w:rsidRDefault="00C01017" w:rsidP="00C01017">
      <w:pPr>
        <w:ind w:firstLine="0"/>
        <w:rPr>
          <w:b/>
          <w:bCs/>
          <w:lang w:val="en-US"/>
        </w:rPr>
      </w:pPr>
    </w:p>
    <w:p w14:paraId="76BA31D8" w14:textId="77777777" w:rsidR="00C01017" w:rsidRDefault="00C01017" w:rsidP="00C01017">
      <w:pPr>
        <w:keepNext/>
        <w:ind w:firstLine="0"/>
        <w:jc w:val="center"/>
      </w:pPr>
      <w:r>
        <w:rPr>
          <w:noProof/>
          <w:lang w:val="en-GB" w:eastAsia="en-GB"/>
        </w:rPr>
        <w:drawing>
          <wp:inline distT="0" distB="0" distL="0" distR="0" wp14:anchorId="35FE3BCC" wp14:editId="7548BE79">
            <wp:extent cx="5760085" cy="4074160"/>
            <wp:effectExtent l="0" t="0" r="0" b="2540"/>
            <wp:docPr id="8" name="Imagem 8" descr="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Mapa&#10;&#10;Descrição gerad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085" cy="4074160"/>
                    </a:xfrm>
                    <a:prstGeom prst="rect">
                      <a:avLst/>
                    </a:prstGeom>
                    <a:noFill/>
                    <a:ln>
                      <a:noFill/>
                    </a:ln>
                  </pic:spPr>
                </pic:pic>
              </a:graphicData>
            </a:graphic>
          </wp:inline>
        </w:drawing>
      </w:r>
    </w:p>
    <w:p w14:paraId="60171411" w14:textId="77777777" w:rsidR="00C01017" w:rsidRPr="00403C2F" w:rsidRDefault="00C01017" w:rsidP="00C01017">
      <w:pPr>
        <w:pStyle w:val="Caption"/>
        <w:jc w:val="center"/>
        <w:rPr>
          <w:i w:val="0"/>
          <w:iCs w:val="0"/>
          <w:sz w:val="20"/>
          <w:szCs w:val="20"/>
          <w:lang w:val="en-US"/>
        </w:rPr>
      </w:pPr>
      <w:r w:rsidRPr="00403C2F">
        <w:rPr>
          <w:b/>
          <w:bCs/>
          <w:i w:val="0"/>
          <w:iCs w:val="0"/>
          <w:sz w:val="20"/>
          <w:szCs w:val="20"/>
          <w:lang w:val="en-US"/>
        </w:rPr>
        <w:t>Figure 2</w:t>
      </w:r>
      <w:r>
        <w:rPr>
          <w:b/>
          <w:bCs/>
          <w:i w:val="0"/>
          <w:iCs w:val="0"/>
          <w:sz w:val="20"/>
          <w:szCs w:val="20"/>
          <w:lang w:val="en-US"/>
        </w:rPr>
        <w:t xml:space="preserve"> </w:t>
      </w:r>
      <w:r w:rsidRPr="00403C2F">
        <w:rPr>
          <w:b/>
          <w:bCs/>
          <w:i w:val="0"/>
          <w:iCs w:val="0"/>
          <w:sz w:val="20"/>
          <w:szCs w:val="20"/>
          <w:lang w:val="en-US"/>
        </w:rPr>
        <w:t>S</w:t>
      </w:r>
      <w:r>
        <w:rPr>
          <w:b/>
          <w:bCs/>
          <w:i w:val="0"/>
          <w:iCs w:val="0"/>
          <w:sz w:val="20"/>
          <w:szCs w:val="20"/>
          <w:lang w:val="en-US"/>
        </w:rPr>
        <w:t>M</w:t>
      </w:r>
      <w:r w:rsidRPr="00403C2F">
        <w:rPr>
          <w:i w:val="0"/>
          <w:iCs w:val="0"/>
          <w:sz w:val="20"/>
          <w:szCs w:val="20"/>
          <w:lang w:val="en-US"/>
        </w:rPr>
        <w:t xml:space="preserve"> Regional moisture transport by ERA-5 vertical integral of eastward water vapor flux combined with HYSPLIT origin from Amazon (a) Atlantic Ocean (b) and Southwest Brazil (c) for the days when the convective rain events occurred, and MERRA-2 outgoing longwave radiation between 2019 and 2021 during summer (d), autumn (e) and spring (f). The position of the names indicates the origin of HYSPLIT trajectories. Positive values indicate that moisture vapor flux occurs from left to right, and negative values from right to left. Lower OLR values indicate higher convective activity.</w:t>
      </w:r>
    </w:p>
    <w:p w14:paraId="7069BFE4" w14:textId="77777777" w:rsidR="00C01017" w:rsidRDefault="00C01017" w:rsidP="00C01017">
      <w:pPr>
        <w:ind w:firstLine="0"/>
        <w:rPr>
          <w:b/>
          <w:bCs/>
          <w:lang w:val="en-US"/>
        </w:rPr>
      </w:pPr>
    </w:p>
    <w:p w14:paraId="23F3875D" w14:textId="77777777" w:rsidR="00C01017" w:rsidRDefault="00C01017" w:rsidP="00C01017">
      <w:pPr>
        <w:keepNext/>
        <w:ind w:firstLine="0"/>
        <w:jc w:val="center"/>
      </w:pPr>
      <w:r>
        <w:rPr>
          <w:noProof/>
          <w:lang w:val="en-GB" w:eastAsia="en-GB"/>
        </w:rPr>
        <w:lastRenderedPageBreak/>
        <w:drawing>
          <wp:inline distT="0" distB="0" distL="0" distR="0" wp14:anchorId="02C01F19" wp14:editId="1F75AE5E">
            <wp:extent cx="5760085" cy="2996565"/>
            <wp:effectExtent l="0" t="0" r="0" b="0"/>
            <wp:docPr id="6" name="Imagem 6"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Gráfico, Histograma&#10;&#10;Descrição gerada automaticamen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085" cy="2996565"/>
                    </a:xfrm>
                    <a:prstGeom prst="rect">
                      <a:avLst/>
                    </a:prstGeom>
                    <a:noFill/>
                    <a:ln>
                      <a:noFill/>
                    </a:ln>
                  </pic:spPr>
                </pic:pic>
              </a:graphicData>
            </a:graphic>
          </wp:inline>
        </w:drawing>
      </w:r>
    </w:p>
    <w:p w14:paraId="509CC63D" w14:textId="77777777" w:rsidR="00C01017" w:rsidRPr="00403C2F" w:rsidRDefault="00C01017" w:rsidP="00C01017">
      <w:pPr>
        <w:pStyle w:val="Caption"/>
        <w:jc w:val="center"/>
        <w:rPr>
          <w:b/>
          <w:bCs/>
          <w:i w:val="0"/>
          <w:iCs w:val="0"/>
          <w:sz w:val="20"/>
          <w:szCs w:val="20"/>
          <w:lang w:val="en-US"/>
        </w:rPr>
      </w:pPr>
      <w:r w:rsidRPr="00403C2F">
        <w:rPr>
          <w:b/>
          <w:bCs/>
          <w:i w:val="0"/>
          <w:iCs w:val="0"/>
          <w:sz w:val="20"/>
          <w:szCs w:val="20"/>
          <w:lang w:val="en-US"/>
        </w:rPr>
        <w:t>Figure 3</w:t>
      </w:r>
      <w:r>
        <w:rPr>
          <w:b/>
          <w:bCs/>
          <w:i w:val="0"/>
          <w:iCs w:val="0"/>
          <w:sz w:val="20"/>
          <w:szCs w:val="20"/>
          <w:lang w:val="en-US"/>
        </w:rPr>
        <w:t xml:space="preserve"> </w:t>
      </w:r>
      <w:r w:rsidRPr="00403C2F">
        <w:rPr>
          <w:b/>
          <w:bCs/>
          <w:i w:val="0"/>
          <w:iCs w:val="0"/>
          <w:sz w:val="20"/>
          <w:szCs w:val="20"/>
          <w:lang w:val="en-US"/>
        </w:rPr>
        <w:t>S</w:t>
      </w:r>
      <w:r>
        <w:rPr>
          <w:b/>
          <w:bCs/>
          <w:i w:val="0"/>
          <w:iCs w:val="0"/>
          <w:sz w:val="20"/>
          <w:szCs w:val="20"/>
          <w:lang w:val="en-US"/>
        </w:rPr>
        <w:t>M</w:t>
      </w:r>
      <w:r w:rsidRPr="00403C2F">
        <w:rPr>
          <w:b/>
          <w:bCs/>
          <w:i w:val="0"/>
          <w:iCs w:val="0"/>
          <w:sz w:val="20"/>
          <w:szCs w:val="20"/>
          <w:lang w:val="en-US"/>
        </w:rPr>
        <w:t>.</w:t>
      </w:r>
      <w:r w:rsidRPr="00403C2F">
        <w:rPr>
          <w:i w:val="0"/>
          <w:iCs w:val="0"/>
          <w:sz w:val="20"/>
          <w:szCs w:val="20"/>
          <w:lang w:val="en-US"/>
        </w:rPr>
        <w:t xml:space="preserve"> Rainfall intensity by HYSPLIT backward trajectories (240 hours) related to the moisture origin (see figure 1b) for all </w:t>
      </w:r>
      <w:r>
        <w:rPr>
          <w:i w:val="0"/>
          <w:iCs w:val="0"/>
          <w:sz w:val="20"/>
          <w:szCs w:val="20"/>
          <w:lang w:val="en-US"/>
        </w:rPr>
        <w:t xml:space="preserve">convective </w:t>
      </w:r>
      <w:r w:rsidRPr="00403C2F">
        <w:rPr>
          <w:i w:val="0"/>
          <w:iCs w:val="0"/>
          <w:sz w:val="20"/>
          <w:szCs w:val="20"/>
          <w:lang w:val="en-US"/>
        </w:rPr>
        <w:t>events analyzed in this study. The Amazon trajectories reveal quasi-continuous rainout during pathway of moist air masses over Amazon Basin down to the collection site at Rio Claro.</w:t>
      </w:r>
    </w:p>
    <w:p w14:paraId="6BB0A6DA" w14:textId="77777777" w:rsidR="00E1715D" w:rsidRDefault="00C01017"/>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017"/>
    <w:rsid w:val="001942F0"/>
    <w:rsid w:val="002C0857"/>
    <w:rsid w:val="003F01F8"/>
    <w:rsid w:val="00884728"/>
    <w:rsid w:val="008E2845"/>
    <w:rsid w:val="00C01017"/>
    <w:rsid w:val="00D00B5E"/>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E7C09"/>
  <w15:chartTrackingRefBased/>
  <w15:docId w15:val="{AABCFF44-561F-4917-BE31-AE33C69DA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017"/>
    <w:pPr>
      <w:widowControl w:val="0"/>
      <w:spacing w:after="0" w:line="360" w:lineRule="auto"/>
      <w:ind w:firstLine="709"/>
      <w:jc w:val="both"/>
    </w:pPr>
    <w:rPr>
      <w:rFonts w:ascii="Arial" w:eastAsia="Calibri" w:hAnsi="Arial" w:cs="Times New Roman"/>
      <w:sz w:val="24"/>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C01017"/>
    <w:pPr>
      <w:widowControl/>
      <w:spacing w:line="240" w:lineRule="auto"/>
      <w:ind w:firstLine="0"/>
    </w:pPr>
    <w:rPr>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231</Words>
  <Characters>1318</Characters>
  <Application>Microsoft Office Word</Application>
  <DocSecurity>0</DocSecurity>
  <Lines>10</Lines>
  <Paragraphs>3</Paragraphs>
  <ScaleCrop>false</ScaleCrop>
  <Company>Springer Nature</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2023-01-16T21:34:00Z</dcterms:created>
  <dcterms:modified xsi:type="dcterms:W3CDTF">2023-01-16T21:35:00Z</dcterms:modified>
</cp:coreProperties>
</file>