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01E4" w14:textId="46324551" w:rsidR="00CC5C16" w:rsidRPr="0033649F" w:rsidRDefault="00400AA4" w:rsidP="00400AA4">
      <w:pPr>
        <w:spacing w:after="120"/>
        <w:rPr>
          <w:rFonts w:ascii="Times New Roman" w:hAnsi="Times New Roman"/>
          <w:b/>
          <w:sz w:val="24"/>
          <w:szCs w:val="24"/>
        </w:rPr>
      </w:pPr>
      <w:r w:rsidRPr="0033649F">
        <w:rPr>
          <w:rFonts w:ascii="Times New Roman" w:hAnsi="Times New Roman"/>
          <w:b/>
          <w:sz w:val="24"/>
          <w:szCs w:val="24"/>
        </w:rPr>
        <w:t xml:space="preserve">         </w:t>
      </w:r>
      <w:r w:rsidR="002433CD" w:rsidRPr="0033649F">
        <w:rPr>
          <w:rFonts w:ascii="Times New Roman" w:hAnsi="Times New Roman"/>
          <w:b/>
          <w:sz w:val="24"/>
          <w:szCs w:val="24"/>
        </w:rPr>
        <w:t xml:space="preserve">Supplementary </w:t>
      </w:r>
      <w:r w:rsidR="000814C3" w:rsidRPr="0033649F">
        <w:rPr>
          <w:rFonts w:ascii="Times New Roman" w:hAnsi="Times New Roman"/>
          <w:b/>
          <w:sz w:val="24"/>
          <w:szCs w:val="24"/>
        </w:rPr>
        <w:t>Table</w:t>
      </w:r>
      <w:r w:rsidR="00842E19" w:rsidRPr="0033649F">
        <w:rPr>
          <w:rFonts w:ascii="Times New Roman" w:hAnsi="Times New Roman"/>
          <w:b/>
          <w:sz w:val="24"/>
          <w:szCs w:val="24"/>
        </w:rPr>
        <w:t xml:space="preserve"> </w:t>
      </w:r>
      <w:r w:rsidR="002433CD" w:rsidRPr="0033649F">
        <w:rPr>
          <w:rFonts w:ascii="Times New Roman" w:hAnsi="Times New Roman"/>
          <w:b/>
          <w:sz w:val="24"/>
          <w:szCs w:val="24"/>
        </w:rPr>
        <w:t>1</w:t>
      </w:r>
      <w:r w:rsidR="00D124A7" w:rsidRPr="0033649F">
        <w:rPr>
          <w:rFonts w:ascii="Times New Roman" w:hAnsi="Times New Roman"/>
          <w:b/>
          <w:sz w:val="24"/>
          <w:szCs w:val="24"/>
        </w:rPr>
        <w:t xml:space="preserve">: </w:t>
      </w:r>
      <w:r w:rsidR="00842E19" w:rsidRPr="0033649F">
        <w:rPr>
          <w:rFonts w:ascii="Times New Roman" w:hAnsi="Times New Roman"/>
          <w:b/>
          <w:sz w:val="24"/>
          <w:szCs w:val="24"/>
        </w:rPr>
        <w:t>A</w:t>
      </w:r>
      <w:r w:rsidR="00320BAC" w:rsidRPr="0033649F">
        <w:rPr>
          <w:rFonts w:ascii="Times New Roman" w:hAnsi="Times New Roman"/>
          <w:b/>
          <w:sz w:val="24"/>
          <w:szCs w:val="24"/>
        </w:rPr>
        <w:t>dverse e</w:t>
      </w:r>
      <w:r w:rsidR="00960A06" w:rsidRPr="0033649F">
        <w:rPr>
          <w:rFonts w:ascii="Times New Roman" w:hAnsi="Times New Roman"/>
          <w:b/>
          <w:sz w:val="24"/>
          <w:szCs w:val="24"/>
        </w:rPr>
        <w:t>vents</w:t>
      </w:r>
      <w:r w:rsidR="00923CB8" w:rsidRPr="0033649F">
        <w:rPr>
          <w:rFonts w:ascii="Times New Roman" w:hAnsi="Times New Roman"/>
          <w:b/>
          <w:sz w:val="24"/>
          <w:szCs w:val="24"/>
        </w:rPr>
        <w:t xml:space="preserve"> </w:t>
      </w:r>
      <w:r w:rsidR="001F2EDB" w:rsidRPr="0033649F">
        <w:rPr>
          <w:rFonts w:ascii="Times New Roman" w:hAnsi="Times New Roman"/>
          <w:b/>
          <w:sz w:val="24"/>
          <w:szCs w:val="24"/>
        </w:rPr>
        <w:t>within</w:t>
      </w:r>
      <w:r w:rsidR="00320BAC" w:rsidRPr="0033649F">
        <w:rPr>
          <w:rFonts w:ascii="Times New Roman" w:hAnsi="Times New Roman"/>
          <w:b/>
          <w:sz w:val="24"/>
          <w:szCs w:val="24"/>
        </w:rPr>
        <w:t xml:space="preserve"> the first 6 weeks</w:t>
      </w:r>
      <w:r w:rsidR="00923CB8" w:rsidRPr="0033649F">
        <w:rPr>
          <w:rFonts w:ascii="Times New Roman" w:hAnsi="Times New Roman"/>
          <w:b/>
          <w:sz w:val="24"/>
          <w:szCs w:val="24"/>
        </w:rPr>
        <w:t xml:space="preserve"> post HER2</w:t>
      </w:r>
      <w:r w:rsidR="00842E19" w:rsidRPr="0033649F">
        <w:rPr>
          <w:rFonts w:ascii="Times New Roman" w:hAnsi="Times New Roman"/>
          <w:b/>
          <w:sz w:val="24"/>
          <w:szCs w:val="24"/>
        </w:rPr>
        <w:t>-CAR</w:t>
      </w:r>
      <w:r w:rsidR="00923CB8" w:rsidRPr="0033649F">
        <w:rPr>
          <w:rFonts w:ascii="Times New Roman" w:hAnsi="Times New Roman"/>
          <w:b/>
          <w:sz w:val="24"/>
          <w:szCs w:val="24"/>
        </w:rPr>
        <w:t>T</w:t>
      </w:r>
      <w:r w:rsidR="00320BAC" w:rsidRPr="0033649F">
        <w:rPr>
          <w:rFonts w:ascii="Times New Roman" w:hAnsi="Times New Roman"/>
          <w:b/>
          <w:sz w:val="24"/>
          <w:szCs w:val="24"/>
        </w:rPr>
        <w:t xml:space="preserve"> i</w:t>
      </w:r>
      <w:r w:rsidR="00960A06" w:rsidRPr="0033649F">
        <w:rPr>
          <w:rFonts w:ascii="Times New Roman" w:hAnsi="Times New Roman"/>
          <w:b/>
          <w:sz w:val="24"/>
          <w:szCs w:val="24"/>
        </w:rPr>
        <w:t>nfusion</w:t>
      </w:r>
    </w:p>
    <w:tbl>
      <w:tblPr>
        <w:tblStyle w:val="TableGrid"/>
        <w:tblW w:w="0" w:type="auto"/>
        <w:tblInd w:w="447" w:type="dxa"/>
        <w:tblLook w:val="04A0" w:firstRow="1" w:lastRow="0" w:firstColumn="1" w:lastColumn="0" w:noHBand="0" w:noVBand="1"/>
      </w:tblPr>
      <w:tblGrid>
        <w:gridCol w:w="3330"/>
        <w:gridCol w:w="1080"/>
        <w:gridCol w:w="1080"/>
        <w:gridCol w:w="1080"/>
        <w:gridCol w:w="1080"/>
        <w:gridCol w:w="1080"/>
        <w:gridCol w:w="1165"/>
      </w:tblGrid>
      <w:tr w:rsidR="00F510BD" w14:paraId="1E03E672" w14:textId="77777777" w:rsidTr="00F510BD">
        <w:tc>
          <w:tcPr>
            <w:tcW w:w="3330" w:type="dxa"/>
            <w:vMerge w:val="restart"/>
            <w:vAlign w:val="center"/>
          </w:tcPr>
          <w:p w14:paraId="7F109D5F" w14:textId="4D4CDF9D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Adverse Event</w:t>
            </w:r>
          </w:p>
        </w:tc>
        <w:tc>
          <w:tcPr>
            <w:tcW w:w="2160" w:type="dxa"/>
            <w:gridSpan w:val="2"/>
          </w:tcPr>
          <w:p w14:paraId="2BFA376F" w14:textId="4B484CDB" w:rsidR="00F510BD" w:rsidRDefault="00390E4A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Cohort </w:t>
            </w:r>
            <w:r w:rsidR="00F510B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7533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334D" w:rsidRPr="00DF6362">
              <w:rPr>
                <w:rFonts w:ascii="Times New Roman" w:hAnsi="Times New Roman"/>
                <w:sz w:val="20"/>
                <w:szCs w:val="20"/>
              </w:rPr>
              <w:t>(n=3)</w:t>
            </w:r>
          </w:p>
        </w:tc>
        <w:tc>
          <w:tcPr>
            <w:tcW w:w="2160" w:type="dxa"/>
            <w:gridSpan w:val="2"/>
          </w:tcPr>
          <w:p w14:paraId="1CD49F60" w14:textId="2FB94E24" w:rsidR="00F510BD" w:rsidRDefault="00390E4A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Cohort </w:t>
            </w:r>
            <w:r w:rsidR="00F510BD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="007533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334D" w:rsidRPr="00DF6362">
              <w:rPr>
                <w:rFonts w:ascii="Times New Roman" w:hAnsi="Times New Roman"/>
                <w:sz w:val="20"/>
                <w:szCs w:val="20"/>
              </w:rPr>
              <w:t>(n=9)</w:t>
            </w:r>
          </w:p>
        </w:tc>
        <w:tc>
          <w:tcPr>
            <w:tcW w:w="2245" w:type="dxa"/>
            <w:gridSpan w:val="2"/>
          </w:tcPr>
          <w:p w14:paraId="3ADBD194" w14:textId="72F79A16" w:rsidR="00F510BD" w:rsidRDefault="00390E4A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Cohort </w:t>
            </w:r>
            <w:r w:rsidR="00F510BD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7533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334D" w:rsidRPr="00DF6362">
              <w:rPr>
                <w:rFonts w:ascii="Times New Roman" w:hAnsi="Times New Roman"/>
                <w:sz w:val="20"/>
                <w:szCs w:val="20"/>
              </w:rPr>
              <w:t>(n=2)</w:t>
            </w:r>
          </w:p>
        </w:tc>
      </w:tr>
      <w:tr w:rsidR="00F510BD" w14:paraId="0124E1C4" w14:textId="77777777" w:rsidTr="00F510BD">
        <w:tc>
          <w:tcPr>
            <w:tcW w:w="3330" w:type="dxa"/>
            <w:vMerge/>
          </w:tcPr>
          <w:p w14:paraId="16AC686D" w14:textId="77777777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2EDC3C" w14:textId="29497916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 1-2</w:t>
            </w:r>
          </w:p>
        </w:tc>
        <w:tc>
          <w:tcPr>
            <w:tcW w:w="1080" w:type="dxa"/>
          </w:tcPr>
          <w:p w14:paraId="73C3E44D" w14:textId="52870960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 3-4</w:t>
            </w:r>
          </w:p>
        </w:tc>
        <w:tc>
          <w:tcPr>
            <w:tcW w:w="1080" w:type="dxa"/>
          </w:tcPr>
          <w:p w14:paraId="3D1A5D93" w14:textId="681D7EA3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 1-2</w:t>
            </w:r>
          </w:p>
        </w:tc>
        <w:tc>
          <w:tcPr>
            <w:tcW w:w="1080" w:type="dxa"/>
          </w:tcPr>
          <w:p w14:paraId="3784B721" w14:textId="4E902362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 3-4</w:t>
            </w:r>
          </w:p>
        </w:tc>
        <w:tc>
          <w:tcPr>
            <w:tcW w:w="1080" w:type="dxa"/>
          </w:tcPr>
          <w:p w14:paraId="797247F3" w14:textId="09BE7B5F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 1-2</w:t>
            </w:r>
          </w:p>
        </w:tc>
        <w:tc>
          <w:tcPr>
            <w:tcW w:w="1165" w:type="dxa"/>
          </w:tcPr>
          <w:p w14:paraId="303F22C0" w14:textId="6B8F98EA" w:rsidR="00F510BD" w:rsidRDefault="00F510BD" w:rsidP="00F510BD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Grade 3-4</w:t>
            </w:r>
          </w:p>
        </w:tc>
      </w:tr>
      <w:tr w:rsidR="00F75929" w14:paraId="79E73340" w14:textId="77777777" w:rsidTr="00E853B9">
        <w:trPr>
          <w:trHeight w:val="881"/>
        </w:trPr>
        <w:tc>
          <w:tcPr>
            <w:tcW w:w="3330" w:type="dxa"/>
          </w:tcPr>
          <w:p w14:paraId="5A074480" w14:textId="7CB94603" w:rsidR="00F75929" w:rsidRPr="00ED2672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2672">
              <w:rPr>
                <w:rFonts w:ascii="Times New Roman" w:hAnsi="Times New Roman"/>
                <w:b/>
                <w:sz w:val="18"/>
                <w:szCs w:val="18"/>
              </w:rPr>
              <w:t xml:space="preserve">Hematological </w:t>
            </w:r>
          </w:p>
          <w:p w14:paraId="63DBB944" w14:textId="77777777" w:rsidR="00F75929" w:rsidRPr="00ED2672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672">
              <w:rPr>
                <w:rFonts w:ascii="Times New Roman" w:hAnsi="Times New Roman"/>
                <w:bCs/>
                <w:sz w:val="18"/>
                <w:szCs w:val="18"/>
              </w:rPr>
              <w:t>Anemia</w:t>
            </w:r>
          </w:p>
          <w:p w14:paraId="7F5F4C93" w14:textId="77777777" w:rsidR="00F75929" w:rsidRPr="00ED2672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672">
              <w:rPr>
                <w:rFonts w:ascii="Times New Roman" w:hAnsi="Times New Roman"/>
                <w:bCs/>
                <w:sz w:val="18"/>
                <w:szCs w:val="18"/>
              </w:rPr>
              <w:t>Neutropenia</w:t>
            </w:r>
          </w:p>
          <w:p w14:paraId="0609B2AB" w14:textId="16115FC4" w:rsidR="00F75929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ED2672">
              <w:rPr>
                <w:rFonts w:ascii="Times New Roman" w:hAnsi="Times New Roman"/>
                <w:bCs/>
                <w:sz w:val="18"/>
                <w:szCs w:val="18"/>
              </w:rPr>
              <w:t>Lymphopenia</w:t>
            </w:r>
          </w:p>
          <w:p w14:paraId="161EB95B" w14:textId="77777777" w:rsidR="004538FA" w:rsidRDefault="00E853B9" w:rsidP="004538FA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Thrombocytopenia </w:t>
            </w:r>
          </w:p>
          <w:p w14:paraId="7EF5D0A6" w14:textId="5C1C4635" w:rsidR="00F75929" w:rsidRPr="004538FA" w:rsidRDefault="004538FA" w:rsidP="004538FA">
            <w:pPr>
              <w:spacing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Leukopenia</w:t>
            </w:r>
            <w:r w:rsidR="00E853B9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</w:tcPr>
          <w:p w14:paraId="6084DE9E" w14:textId="77777777" w:rsidR="00F75929" w:rsidRPr="004538FA" w:rsidRDefault="00F75929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97D3B6" w14:textId="07920426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</w:t>
            </w:r>
            <w:r w:rsidR="00E6282E" w:rsidRPr="00E6282E">
              <w:rPr>
                <w:rFonts w:ascii="Times New Roman" w:hAnsi="Times New Roman"/>
                <w:sz w:val="16"/>
                <w:szCs w:val="16"/>
              </w:rPr>
              <w:t>*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 xml:space="preserve"> (0)</w:t>
            </w:r>
            <w:r w:rsidR="00E6282E" w:rsidRPr="00E6282E">
              <w:rPr>
                <w:rFonts w:ascii="Times New Roman" w:hAnsi="Times New Roman"/>
                <w:sz w:val="16"/>
                <w:szCs w:val="16"/>
              </w:rPr>
              <w:t>**</w:t>
            </w:r>
          </w:p>
          <w:p w14:paraId="3EEF937E" w14:textId="059D95A3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1 (0)</w:t>
            </w:r>
          </w:p>
          <w:p w14:paraId="23F4963F" w14:textId="34959B78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38460AE" w14:textId="77777777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1 (0)</w:t>
            </w:r>
          </w:p>
          <w:p w14:paraId="37527634" w14:textId="666D38CB" w:rsidR="004538FA" w:rsidRPr="004538FA" w:rsidRDefault="004538FA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2 (0)</w:t>
            </w:r>
          </w:p>
        </w:tc>
        <w:tc>
          <w:tcPr>
            <w:tcW w:w="1080" w:type="dxa"/>
          </w:tcPr>
          <w:p w14:paraId="58E537EC" w14:textId="78D25AA5" w:rsidR="005450E3" w:rsidRPr="004538FA" w:rsidRDefault="005450E3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41C60D" w14:textId="254C7334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F0695A1" w14:textId="0660106E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C8208DF" w14:textId="6E0DA152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3 (0)</w:t>
            </w:r>
          </w:p>
          <w:p w14:paraId="24540979" w14:textId="77777777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18D7EAE" w14:textId="182D5A84" w:rsidR="004538FA" w:rsidRPr="004538FA" w:rsidRDefault="004538FA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1 (0)</w:t>
            </w:r>
          </w:p>
        </w:tc>
        <w:tc>
          <w:tcPr>
            <w:tcW w:w="1080" w:type="dxa"/>
          </w:tcPr>
          <w:p w14:paraId="7EA9F73A" w14:textId="6E6145A7" w:rsidR="00F75929" w:rsidRPr="004538FA" w:rsidRDefault="00F75929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BA19AC" w14:textId="1FAA75FF" w:rsidR="00FC6986" w:rsidRPr="004538FA" w:rsidRDefault="00375EEC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6986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CA39374" w14:textId="4C319FF7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23CE446" w14:textId="492C8686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30DC7F5" w14:textId="77777777" w:rsidR="00FC6986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4 (0)</w:t>
            </w:r>
          </w:p>
          <w:p w14:paraId="5C41D896" w14:textId="438900A7" w:rsidR="000F173D" w:rsidRPr="004538FA" w:rsidRDefault="000F173D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61041713" w14:textId="77777777" w:rsidR="00F75929" w:rsidRPr="004538FA" w:rsidRDefault="00F75929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59C82D" w14:textId="6AC29B86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3 (0)</w:t>
            </w:r>
          </w:p>
          <w:p w14:paraId="22E19515" w14:textId="697D6BC9" w:rsidR="00FC6986" w:rsidRPr="004538FA" w:rsidRDefault="00375EEC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6986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29FCCC2" w14:textId="0B9CE80C" w:rsidR="00FC6986" w:rsidRPr="004538FA" w:rsidRDefault="00066852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6986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984A9F6" w14:textId="77777777" w:rsidR="00FC6986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1 (0)</w:t>
            </w:r>
          </w:p>
          <w:p w14:paraId="651EEA9A" w14:textId="1D7EC8A9" w:rsidR="000F173D" w:rsidRPr="004538FA" w:rsidRDefault="00375EEC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="000F173D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34E4769C" w14:textId="77777777" w:rsidR="00F75929" w:rsidRPr="004538FA" w:rsidRDefault="00F75929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5E781F" w14:textId="766CE6CE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2BC3E89" w14:textId="779513E4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E25454C" w14:textId="1CC221ED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4CD0CAE" w14:textId="77777777" w:rsidR="00FC6986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1 (0)</w:t>
            </w:r>
          </w:p>
          <w:p w14:paraId="6E1AF64D" w14:textId="04CA1BEE" w:rsidR="000F173D" w:rsidRPr="004538FA" w:rsidRDefault="000F173D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165" w:type="dxa"/>
          </w:tcPr>
          <w:p w14:paraId="24B6D8D4" w14:textId="77777777" w:rsidR="00F75929" w:rsidRPr="004538FA" w:rsidRDefault="00F75929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B0D9B6" w14:textId="2BDD14E3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B1B161E" w14:textId="04187FC3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2 (0)</w:t>
            </w:r>
          </w:p>
          <w:p w14:paraId="44A06F18" w14:textId="40F2C13E" w:rsidR="00FC6986" w:rsidRPr="004538FA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2 (0)</w:t>
            </w:r>
          </w:p>
          <w:p w14:paraId="552B6F7F" w14:textId="77777777" w:rsidR="00FC6986" w:rsidRDefault="00FC6986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B67D871" w14:textId="6C41CD5F" w:rsidR="000F173D" w:rsidRPr="004538FA" w:rsidRDefault="000F173D" w:rsidP="00453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</w:tr>
      <w:tr w:rsidR="00F75929" w14:paraId="1073949D" w14:textId="77777777" w:rsidTr="00F510BD">
        <w:tc>
          <w:tcPr>
            <w:tcW w:w="3330" w:type="dxa"/>
          </w:tcPr>
          <w:p w14:paraId="5E1D9498" w14:textId="6ABFEB08" w:rsidR="00F75929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Respiratory </w:t>
            </w:r>
          </w:p>
          <w:p w14:paraId="2FDA7E63" w14:textId="2423687D" w:rsidR="00F75929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FC4B9E">
              <w:rPr>
                <w:rFonts w:ascii="Times New Roman" w:hAnsi="Times New Roman"/>
                <w:bCs/>
                <w:sz w:val="18"/>
                <w:szCs w:val="18"/>
              </w:rPr>
              <w:t xml:space="preserve">Cough </w:t>
            </w:r>
          </w:p>
          <w:p w14:paraId="38339E04" w14:textId="3AC5D1BF" w:rsidR="00E853B9" w:rsidRDefault="00213CDB" w:rsidP="00E853B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Dyspnea</w:t>
            </w:r>
          </w:p>
          <w:p w14:paraId="23B376EB" w14:textId="09B27E6C" w:rsidR="00E853B9" w:rsidRDefault="00E853B9" w:rsidP="00E853B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Tachypnea</w:t>
            </w:r>
          </w:p>
          <w:p w14:paraId="6C99E253" w14:textId="77777777" w:rsidR="00E853B9" w:rsidRDefault="00E853B9" w:rsidP="00E853B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Hypoxia</w:t>
            </w:r>
          </w:p>
          <w:p w14:paraId="0ABD51FA" w14:textId="3B99BA06" w:rsidR="00E853B9" w:rsidRDefault="00E853B9" w:rsidP="00E853B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Respiratory failure  </w:t>
            </w:r>
          </w:p>
          <w:p w14:paraId="138247AF" w14:textId="347844EE" w:rsidR="00DD2087" w:rsidRDefault="00DD2087" w:rsidP="00E853B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Hypercapnia</w:t>
            </w:r>
          </w:p>
          <w:p w14:paraId="35A6140A" w14:textId="2BA241A6" w:rsidR="00F75929" w:rsidRPr="00E853B9" w:rsidRDefault="00E853B9" w:rsidP="00E853B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14:paraId="06C3E110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FF8DA3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A0C6F28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4C4531F" w14:textId="06CCDE8E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F2FB15C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65904F0F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F5B8BCA" w14:textId="6C35E982" w:rsidR="00DD2087" w:rsidRPr="00213CDB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080" w:type="dxa"/>
          </w:tcPr>
          <w:p w14:paraId="20A16E54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E94AE9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F653E78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296C773" w14:textId="4C00C796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7C282E5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05FE655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60E9B27" w14:textId="5A143833" w:rsidR="00DD2087" w:rsidRPr="00213CDB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080" w:type="dxa"/>
          </w:tcPr>
          <w:p w14:paraId="5FD03584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F8AC64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6A1C38CE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63FDE5A" w14:textId="54E98AD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0DA91F81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6B8CC4EA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962E7AE" w14:textId="126B27EB" w:rsidR="00DD2087" w:rsidRPr="00213CDB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080" w:type="dxa"/>
          </w:tcPr>
          <w:p w14:paraId="78D6AA31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0BDDCA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DE46DF4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1264CEA4" w14:textId="57E4B7E6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BA1526B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1E50706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25EE71D" w14:textId="0A4B4660" w:rsidR="00DD2087" w:rsidRPr="00213CDB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080" w:type="dxa"/>
          </w:tcPr>
          <w:p w14:paraId="0834486E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75D7DE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1134924E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51FB7409" w14:textId="739473AC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63B9CAC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5E027F94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5DD50266" w14:textId="20E52E21" w:rsidR="00DD2087" w:rsidRPr="00213CDB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165" w:type="dxa"/>
          </w:tcPr>
          <w:p w14:paraId="16D9035C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510D0E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16F96CC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4C9AAE54" w14:textId="5F0837A4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BC57BEC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69C9E06F" w14:textId="77777777" w:rsidR="00DD2087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4FC9EC1A" w14:textId="2EFC7C9E" w:rsidR="00DD2087" w:rsidRPr="00213CDB" w:rsidRDefault="00DD2087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</w:tc>
      </w:tr>
      <w:tr w:rsidR="00F75929" w14:paraId="14B94D01" w14:textId="77777777" w:rsidTr="00F510BD">
        <w:tc>
          <w:tcPr>
            <w:tcW w:w="3330" w:type="dxa"/>
          </w:tcPr>
          <w:p w14:paraId="6F12C7B1" w14:textId="3F4A6784" w:rsidR="00F75929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Cardi</w:t>
            </w:r>
            <w:r w:rsidR="00E853B9">
              <w:rPr>
                <w:rFonts w:ascii="Times New Roman" w:hAnsi="Times New Roman"/>
                <w:b/>
                <w:sz w:val="18"/>
                <w:szCs w:val="18"/>
              </w:rPr>
              <w:t>ovascular</w:t>
            </w:r>
          </w:p>
          <w:p w14:paraId="33B8AC1E" w14:textId="2471FB09" w:rsidR="00E853B9" w:rsidRDefault="00273E75" w:rsidP="00ED271B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Sinus T</w:t>
            </w:r>
            <w:r w:rsidR="00F75929" w:rsidRPr="00FC4B9E">
              <w:rPr>
                <w:rFonts w:ascii="Times New Roman" w:hAnsi="Times New Roman"/>
                <w:bCs/>
                <w:sz w:val="18"/>
                <w:szCs w:val="18"/>
              </w:rPr>
              <w:t>achycardia</w:t>
            </w:r>
          </w:p>
          <w:p w14:paraId="43B85811" w14:textId="01A1F0BD" w:rsidR="00DD2087" w:rsidRDefault="00DD2087" w:rsidP="00ED271B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Hypertension</w:t>
            </w:r>
          </w:p>
          <w:p w14:paraId="3C9D3B88" w14:textId="5F26A8AE" w:rsidR="00DD2087" w:rsidRDefault="00DD2087" w:rsidP="00ED271B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Hypotension</w:t>
            </w:r>
          </w:p>
          <w:p w14:paraId="3D19057B" w14:textId="594B7813" w:rsidR="00ED271B" w:rsidRPr="00ED271B" w:rsidRDefault="00ED271B" w:rsidP="00ED271B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90EB40" w14:textId="77777777" w:rsidR="00F75929" w:rsidRPr="00ED271B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4D5DF3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4312EE8E" w14:textId="77777777" w:rsid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3F40D3D" w14:textId="48568A8A" w:rsidR="00DD2087" w:rsidRP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74AF3166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596E2F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3A0C544" w14:textId="77777777" w:rsid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4AC9090" w14:textId="3EC2CD51" w:rsidR="00DD2087" w:rsidRP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</w:tc>
        <w:tc>
          <w:tcPr>
            <w:tcW w:w="1080" w:type="dxa"/>
          </w:tcPr>
          <w:p w14:paraId="79B21ACD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344391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31AEFB47" w14:textId="77777777" w:rsid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2B32AF05" w14:textId="6972CF3D" w:rsidR="00DD2087" w:rsidRP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</w:tc>
        <w:tc>
          <w:tcPr>
            <w:tcW w:w="1080" w:type="dxa"/>
          </w:tcPr>
          <w:p w14:paraId="089F0CD9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D8D956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983E752" w14:textId="77777777" w:rsid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27109F6" w14:textId="144E0F3B" w:rsidR="00DD2087" w:rsidRP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439A5852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0DEEFA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693D3568" w14:textId="77777777" w:rsid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5981694" w14:textId="6C36CE5D" w:rsidR="00DD2087" w:rsidRP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165" w:type="dxa"/>
          </w:tcPr>
          <w:p w14:paraId="4C502047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F570A5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11FDD363" w14:textId="77777777" w:rsid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6A72167" w14:textId="112328D5" w:rsidR="00DD2087" w:rsidRPr="00ED271B" w:rsidRDefault="00DD2087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</w:tc>
      </w:tr>
      <w:tr w:rsidR="00F75929" w14:paraId="45726DBD" w14:textId="77777777" w:rsidTr="00F510BD">
        <w:tc>
          <w:tcPr>
            <w:tcW w:w="3330" w:type="dxa"/>
          </w:tcPr>
          <w:p w14:paraId="32068503" w14:textId="7CB3241D" w:rsidR="00F75929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General </w:t>
            </w:r>
          </w:p>
          <w:p w14:paraId="6D5EAEF3" w14:textId="7754102E" w:rsidR="00ED271B" w:rsidRDefault="00ED271B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Chills</w:t>
            </w:r>
          </w:p>
          <w:p w14:paraId="3F299038" w14:textId="273668C9" w:rsidR="00F75929" w:rsidRPr="00901D87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D87">
              <w:rPr>
                <w:rFonts w:ascii="Times New Roman" w:hAnsi="Times New Roman"/>
                <w:bCs/>
                <w:sz w:val="18"/>
                <w:szCs w:val="18"/>
              </w:rPr>
              <w:t>Fever</w:t>
            </w:r>
          </w:p>
          <w:p w14:paraId="388E7CCD" w14:textId="0C2C7797" w:rsidR="00F75929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D87">
              <w:rPr>
                <w:rFonts w:ascii="Times New Roman" w:hAnsi="Times New Roman"/>
                <w:bCs/>
                <w:sz w:val="18"/>
                <w:szCs w:val="18"/>
              </w:rPr>
              <w:t>Fatigue</w:t>
            </w:r>
          </w:p>
          <w:p w14:paraId="125EBD10" w14:textId="77777777" w:rsidR="00F75929" w:rsidRDefault="00E853B9" w:rsidP="00F52BB4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Malaise</w:t>
            </w:r>
          </w:p>
          <w:p w14:paraId="13D97C23" w14:textId="0F30051A" w:rsidR="00F52BB4" w:rsidRDefault="00F52BB4" w:rsidP="003C29E0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Non-cardiac chest pai</w:t>
            </w:r>
            <w:r w:rsidR="003C29E0">
              <w:rPr>
                <w:rFonts w:ascii="Times New Roman" w:hAnsi="Times New Roman"/>
                <w:bCs/>
                <w:sz w:val="18"/>
                <w:szCs w:val="18"/>
              </w:rPr>
              <w:t>n</w:t>
            </w:r>
          </w:p>
          <w:p w14:paraId="0937669E" w14:textId="77777777" w:rsidR="003C29E0" w:rsidRDefault="003C29E0" w:rsidP="00213CDB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Pain</w:t>
            </w:r>
          </w:p>
          <w:p w14:paraId="7E31651C" w14:textId="77777777" w:rsidR="00213CDB" w:rsidRDefault="00213CDB" w:rsidP="00213CDB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Back pain</w:t>
            </w:r>
          </w:p>
          <w:p w14:paraId="7A985BE6" w14:textId="77777777" w:rsidR="00213CDB" w:rsidRDefault="00213CDB" w:rsidP="00441E8E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Myalgia</w:t>
            </w:r>
          </w:p>
          <w:p w14:paraId="0EE58BA9" w14:textId="77777777" w:rsidR="00441E8E" w:rsidRDefault="00441E8E" w:rsidP="00441E8E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Anorexia</w:t>
            </w:r>
          </w:p>
          <w:p w14:paraId="23CBD803" w14:textId="515BEF94" w:rsidR="00441E8E" w:rsidRPr="003C29E0" w:rsidRDefault="00441E8E" w:rsidP="00213CDB">
            <w:pPr>
              <w:spacing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Generalized muscle weakness</w:t>
            </w:r>
          </w:p>
        </w:tc>
        <w:tc>
          <w:tcPr>
            <w:tcW w:w="1080" w:type="dxa"/>
          </w:tcPr>
          <w:p w14:paraId="1631E569" w14:textId="4C2DBA0D" w:rsidR="00F75929" w:rsidRPr="00ED271B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BB1401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715A057" w14:textId="3E0F1ADB" w:rsidR="00CF5FB6" w:rsidRDefault="00EE54F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  <w:p w14:paraId="26ACEBF0" w14:textId="77777777" w:rsidR="00CF5FB6" w:rsidRDefault="00CF5FB6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3E121DB6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1D15C68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E258D21" w14:textId="77777777" w:rsidR="003C29E0" w:rsidRDefault="003C29E0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5E0C986F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7ABD40B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1(1)</w:t>
            </w:r>
          </w:p>
          <w:p w14:paraId="51764773" w14:textId="77777777" w:rsidR="00441E8E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E2AAADA" w14:textId="419FD9B9" w:rsidR="00441E8E" w:rsidRPr="00ED271B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6738A8B8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DBF7E0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0AC6690" w14:textId="763EA0F2" w:rsidR="00CF5FB6" w:rsidRDefault="002F7F93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03B9004" w14:textId="77777777" w:rsidR="00CF5FB6" w:rsidRDefault="00CF5FB6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5C5A981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9FA67BA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D0557D8" w14:textId="77777777" w:rsidR="003C29E0" w:rsidRDefault="003C29E0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7F5F14E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5EE0D063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FC480FC" w14:textId="77777777" w:rsidR="00441E8E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5E95D24" w14:textId="60953C08" w:rsidR="00441E8E" w:rsidRPr="00ED271B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06B7C4D0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20690E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21CA1012" w14:textId="1B98FEB2" w:rsidR="00CF5FB6" w:rsidRDefault="00375EEC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="002F7F9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2F7F93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8B2795C" w14:textId="576FC502" w:rsidR="00CF5FB6" w:rsidRDefault="00375EEC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CF5FB6">
              <w:rPr>
                <w:rFonts w:ascii="Times New Roman" w:hAnsi="Times New Roman"/>
                <w:sz w:val="18"/>
                <w:szCs w:val="18"/>
              </w:rPr>
              <w:t>(1)</w:t>
            </w:r>
          </w:p>
          <w:p w14:paraId="112D9ABF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53FF39D9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  <w:p w14:paraId="40A81A6C" w14:textId="77777777" w:rsidR="003C29E0" w:rsidRDefault="003C29E0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C2CADB6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84DE327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BF6E3E3" w14:textId="77777777" w:rsidR="00441E8E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4A6EFCB" w14:textId="59914977" w:rsidR="00441E8E" w:rsidRPr="00ED271B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5BD18A6B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290A28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27DE80E" w14:textId="0D69819E" w:rsidR="00CF5FB6" w:rsidRDefault="002F7F93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A37C4FB" w14:textId="77777777" w:rsidR="00CF5FB6" w:rsidRDefault="00CF5FB6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EDBBEB2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EE7D59F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3A00868" w14:textId="77777777" w:rsidR="003C29E0" w:rsidRDefault="003C29E0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496F692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99A666F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0A7C265" w14:textId="77777777" w:rsidR="00441E8E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349FDB0" w14:textId="0ED95617" w:rsidR="00441E8E" w:rsidRPr="00ED271B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203F78FD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C9CF89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  <w:p w14:paraId="5C0BDA3D" w14:textId="40E178ED" w:rsidR="00CF5FB6" w:rsidRDefault="002F7F93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15F049BF" w14:textId="77777777" w:rsidR="00CF5FB6" w:rsidRDefault="00CF5FB6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  <w:p w14:paraId="34FBCB9B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64E046B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3BDF3D7" w14:textId="77777777" w:rsidR="003C29E0" w:rsidRDefault="003C29E0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5A257EF7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1D60E5F0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D73EB00" w14:textId="77777777" w:rsidR="00441E8E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8961298" w14:textId="776C3DCC" w:rsidR="00441E8E" w:rsidRPr="00ED271B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165" w:type="dxa"/>
          </w:tcPr>
          <w:p w14:paraId="5E2AC301" w14:textId="77777777" w:rsidR="00F75929" w:rsidRDefault="00F75929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348831" w14:textId="77777777" w:rsidR="00ED271B" w:rsidRDefault="00ED271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A27E38C" w14:textId="09952EF3" w:rsidR="00CF5FB6" w:rsidRDefault="002F7F93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79CCE157" w14:textId="77777777" w:rsidR="00CF5FB6" w:rsidRDefault="00CF5FB6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8F045DC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7F1FB86" w14:textId="77777777" w:rsidR="00F52BB4" w:rsidRDefault="00F52BB4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5AEA718F" w14:textId="77777777" w:rsidR="003C29E0" w:rsidRDefault="003C29E0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5B5C6DA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6492EDC" w14:textId="77777777" w:rsidR="00213CDB" w:rsidRDefault="00213CDB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333666C" w14:textId="77777777" w:rsidR="00441E8E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05419E6" w14:textId="15ED2FA7" w:rsidR="00441E8E" w:rsidRPr="00ED271B" w:rsidRDefault="00441E8E" w:rsidP="00ED27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</w:tr>
      <w:tr w:rsidR="00F75929" w14:paraId="4C5BAA55" w14:textId="77777777" w:rsidTr="00F510BD">
        <w:tc>
          <w:tcPr>
            <w:tcW w:w="3330" w:type="dxa"/>
          </w:tcPr>
          <w:p w14:paraId="0CFBEC25" w14:textId="23C75E51" w:rsidR="00F75929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Gastrointestinal </w:t>
            </w:r>
          </w:p>
          <w:p w14:paraId="379F0B7A" w14:textId="77777777" w:rsidR="00F75929" w:rsidRPr="00F9133D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F9133D">
              <w:rPr>
                <w:rFonts w:ascii="Times New Roman" w:hAnsi="Times New Roman"/>
                <w:bCs/>
                <w:sz w:val="18"/>
                <w:szCs w:val="18"/>
              </w:rPr>
              <w:t>Nausea</w:t>
            </w:r>
          </w:p>
          <w:p w14:paraId="6B881E76" w14:textId="29C1BDD8" w:rsidR="00F75929" w:rsidRDefault="00F75929" w:rsidP="00F7592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F9133D">
              <w:rPr>
                <w:rFonts w:ascii="Times New Roman" w:hAnsi="Times New Roman"/>
                <w:bCs/>
                <w:sz w:val="18"/>
                <w:szCs w:val="18"/>
              </w:rPr>
              <w:t>Vomiting</w:t>
            </w:r>
          </w:p>
          <w:p w14:paraId="51E8B5B0" w14:textId="4D9008E6" w:rsidR="004538FA" w:rsidRPr="0079203E" w:rsidRDefault="004538FA" w:rsidP="0079203E">
            <w:pPr>
              <w:spacing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Mucositis, oral</w:t>
            </w:r>
          </w:p>
        </w:tc>
        <w:tc>
          <w:tcPr>
            <w:tcW w:w="1080" w:type="dxa"/>
          </w:tcPr>
          <w:p w14:paraId="3BCB6BDC" w14:textId="77777777" w:rsidR="00F75929" w:rsidRDefault="00F75929" w:rsidP="00273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0C5B81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DD0743E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78F0C75" w14:textId="29B4092F" w:rsidR="0079203E" w:rsidRPr="004538FA" w:rsidRDefault="0079203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75889253" w14:textId="77777777" w:rsidR="00F75929" w:rsidRPr="004538FA" w:rsidRDefault="00F75929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FB586" w14:textId="1FFDD8E4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</w:t>
            </w:r>
            <w:r w:rsidR="008E40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E408F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11D1767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5DDD771" w14:textId="0FA4A779" w:rsidR="0079203E" w:rsidRPr="004538FA" w:rsidRDefault="0079203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4A94AB39" w14:textId="77777777" w:rsidR="00F75929" w:rsidRPr="004538FA" w:rsidRDefault="00F75929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A752E5" w14:textId="75E5CF77" w:rsidR="004538FA" w:rsidRDefault="00375EEC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38FA" w:rsidRPr="004538FA">
              <w:rPr>
                <w:rFonts w:ascii="Times New Roman" w:hAnsi="Times New Roman"/>
                <w:sz w:val="18"/>
                <w:szCs w:val="18"/>
              </w:rPr>
              <w:t>(1)</w:t>
            </w:r>
          </w:p>
          <w:p w14:paraId="4AB7D0BF" w14:textId="77777777" w:rsidR="004538FA" w:rsidRDefault="00365DD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(0)</w:t>
            </w:r>
          </w:p>
          <w:p w14:paraId="5A9EFC51" w14:textId="779CC4F2" w:rsidR="0079203E" w:rsidRPr="004538FA" w:rsidRDefault="0079203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07D29491" w14:textId="77777777" w:rsidR="00F75929" w:rsidRDefault="00F75929" w:rsidP="00273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E5FCA1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DC21544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042896B" w14:textId="206D76CE" w:rsidR="0079203E" w:rsidRPr="004538FA" w:rsidRDefault="0079203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2E69D41B" w14:textId="77777777" w:rsidR="00F75929" w:rsidRDefault="00F75929" w:rsidP="00273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F70040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2 (1)</w:t>
            </w:r>
          </w:p>
          <w:p w14:paraId="44D8DA01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39E871E" w14:textId="3F321CCE" w:rsidR="0079203E" w:rsidRPr="004538FA" w:rsidRDefault="0079203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165" w:type="dxa"/>
          </w:tcPr>
          <w:p w14:paraId="041EFDD7" w14:textId="77777777" w:rsidR="00F75929" w:rsidRDefault="00F75929" w:rsidP="00273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B63042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8FA"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78EF2BEC" w14:textId="77777777" w:rsidR="004538FA" w:rsidRDefault="004538FA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3B25B0B" w14:textId="342D2ED7" w:rsidR="0079203E" w:rsidRPr="004538FA" w:rsidRDefault="0079203E" w:rsidP="00273E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</w:tr>
      <w:tr w:rsidR="00F75929" w14:paraId="33B7A451" w14:textId="77777777" w:rsidTr="00F510BD">
        <w:tc>
          <w:tcPr>
            <w:tcW w:w="3330" w:type="dxa"/>
          </w:tcPr>
          <w:p w14:paraId="4CE1F727" w14:textId="49DE23E8" w:rsidR="00F75929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</w:t>
            </w:r>
            <w:r w:rsidR="00E853B9">
              <w:rPr>
                <w:rFonts w:ascii="Times New Roman" w:hAnsi="Times New Roman"/>
                <w:b/>
                <w:sz w:val="18"/>
                <w:szCs w:val="18"/>
              </w:rPr>
              <w:t>urological</w:t>
            </w:r>
          </w:p>
          <w:p w14:paraId="275772AC" w14:textId="77777777" w:rsidR="002F7F93" w:rsidRDefault="00F75929" w:rsidP="00F52BB4">
            <w:pPr>
              <w:spacing w:after="0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F8787F">
              <w:rPr>
                <w:rFonts w:ascii="Times New Roman" w:hAnsi="Times New Roman"/>
                <w:bCs/>
                <w:sz w:val="18"/>
                <w:szCs w:val="18"/>
              </w:rPr>
              <w:t>Headach</w:t>
            </w:r>
            <w:r w:rsidR="002F7F93">
              <w:rPr>
                <w:rFonts w:ascii="Times New Roman" w:hAnsi="Times New Roman"/>
                <w:bCs/>
                <w:sz w:val="18"/>
                <w:szCs w:val="18"/>
              </w:rPr>
              <w:t>e</w:t>
            </w:r>
          </w:p>
          <w:p w14:paraId="2E519E6A" w14:textId="77777777" w:rsidR="00213CDB" w:rsidRDefault="00213CDB" w:rsidP="00213CDB">
            <w:pPr>
              <w:spacing w:after="0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Dizziness</w:t>
            </w:r>
          </w:p>
          <w:p w14:paraId="0F788E1A" w14:textId="77777777" w:rsidR="00213CDB" w:rsidRDefault="00213CDB" w:rsidP="00441E8E">
            <w:pPr>
              <w:spacing w:after="0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Tremor</w:t>
            </w:r>
          </w:p>
          <w:p w14:paraId="0E5FED9C" w14:textId="77777777" w:rsidR="00441E8E" w:rsidRDefault="00441E8E" w:rsidP="00441E8E">
            <w:pPr>
              <w:spacing w:after="0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Presyncope</w:t>
            </w:r>
          </w:p>
          <w:p w14:paraId="73A269F3" w14:textId="2BED26E4" w:rsidR="00441E8E" w:rsidRPr="002F7F93" w:rsidRDefault="00441E8E" w:rsidP="00213CDB">
            <w:pPr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Confusion</w:t>
            </w:r>
          </w:p>
        </w:tc>
        <w:tc>
          <w:tcPr>
            <w:tcW w:w="1080" w:type="dxa"/>
          </w:tcPr>
          <w:p w14:paraId="5CB0F339" w14:textId="77777777" w:rsidR="00F75929" w:rsidRDefault="00F75929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AF5A78" w14:textId="77777777" w:rsidR="002F7F93" w:rsidRDefault="002F7F93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2D6F7177" w14:textId="77777777" w:rsidR="002F7F93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BFB9087" w14:textId="77777777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B39175D" w14:textId="77777777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8C77EC5" w14:textId="2841FDAA" w:rsidR="00441E8E" w:rsidRPr="002F7F93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5499C6FD" w14:textId="77777777" w:rsidR="00F75929" w:rsidRDefault="00F75929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225869" w14:textId="77777777" w:rsidR="002F7F93" w:rsidRDefault="002F7F93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25CFA3EA" w14:textId="77777777" w:rsidR="002F7F93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54AFBC8" w14:textId="77777777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B26575B" w14:textId="77777777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8573032" w14:textId="48F20949" w:rsidR="00441E8E" w:rsidRPr="002F7F93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4B549F45" w14:textId="77777777" w:rsidR="00F75929" w:rsidRDefault="00F75929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B0E29C" w14:textId="0C54FE19" w:rsidR="002F7F93" w:rsidRDefault="00066852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2F7F93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986D9E1" w14:textId="125FB626" w:rsidR="00213CDB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213CDB">
              <w:rPr>
                <w:rFonts w:ascii="Times New Roman" w:hAnsi="Times New Roman"/>
                <w:sz w:val="18"/>
                <w:szCs w:val="18"/>
              </w:rPr>
              <w:t>(1)</w:t>
            </w:r>
          </w:p>
          <w:p w14:paraId="1641E6BC" w14:textId="5CCBD986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(1)</w:t>
            </w:r>
          </w:p>
          <w:p w14:paraId="1364CCE3" w14:textId="085B1D73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A8575C8" w14:textId="5D044B8D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3E0C5D5" w14:textId="4C4F4F0E" w:rsidR="005F13EA" w:rsidRPr="002F7F93" w:rsidRDefault="005F13EA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8613AD" w14:textId="77777777" w:rsidR="00F75929" w:rsidRDefault="00F75929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FCDC3E" w14:textId="41A8C7AD" w:rsidR="00F52BB4" w:rsidRDefault="00F52BB4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3010B9F" w14:textId="6A6E8587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2D058474" w14:textId="45E7F5A2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EC71E8B" w14:textId="08D34E85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D78062E" w14:textId="7091DF96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11243CA" w14:textId="6AC3EBB6" w:rsidR="00F52BB4" w:rsidRPr="002F7F93" w:rsidRDefault="00F52BB4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C9563E" w14:textId="77777777" w:rsidR="00F75929" w:rsidRDefault="00F75929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1C18B9" w14:textId="39C2DEEC" w:rsidR="00F52BB4" w:rsidRDefault="00F52BB4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3EECA9F" w14:textId="7ADFE2CA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18C1038B" w14:textId="77777777" w:rsidR="00F52BB4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2CA8D193" w14:textId="77777777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4BF53D5" w14:textId="693298ED" w:rsidR="00441E8E" w:rsidRPr="002F7F93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165" w:type="dxa"/>
          </w:tcPr>
          <w:p w14:paraId="674B3A48" w14:textId="77777777" w:rsidR="00F75929" w:rsidRDefault="00F75929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4015A0" w14:textId="7A0C65F3" w:rsidR="00F52BB4" w:rsidRDefault="00F52BB4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8B0242C" w14:textId="2868806E" w:rsidR="00213CDB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3FF993B" w14:textId="77777777" w:rsidR="00F52BB4" w:rsidRDefault="00213CDB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08367F2F" w14:textId="77777777" w:rsidR="00441E8E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AFFD5BE" w14:textId="2DB9F63B" w:rsidR="00441E8E" w:rsidRPr="002F7F93" w:rsidRDefault="00441E8E" w:rsidP="002F7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</w:tr>
      <w:tr w:rsidR="00F75929" w14:paraId="7E32457E" w14:textId="77777777" w:rsidTr="00F510BD">
        <w:tc>
          <w:tcPr>
            <w:tcW w:w="3330" w:type="dxa"/>
          </w:tcPr>
          <w:p w14:paraId="2F5D6AAB" w14:textId="600B3BFC" w:rsidR="00F75929" w:rsidRDefault="00F75929" w:rsidP="00F759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Metabolic, Renal and Others</w:t>
            </w:r>
          </w:p>
          <w:p w14:paraId="2A09262A" w14:textId="7944E704" w:rsidR="002A1CE9" w:rsidRPr="002A1CE9" w:rsidRDefault="002A1CE9" w:rsidP="002A1CE9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CE9">
              <w:rPr>
                <w:rFonts w:ascii="Times New Roman" w:hAnsi="Times New Roman"/>
                <w:bCs/>
                <w:sz w:val="18"/>
                <w:szCs w:val="18"/>
              </w:rPr>
              <w:t>Elevated creatinine</w:t>
            </w:r>
          </w:p>
          <w:p w14:paraId="68DCA402" w14:textId="4F967D24" w:rsidR="00F72994" w:rsidRDefault="002A1CE9" w:rsidP="00F72994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CE9">
              <w:rPr>
                <w:rFonts w:ascii="Times New Roman" w:hAnsi="Times New Roman"/>
                <w:bCs/>
                <w:sz w:val="18"/>
                <w:szCs w:val="18"/>
              </w:rPr>
              <w:t>Electrolyte abnormalities</w:t>
            </w:r>
          </w:p>
          <w:p w14:paraId="5B4BB46E" w14:textId="10F490A2" w:rsidR="00441E8E" w:rsidRDefault="00441E8E" w:rsidP="00F72994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Hypermagnesemia</w:t>
            </w:r>
          </w:p>
          <w:p w14:paraId="115D53EC" w14:textId="20F0B955" w:rsidR="00441E8E" w:rsidRDefault="00441E8E" w:rsidP="00F72994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Hypomagnesemia</w:t>
            </w:r>
          </w:p>
          <w:p w14:paraId="4E02BD55" w14:textId="013A4ACD" w:rsidR="00441E8E" w:rsidRDefault="00441E8E" w:rsidP="00441E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Hypocalcemia</w:t>
            </w:r>
          </w:p>
          <w:p w14:paraId="34543F43" w14:textId="570636DF" w:rsidR="00441E8E" w:rsidRDefault="00441E8E" w:rsidP="00441E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Hypokalemia</w:t>
            </w:r>
          </w:p>
          <w:p w14:paraId="2473F4FC" w14:textId="63604BEF" w:rsidR="00441E8E" w:rsidRDefault="00441E8E" w:rsidP="00441E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Hyponatremia</w:t>
            </w:r>
          </w:p>
          <w:p w14:paraId="27306AA8" w14:textId="77777777" w:rsidR="00F72994" w:rsidRDefault="003C29E0" w:rsidP="00065785">
            <w:pPr>
              <w:spacing w:after="0"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Increased aspartate aminotransferase</w:t>
            </w:r>
          </w:p>
          <w:p w14:paraId="7FDCA76D" w14:textId="57BC385E" w:rsidR="00065785" w:rsidRPr="00F72994" w:rsidRDefault="00065785" w:rsidP="00F72994">
            <w:pPr>
              <w:spacing w:line="240" w:lineRule="auto"/>
              <w:ind w:left="288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Increased alanine aminotransferase</w:t>
            </w:r>
          </w:p>
        </w:tc>
        <w:tc>
          <w:tcPr>
            <w:tcW w:w="1080" w:type="dxa"/>
          </w:tcPr>
          <w:p w14:paraId="62B92FE4" w14:textId="1BCF3B1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1AA2EA" w14:textId="1D78BD05" w:rsidR="00213CDB" w:rsidRDefault="00CD5601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26B5441" w14:textId="77777777" w:rsidR="00441E8E" w:rsidRDefault="00441E8E" w:rsidP="00441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2FC357" w14:textId="7A8C2963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A51762D" w14:textId="1D68187C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2E14377" w14:textId="01AF1D2D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6889866" w14:textId="43D55B8A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8825488" w14:textId="11C20F77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4E86BB1" w14:textId="714B8035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4F0FEDFE" w14:textId="3D718F6E" w:rsidR="00065785" w:rsidRP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(0)</w:t>
            </w:r>
          </w:p>
        </w:tc>
        <w:tc>
          <w:tcPr>
            <w:tcW w:w="1080" w:type="dxa"/>
          </w:tcPr>
          <w:p w14:paraId="3E3565EF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595CBD" w14:textId="3BF827D5" w:rsidR="00213CDB" w:rsidRDefault="00CD5601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8F0F2CC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107733" w14:textId="6E1CAAC1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B2538E2" w14:textId="3D801A39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2A6FFE1" w14:textId="35FEF4E8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4458B53" w14:textId="6B2590D3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E90A5FD" w14:textId="5CD80465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4395D24" w14:textId="0AFEDDD3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312A0A9B" w14:textId="77B6E61F" w:rsidR="00065785" w:rsidRP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31C48A89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9A80D0" w14:textId="29D9A04B" w:rsidR="00213CDB" w:rsidRDefault="00CD5601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4515B09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D4B11B" w14:textId="6521BEE7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066B101" w14:textId="2BC763C5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ECDA209" w14:textId="36EBB200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783AC3C" w14:textId="58A505D6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F0C1505" w14:textId="33A4ADEB" w:rsidR="00441E8E" w:rsidRDefault="00375EEC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="00441E8E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2EAAB6C6" w14:textId="31734ADF" w:rsid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213CDB">
              <w:rPr>
                <w:rFonts w:ascii="Times New Roman" w:hAnsi="Times New Roman"/>
                <w:sz w:val="18"/>
                <w:szCs w:val="18"/>
              </w:rPr>
              <w:t xml:space="preserve"> (1)</w:t>
            </w:r>
          </w:p>
          <w:p w14:paraId="34E5B447" w14:textId="4FB0E9FC" w:rsidR="00065785" w:rsidRPr="00213CDB" w:rsidRDefault="00066852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065785"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106B2003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F05E5B" w14:textId="1CE723C2" w:rsidR="00213CDB" w:rsidRDefault="00CD5601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42D8E04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DB2EF9" w14:textId="5AA595E2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83D8E0F" w14:textId="1B4B35AA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7B9C62CC" w14:textId="0B18803F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F20E8D1" w14:textId="4DDDC2BA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477D5403" w14:textId="1CF03746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F7D4EF7" w14:textId="7C9050EB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B41C4B5" w14:textId="254B0FE8" w:rsidR="00065785" w:rsidRP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54B670D6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A5D962" w14:textId="6A539108" w:rsidR="00213CDB" w:rsidRDefault="00CD5601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922D850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55EF67" w14:textId="4A8B21AE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C61D003" w14:textId="309A4306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8DFDA2B" w14:textId="548DBD11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C705225" w14:textId="5DE03399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EA07F3C" w14:textId="78EF0955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6BF3F08C" w14:textId="5C0C4ADA" w:rsid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13CDB">
              <w:rPr>
                <w:rFonts w:ascii="Times New Roman" w:hAnsi="Times New Roman"/>
                <w:sz w:val="18"/>
                <w:szCs w:val="18"/>
              </w:rPr>
              <w:t xml:space="preserve"> (1)</w:t>
            </w:r>
          </w:p>
          <w:p w14:paraId="55244771" w14:textId="08602CF0" w:rsidR="00065785" w:rsidRP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165" w:type="dxa"/>
          </w:tcPr>
          <w:p w14:paraId="43C76F03" w14:textId="77777777" w:rsidR="00F75929" w:rsidRDefault="00F75929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B417B5" w14:textId="22EFCBA8" w:rsidR="00213CDB" w:rsidRDefault="00CD5601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528AC4B9" w14:textId="77777777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12B420" w14:textId="5697ECE6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D65B2A0" w14:textId="290A0D5B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54CC83C" w14:textId="5C9B1083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3C0FE583" w14:textId="7D286545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06871758" w14:textId="0545E9CF" w:rsidR="00441E8E" w:rsidRDefault="00441E8E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  <w:p w14:paraId="1EF183B5" w14:textId="48E4A47C" w:rsidR="00213CDB" w:rsidRDefault="00213CD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  <w:p w14:paraId="6BD5A545" w14:textId="32566822" w:rsidR="00065785" w:rsidRPr="00213CDB" w:rsidRDefault="00065785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</w:tr>
      <w:tr w:rsidR="00F75929" w14:paraId="133E42F2" w14:textId="77777777" w:rsidTr="00F510BD">
        <w:tc>
          <w:tcPr>
            <w:tcW w:w="3330" w:type="dxa"/>
          </w:tcPr>
          <w:p w14:paraId="3F68534D" w14:textId="2DD1FBBD" w:rsidR="00F75929" w:rsidRDefault="00F75929" w:rsidP="00F7592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Cytokine Release Syndrome (CRS)</w:t>
            </w:r>
          </w:p>
        </w:tc>
        <w:tc>
          <w:tcPr>
            <w:tcW w:w="1080" w:type="dxa"/>
          </w:tcPr>
          <w:p w14:paraId="2050814C" w14:textId="373F4500" w:rsidR="00F75929" w:rsidRPr="00213CDB" w:rsidRDefault="00F12CE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</w:tc>
        <w:tc>
          <w:tcPr>
            <w:tcW w:w="1080" w:type="dxa"/>
          </w:tcPr>
          <w:p w14:paraId="4B7D0FA9" w14:textId="1146D32A" w:rsidR="00F75929" w:rsidRPr="00213CDB" w:rsidRDefault="00F12CE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4538FA">
              <w:rPr>
                <w:rFonts w:ascii="Times New Roman" w:hAnsi="Times New Roman"/>
                <w:sz w:val="18"/>
                <w:szCs w:val="18"/>
              </w:rPr>
              <w:t>(0)</w:t>
            </w:r>
          </w:p>
        </w:tc>
        <w:tc>
          <w:tcPr>
            <w:tcW w:w="1080" w:type="dxa"/>
          </w:tcPr>
          <w:p w14:paraId="17CE9213" w14:textId="061D119B" w:rsidR="00F75929" w:rsidRPr="00213CDB" w:rsidRDefault="00375EEC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="00F12CEB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F12CE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6AC6A7E9" w14:textId="50F2F1A9" w:rsidR="00F75929" w:rsidRPr="00213CDB" w:rsidRDefault="00F12CE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080" w:type="dxa"/>
          </w:tcPr>
          <w:p w14:paraId="62247AA5" w14:textId="70CB361C" w:rsidR="00F75929" w:rsidRPr="00213CDB" w:rsidRDefault="00F12CE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 (0)</w:t>
            </w:r>
          </w:p>
        </w:tc>
        <w:tc>
          <w:tcPr>
            <w:tcW w:w="1165" w:type="dxa"/>
          </w:tcPr>
          <w:p w14:paraId="2C820673" w14:textId="21F4E964" w:rsidR="00F75929" w:rsidRPr="00213CDB" w:rsidRDefault="00F12CEB" w:rsidP="00213C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(2)</w:t>
            </w:r>
          </w:p>
        </w:tc>
      </w:tr>
      <w:tr w:rsidR="001912D0" w14:paraId="16A93C42" w14:textId="77777777" w:rsidTr="003C1156">
        <w:tc>
          <w:tcPr>
            <w:tcW w:w="9895" w:type="dxa"/>
            <w:gridSpan w:val="7"/>
          </w:tcPr>
          <w:p w14:paraId="26F7F54B" w14:textId="0D49383B" w:rsidR="001912D0" w:rsidRDefault="002A733F" w:rsidP="002A7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733F">
              <w:rPr>
                <w:rFonts w:ascii="Times New Roman" w:hAnsi="Times New Roman"/>
                <w:sz w:val="16"/>
                <w:szCs w:val="16"/>
              </w:rPr>
              <w:t>*</w:t>
            </w:r>
            <w:r w:rsidR="007E0F51">
              <w:rPr>
                <w:rFonts w:ascii="Times New Roman" w:hAnsi="Times New Roman"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tudy related adverse events</w:t>
            </w:r>
          </w:p>
          <w:p w14:paraId="331A6534" w14:textId="58F45950" w:rsidR="002A733F" w:rsidRDefault="00290117" w:rsidP="002A73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)</w:t>
            </w:r>
            <w:r w:rsidR="002A733F" w:rsidRPr="002A733F">
              <w:rPr>
                <w:rFonts w:ascii="Times New Roman" w:hAnsi="Times New Roman"/>
                <w:sz w:val="16"/>
                <w:szCs w:val="16"/>
              </w:rPr>
              <w:t>**</w:t>
            </w:r>
            <w:r w:rsidR="002A733F">
              <w:rPr>
                <w:rFonts w:ascii="Times New Roman" w:hAnsi="Times New Roman"/>
                <w:sz w:val="18"/>
                <w:szCs w:val="18"/>
              </w:rPr>
              <w:t xml:space="preserve">Adverse events related to the investigational agent </w:t>
            </w:r>
          </w:p>
        </w:tc>
      </w:tr>
    </w:tbl>
    <w:p w14:paraId="623545D2" w14:textId="77777777" w:rsidR="00F510BD" w:rsidRPr="00CD3680" w:rsidRDefault="00F510BD" w:rsidP="00E16979">
      <w:pPr>
        <w:spacing w:after="120"/>
        <w:rPr>
          <w:rFonts w:ascii="Times New Roman" w:hAnsi="Times New Roman"/>
          <w:b/>
          <w:sz w:val="20"/>
          <w:szCs w:val="20"/>
        </w:rPr>
      </w:pPr>
    </w:p>
    <w:sectPr w:rsidR="00F510BD" w:rsidRPr="00CD3680" w:rsidSect="00E16979">
      <w:headerReference w:type="default" r:id="rId8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7DFB" w14:textId="77777777" w:rsidR="00D44FAD" w:rsidRDefault="00D44FAD" w:rsidP="00FA172C">
      <w:pPr>
        <w:spacing w:after="0" w:line="240" w:lineRule="auto"/>
      </w:pPr>
      <w:r>
        <w:separator/>
      </w:r>
    </w:p>
  </w:endnote>
  <w:endnote w:type="continuationSeparator" w:id="0">
    <w:p w14:paraId="7252BCA2" w14:textId="77777777" w:rsidR="00D44FAD" w:rsidRDefault="00D44FAD" w:rsidP="00FA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ambria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CA40" w14:textId="77777777" w:rsidR="00D44FAD" w:rsidRDefault="00D44FAD" w:rsidP="00FA172C">
      <w:pPr>
        <w:spacing w:after="0" w:line="240" w:lineRule="auto"/>
      </w:pPr>
      <w:r>
        <w:separator/>
      </w:r>
    </w:p>
  </w:footnote>
  <w:footnote w:type="continuationSeparator" w:id="0">
    <w:p w14:paraId="47A00E43" w14:textId="77777777" w:rsidR="00D44FAD" w:rsidRDefault="00D44FAD" w:rsidP="00FA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79E4" w14:textId="77777777" w:rsidR="00D904A6" w:rsidRDefault="00D904A6" w:rsidP="00FE597E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0055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105B1"/>
    <w:multiLevelType w:val="hybridMultilevel"/>
    <w:tmpl w:val="F9605B42"/>
    <w:lvl w:ilvl="0" w:tplc="6F06B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085C"/>
    <w:multiLevelType w:val="hybridMultilevel"/>
    <w:tmpl w:val="528088DE"/>
    <w:lvl w:ilvl="0" w:tplc="12747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41980">
    <w:abstractNumId w:val="0"/>
  </w:num>
  <w:num w:numId="2" w16cid:durableId="272978954">
    <w:abstractNumId w:val="2"/>
  </w:num>
  <w:num w:numId="3" w16cid:durableId="156552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6E"/>
    <w:rsid w:val="000064AE"/>
    <w:rsid w:val="000068CD"/>
    <w:rsid w:val="00012712"/>
    <w:rsid w:val="000240DF"/>
    <w:rsid w:val="00041AEE"/>
    <w:rsid w:val="0004559A"/>
    <w:rsid w:val="000473D7"/>
    <w:rsid w:val="00051968"/>
    <w:rsid w:val="00065785"/>
    <w:rsid w:val="00065F9E"/>
    <w:rsid w:val="00066852"/>
    <w:rsid w:val="00072A2B"/>
    <w:rsid w:val="000808E0"/>
    <w:rsid w:val="000814C3"/>
    <w:rsid w:val="0009336E"/>
    <w:rsid w:val="000977B3"/>
    <w:rsid w:val="000C7210"/>
    <w:rsid w:val="000F173D"/>
    <w:rsid w:val="000F536C"/>
    <w:rsid w:val="001023AD"/>
    <w:rsid w:val="001038DE"/>
    <w:rsid w:val="00105BC3"/>
    <w:rsid w:val="001139DE"/>
    <w:rsid w:val="0011621A"/>
    <w:rsid w:val="00120FCD"/>
    <w:rsid w:val="00121DB3"/>
    <w:rsid w:val="00122920"/>
    <w:rsid w:val="00162B78"/>
    <w:rsid w:val="001775BA"/>
    <w:rsid w:val="00181A9A"/>
    <w:rsid w:val="001912D0"/>
    <w:rsid w:val="001921BE"/>
    <w:rsid w:val="00195119"/>
    <w:rsid w:val="001B6D15"/>
    <w:rsid w:val="001D4A43"/>
    <w:rsid w:val="001E0853"/>
    <w:rsid w:val="001E1035"/>
    <w:rsid w:val="001E1D2E"/>
    <w:rsid w:val="001E2EAA"/>
    <w:rsid w:val="001F2EDB"/>
    <w:rsid w:val="001F5F9C"/>
    <w:rsid w:val="002015ED"/>
    <w:rsid w:val="00213CDB"/>
    <w:rsid w:val="00216144"/>
    <w:rsid w:val="002172C5"/>
    <w:rsid w:val="00221EE7"/>
    <w:rsid w:val="00237255"/>
    <w:rsid w:val="002433CD"/>
    <w:rsid w:val="0024416A"/>
    <w:rsid w:val="00251493"/>
    <w:rsid w:val="00266BCA"/>
    <w:rsid w:val="00270210"/>
    <w:rsid w:val="00273361"/>
    <w:rsid w:val="00273E75"/>
    <w:rsid w:val="00290117"/>
    <w:rsid w:val="002A1CE9"/>
    <w:rsid w:val="002A571F"/>
    <w:rsid w:val="002A733F"/>
    <w:rsid w:val="002B7B9F"/>
    <w:rsid w:val="002C0097"/>
    <w:rsid w:val="002C360F"/>
    <w:rsid w:val="002D017A"/>
    <w:rsid w:val="002D3B73"/>
    <w:rsid w:val="002E58C9"/>
    <w:rsid w:val="002F59DB"/>
    <w:rsid w:val="002F7F93"/>
    <w:rsid w:val="00302E00"/>
    <w:rsid w:val="0030423B"/>
    <w:rsid w:val="00304824"/>
    <w:rsid w:val="00304C45"/>
    <w:rsid w:val="00305E25"/>
    <w:rsid w:val="00313E4E"/>
    <w:rsid w:val="003174BE"/>
    <w:rsid w:val="00320106"/>
    <w:rsid w:val="00320BAC"/>
    <w:rsid w:val="0032220F"/>
    <w:rsid w:val="003308A4"/>
    <w:rsid w:val="003356AB"/>
    <w:rsid w:val="0033649F"/>
    <w:rsid w:val="0034003E"/>
    <w:rsid w:val="003426FA"/>
    <w:rsid w:val="003578B2"/>
    <w:rsid w:val="00365D7F"/>
    <w:rsid w:val="00365DDE"/>
    <w:rsid w:val="00375D09"/>
    <w:rsid w:val="00375EEC"/>
    <w:rsid w:val="00381BC3"/>
    <w:rsid w:val="00383AA2"/>
    <w:rsid w:val="00386DBC"/>
    <w:rsid w:val="003902EE"/>
    <w:rsid w:val="00390E4A"/>
    <w:rsid w:val="0039128B"/>
    <w:rsid w:val="003B5505"/>
    <w:rsid w:val="003C29D6"/>
    <w:rsid w:val="003C29E0"/>
    <w:rsid w:val="003C70AE"/>
    <w:rsid w:val="003F5095"/>
    <w:rsid w:val="003F627D"/>
    <w:rsid w:val="00400AA4"/>
    <w:rsid w:val="0041746E"/>
    <w:rsid w:val="00430249"/>
    <w:rsid w:val="00434616"/>
    <w:rsid w:val="004401D5"/>
    <w:rsid w:val="00441E8E"/>
    <w:rsid w:val="004538FA"/>
    <w:rsid w:val="00456C44"/>
    <w:rsid w:val="00462A5A"/>
    <w:rsid w:val="00467511"/>
    <w:rsid w:val="00485982"/>
    <w:rsid w:val="00486258"/>
    <w:rsid w:val="0049651A"/>
    <w:rsid w:val="00497310"/>
    <w:rsid w:val="004B593B"/>
    <w:rsid w:val="004B6EEB"/>
    <w:rsid w:val="004D342C"/>
    <w:rsid w:val="004D451D"/>
    <w:rsid w:val="004E1182"/>
    <w:rsid w:val="004E4238"/>
    <w:rsid w:val="004F2011"/>
    <w:rsid w:val="005009DF"/>
    <w:rsid w:val="00511B10"/>
    <w:rsid w:val="005172CD"/>
    <w:rsid w:val="00523BB8"/>
    <w:rsid w:val="00531035"/>
    <w:rsid w:val="00536CEF"/>
    <w:rsid w:val="0054023F"/>
    <w:rsid w:val="00541A7F"/>
    <w:rsid w:val="00543018"/>
    <w:rsid w:val="005450E3"/>
    <w:rsid w:val="00550926"/>
    <w:rsid w:val="00564B36"/>
    <w:rsid w:val="00565E8F"/>
    <w:rsid w:val="00567EA1"/>
    <w:rsid w:val="00574587"/>
    <w:rsid w:val="005818AB"/>
    <w:rsid w:val="00582E60"/>
    <w:rsid w:val="005A136F"/>
    <w:rsid w:val="005A7931"/>
    <w:rsid w:val="005B0CA2"/>
    <w:rsid w:val="005D05B9"/>
    <w:rsid w:val="005F13EA"/>
    <w:rsid w:val="005F6F35"/>
    <w:rsid w:val="006046E4"/>
    <w:rsid w:val="00610CC4"/>
    <w:rsid w:val="00623060"/>
    <w:rsid w:val="0064571E"/>
    <w:rsid w:val="006475B2"/>
    <w:rsid w:val="00647FDC"/>
    <w:rsid w:val="00661740"/>
    <w:rsid w:val="006764CA"/>
    <w:rsid w:val="00695E9A"/>
    <w:rsid w:val="006B43EA"/>
    <w:rsid w:val="006B57E9"/>
    <w:rsid w:val="006B7481"/>
    <w:rsid w:val="006C1EA4"/>
    <w:rsid w:val="006E1D5F"/>
    <w:rsid w:val="006E46E0"/>
    <w:rsid w:val="006E7F3F"/>
    <w:rsid w:val="006F0997"/>
    <w:rsid w:val="006F12F3"/>
    <w:rsid w:val="00701CB1"/>
    <w:rsid w:val="00720445"/>
    <w:rsid w:val="00735D0D"/>
    <w:rsid w:val="0074217A"/>
    <w:rsid w:val="00746728"/>
    <w:rsid w:val="00747B12"/>
    <w:rsid w:val="007518A7"/>
    <w:rsid w:val="007531C9"/>
    <w:rsid w:val="0075334D"/>
    <w:rsid w:val="00757C32"/>
    <w:rsid w:val="00760DEF"/>
    <w:rsid w:val="00773359"/>
    <w:rsid w:val="00777667"/>
    <w:rsid w:val="0079203E"/>
    <w:rsid w:val="00795818"/>
    <w:rsid w:val="007A1B3B"/>
    <w:rsid w:val="007A585D"/>
    <w:rsid w:val="007A71A9"/>
    <w:rsid w:val="007B3DAE"/>
    <w:rsid w:val="007B7098"/>
    <w:rsid w:val="007C4B7D"/>
    <w:rsid w:val="007D4B91"/>
    <w:rsid w:val="007E0F51"/>
    <w:rsid w:val="007E6DFE"/>
    <w:rsid w:val="007F057A"/>
    <w:rsid w:val="00801383"/>
    <w:rsid w:val="00805038"/>
    <w:rsid w:val="008132C7"/>
    <w:rsid w:val="00817234"/>
    <w:rsid w:val="0082352C"/>
    <w:rsid w:val="00830C38"/>
    <w:rsid w:val="00834D3E"/>
    <w:rsid w:val="008414D2"/>
    <w:rsid w:val="008419E6"/>
    <w:rsid w:val="00842E19"/>
    <w:rsid w:val="0086136F"/>
    <w:rsid w:val="00874093"/>
    <w:rsid w:val="0088187D"/>
    <w:rsid w:val="00882C90"/>
    <w:rsid w:val="00883BF6"/>
    <w:rsid w:val="00892560"/>
    <w:rsid w:val="00897565"/>
    <w:rsid w:val="008A063C"/>
    <w:rsid w:val="008B3CCD"/>
    <w:rsid w:val="008E408F"/>
    <w:rsid w:val="008E6887"/>
    <w:rsid w:val="008F0017"/>
    <w:rsid w:val="008F24FE"/>
    <w:rsid w:val="009000A9"/>
    <w:rsid w:val="009017B2"/>
    <w:rsid w:val="00901D87"/>
    <w:rsid w:val="00902CB0"/>
    <w:rsid w:val="00906CCC"/>
    <w:rsid w:val="00920D46"/>
    <w:rsid w:val="00923CB8"/>
    <w:rsid w:val="0092511A"/>
    <w:rsid w:val="009341E7"/>
    <w:rsid w:val="0094245A"/>
    <w:rsid w:val="00946CF3"/>
    <w:rsid w:val="00953981"/>
    <w:rsid w:val="00957652"/>
    <w:rsid w:val="00960A06"/>
    <w:rsid w:val="00961B10"/>
    <w:rsid w:val="00966F7F"/>
    <w:rsid w:val="00981849"/>
    <w:rsid w:val="009851DC"/>
    <w:rsid w:val="009900F0"/>
    <w:rsid w:val="009B035E"/>
    <w:rsid w:val="009B16BB"/>
    <w:rsid w:val="009B545D"/>
    <w:rsid w:val="009E5D26"/>
    <w:rsid w:val="009F7408"/>
    <w:rsid w:val="00A120EE"/>
    <w:rsid w:val="00A277F9"/>
    <w:rsid w:val="00A372E1"/>
    <w:rsid w:val="00A52DFE"/>
    <w:rsid w:val="00A60F78"/>
    <w:rsid w:val="00A63130"/>
    <w:rsid w:val="00A6411A"/>
    <w:rsid w:val="00A918C7"/>
    <w:rsid w:val="00AA2B0F"/>
    <w:rsid w:val="00AB068E"/>
    <w:rsid w:val="00AC417E"/>
    <w:rsid w:val="00AD033B"/>
    <w:rsid w:val="00AD7753"/>
    <w:rsid w:val="00AF3624"/>
    <w:rsid w:val="00B248C5"/>
    <w:rsid w:val="00B24988"/>
    <w:rsid w:val="00B530FE"/>
    <w:rsid w:val="00B54429"/>
    <w:rsid w:val="00B7241D"/>
    <w:rsid w:val="00B75888"/>
    <w:rsid w:val="00B778C2"/>
    <w:rsid w:val="00B91417"/>
    <w:rsid w:val="00BA1F60"/>
    <w:rsid w:val="00BD1BE3"/>
    <w:rsid w:val="00BE2E14"/>
    <w:rsid w:val="00BE745A"/>
    <w:rsid w:val="00BF0CB1"/>
    <w:rsid w:val="00BF724F"/>
    <w:rsid w:val="00C05702"/>
    <w:rsid w:val="00C131E7"/>
    <w:rsid w:val="00C17BBB"/>
    <w:rsid w:val="00C2001D"/>
    <w:rsid w:val="00C24E43"/>
    <w:rsid w:val="00C31990"/>
    <w:rsid w:val="00C46C93"/>
    <w:rsid w:val="00C51964"/>
    <w:rsid w:val="00C535FB"/>
    <w:rsid w:val="00C626E3"/>
    <w:rsid w:val="00C71F1D"/>
    <w:rsid w:val="00C746EF"/>
    <w:rsid w:val="00C77E35"/>
    <w:rsid w:val="00C8497B"/>
    <w:rsid w:val="00C85BD1"/>
    <w:rsid w:val="00C9093C"/>
    <w:rsid w:val="00CC0F61"/>
    <w:rsid w:val="00CC5C16"/>
    <w:rsid w:val="00CC6998"/>
    <w:rsid w:val="00CD3680"/>
    <w:rsid w:val="00CD5601"/>
    <w:rsid w:val="00CE3544"/>
    <w:rsid w:val="00CE3884"/>
    <w:rsid w:val="00CF12EA"/>
    <w:rsid w:val="00CF4B5A"/>
    <w:rsid w:val="00CF5FB6"/>
    <w:rsid w:val="00CF6C27"/>
    <w:rsid w:val="00D124A7"/>
    <w:rsid w:val="00D14238"/>
    <w:rsid w:val="00D20DD0"/>
    <w:rsid w:val="00D23C58"/>
    <w:rsid w:val="00D44FAD"/>
    <w:rsid w:val="00D51340"/>
    <w:rsid w:val="00D53D76"/>
    <w:rsid w:val="00D55C58"/>
    <w:rsid w:val="00D56096"/>
    <w:rsid w:val="00D71A83"/>
    <w:rsid w:val="00D81D6E"/>
    <w:rsid w:val="00D904A6"/>
    <w:rsid w:val="00D92286"/>
    <w:rsid w:val="00D96D6B"/>
    <w:rsid w:val="00DA2600"/>
    <w:rsid w:val="00DC0A3E"/>
    <w:rsid w:val="00DC33B3"/>
    <w:rsid w:val="00DD2087"/>
    <w:rsid w:val="00DD5858"/>
    <w:rsid w:val="00DE45BD"/>
    <w:rsid w:val="00DE4A64"/>
    <w:rsid w:val="00DE4DCE"/>
    <w:rsid w:val="00DE766F"/>
    <w:rsid w:val="00DE7D65"/>
    <w:rsid w:val="00DF169C"/>
    <w:rsid w:val="00DF3608"/>
    <w:rsid w:val="00DF6362"/>
    <w:rsid w:val="00E05380"/>
    <w:rsid w:val="00E05FA8"/>
    <w:rsid w:val="00E1317B"/>
    <w:rsid w:val="00E16979"/>
    <w:rsid w:val="00E208A4"/>
    <w:rsid w:val="00E33D8B"/>
    <w:rsid w:val="00E47B03"/>
    <w:rsid w:val="00E6282E"/>
    <w:rsid w:val="00E65DC1"/>
    <w:rsid w:val="00E75A2D"/>
    <w:rsid w:val="00E853B9"/>
    <w:rsid w:val="00E87ED2"/>
    <w:rsid w:val="00E90B87"/>
    <w:rsid w:val="00E91458"/>
    <w:rsid w:val="00EA7BE2"/>
    <w:rsid w:val="00EB214E"/>
    <w:rsid w:val="00EB40C2"/>
    <w:rsid w:val="00EB6A1B"/>
    <w:rsid w:val="00ED2672"/>
    <w:rsid w:val="00ED271B"/>
    <w:rsid w:val="00EE54F9"/>
    <w:rsid w:val="00EE7086"/>
    <w:rsid w:val="00F020A5"/>
    <w:rsid w:val="00F072F7"/>
    <w:rsid w:val="00F12CEB"/>
    <w:rsid w:val="00F23575"/>
    <w:rsid w:val="00F314B2"/>
    <w:rsid w:val="00F47BDC"/>
    <w:rsid w:val="00F5008E"/>
    <w:rsid w:val="00F510BD"/>
    <w:rsid w:val="00F52BB4"/>
    <w:rsid w:val="00F66A0F"/>
    <w:rsid w:val="00F7241F"/>
    <w:rsid w:val="00F72994"/>
    <w:rsid w:val="00F72BB6"/>
    <w:rsid w:val="00F75929"/>
    <w:rsid w:val="00F86C5C"/>
    <w:rsid w:val="00F8787F"/>
    <w:rsid w:val="00F9133D"/>
    <w:rsid w:val="00FA172C"/>
    <w:rsid w:val="00FA2539"/>
    <w:rsid w:val="00FA6700"/>
    <w:rsid w:val="00FB4B31"/>
    <w:rsid w:val="00FC4B9E"/>
    <w:rsid w:val="00FC6986"/>
    <w:rsid w:val="00FD6E22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333E8"/>
  <w15:chartTrackingRefBased/>
  <w15:docId w15:val="{D8323537-A0B2-462C-B25F-603B6F7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97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3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973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7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172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A17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72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A172C"/>
    <w:rPr>
      <w:sz w:val="22"/>
      <w:szCs w:val="22"/>
    </w:rPr>
  </w:style>
  <w:style w:type="character" w:customStyle="1" w:styleId="st1">
    <w:name w:val="st1"/>
    <w:rsid w:val="0096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7A1C7-4B45-4C5B-B640-284AD81A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Childrens Hospital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mghegde</dc:creator>
  <cp:keywords/>
  <cp:lastModifiedBy>Meena Hegde</cp:lastModifiedBy>
  <cp:revision>2</cp:revision>
  <cp:lastPrinted>2013-09-19T18:55:00Z</cp:lastPrinted>
  <dcterms:created xsi:type="dcterms:W3CDTF">2022-12-22T15:05:00Z</dcterms:created>
  <dcterms:modified xsi:type="dcterms:W3CDTF">2022-12-22T15:05:00Z</dcterms:modified>
</cp:coreProperties>
</file>