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68B9" w:rsidRDefault="00C768B9" w:rsidP="00AE676D">
      <w:pPr>
        <w:snapToGrid w:val="0"/>
        <w:spacing w:line="48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Style w:val="fontstyle01"/>
        </w:rPr>
        <w:t>SUPPLEMENTARY INFORMATION</w:t>
      </w:r>
    </w:p>
    <w:p w:rsidR="00C90C91" w:rsidRPr="00C90C91" w:rsidRDefault="00C90C91" w:rsidP="00AE676D">
      <w:pPr>
        <w:snapToGrid w:val="0"/>
        <w:spacing w:line="48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C91">
        <w:rPr>
          <w:rFonts w:ascii="Times New Roman" w:hAnsi="Times New Roman" w:cs="Times New Roman"/>
          <w:b/>
          <w:sz w:val="28"/>
          <w:szCs w:val="28"/>
          <w:u w:val="single"/>
        </w:rPr>
        <w:t>Supplementary Figures</w:t>
      </w:r>
    </w:p>
    <w:p w:rsidR="0091662E" w:rsidRPr="0031700E" w:rsidRDefault="00C81BF6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700E">
        <w:rPr>
          <w:rFonts w:ascii="Times New Roman" w:hAnsi="Times New Roman" w:cs="Times New Roman"/>
          <w:b/>
          <w:sz w:val="24"/>
          <w:szCs w:val="24"/>
        </w:rPr>
        <w:t>F</w:t>
      </w:r>
      <w:r w:rsidR="00AE676D" w:rsidRPr="0031700E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Pr="0031700E">
        <w:rPr>
          <w:rFonts w:ascii="Times New Roman" w:hAnsi="Times New Roman" w:cs="Times New Roman"/>
          <w:b/>
          <w:sz w:val="24"/>
          <w:szCs w:val="24"/>
        </w:rPr>
        <w:t>S</w:t>
      </w:r>
      <w:r w:rsidR="00AE676D" w:rsidRPr="0031700E">
        <w:rPr>
          <w:rFonts w:ascii="Times New Roman" w:hAnsi="Times New Roman" w:cs="Times New Roman"/>
          <w:b/>
          <w:sz w:val="24"/>
          <w:szCs w:val="24"/>
        </w:rPr>
        <w:t>1</w:t>
      </w:r>
      <w:r w:rsidRPr="0031700E">
        <w:rPr>
          <w:rFonts w:ascii="Times New Roman" w:hAnsi="Times New Roman" w:cs="Times New Roman"/>
          <w:b/>
          <w:sz w:val="24"/>
          <w:szCs w:val="24"/>
        </w:rPr>
        <w:t>.</w:t>
      </w:r>
      <w:r w:rsidR="00AE676D" w:rsidRPr="003170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01C3" w:rsidRPr="0031700E">
        <w:rPr>
          <w:rFonts w:ascii="Times New Roman" w:hAnsi="Times New Roman" w:cs="Times New Roman"/>
          <w:b/>
          <w:sz w:val="24"/>
          <w:szCs w:val="24"/>
        </w:rPr>
        <w:t>T</w:t>
      </w:r>
      <w:r w:rsidR="00A101C3" w:rsidRPr="0031700E">
        <w:rPr>
          <w:rFonts w:ascii="Times New Roman" w:hAnsi="Times New Roman" w:cs="Times New Roman" w:hint="eastAsia"/>
          <w:b/>
          <w:sz w:val="24"/>
          <w:szCs w:val="24"/>
        </w:rPr>
        <w:t>h</w:t>
      </w:r>
      <w:r w:rsidR="00A101C3" w:rsidRPr="0031700E">
        <w:rPr>
          <w:rFonts w:ascii="Times New Roman" w:hAnsi="Times New Roman" w:cs="Times New Roman"/>
          <w:b/>
          <w:sz w:val="24"/>
          <w:szCs w:val="24"/>
        </w:rPr>
        <w:t>e</w:t>
      </w:r>
      <w:r w:rsidRPr="0031700E">
        <w:rPr>
          <w:rFonts w:ascii="Times New Roman" w:hAnsi="Times New Roman" w:cs="Times New Roman"/>
          <w:b/>
          <w:sz w:val="24"/>
          <w:szCs w:val="24"/>
        </w:rPr>
        <w:t xml:space="preserve"> whole-genome sequencing data.</w:t>
      </w:r>
      <w:r w:rsidR="00A101C3" w:rsidRPr="003170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2A47" w:rsidRPr="0031700E">
        <w:rPr>
          <w:rFonts w:ascii="Times New Roman" w:hAnsi="Times New Roman" w:cs="Times New Roman" w:hint="eastAsia"/>
          <w:b/>
          <w:sz w:val="24"/>
          <w:szCs w:val="24"/>
        </w:rPr>
        <w:t>(</w:t>
      </w:r>
      <w:r w:rsidR="006F765D" w:rsidRPr="0031700E">
        <w:rPr>
          <w:rFonts w:ascii="Times New Roman" w:hAnsi="Times New Roman" w:cs="Times New Roman"/>
          <w:b/>
          <w:sz w:val="24"/>
          <w:szCs w:val="24"/>
        </w:rPr>
        <w:t>a</w:t>
      </w:r>
      <w:r w:rsidR="00EF2A47" w:rsidRPr="0031700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EF2A47" w:rsidRPr="0031700E">
        <w:rPr>
          <w:rFonts w:ascii="Times New Roman" w:hAnsi="Times New Roman" w:cs="Times New Roman"/>
          <w:sz w:val="24"/>
          <w:szCs w:val="24"/>
        </w:rPr>
        <w:t>The distribution of coverage and sequencing depth</w:t>
      </w:r>
      <w:r w:rsidR="00A11AD9" w:rsidRPr="0031700E">
        <w:rPr>
          <w:rFonts w:ascii="Times New Roman" w:hAnsi="Times New Roman" w:cs="Times New Roman"/>
          <w:b/>
          <w:sz w:val="24"/>
          <w:szCs w:val="24"/>
        </w:rPr>
        <w:t>; (</w:t>
      </w:r>
      <w:r w:rsidR="006F765D" w:rsidRPr="0031700E">
        <w:rPr>
          <w:rFonts w:ascii="Times New Roman" w:hAnsi="Times New Roman" w:cs="Times New Roman"/>
          <w:b/>
          <w:sz w:val="24"/>
          <w:szCs w:val="24"/>
        </w:rPr>
        <w:t>b</w:t>
      </w:r>
      <w:r w:rsidR="00A11AD9" w:rsidRPr="0031700E">
        <w:rPr>
          <w:rFonts w:ascii="Times New Roman" w:hAnsi="Times New Roman" w:cs="Times New Roman"/>
          <w:b/>
          <w:sz w:val="24"/>
          <w:szCs w:val="24"/>
        </w:rPr>
        <w:t>)</w:t>
      </w:r>
      <w:r w:rsidR="00EF2A47" w:rsidRPr="003170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5F0F" w:rsidRPr="003170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Variant distribution. The 1-4 circles refer to the scaled density of SV, CNV, </w:t>
      </w:r>
      <w:proofErr w:type="spellStart"/>
      <w:r w:rsidR="00955F0F" w:rsidRPr="003170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kSTR</w:t>
      </w:r>
      <w:proofErr w:type="spellEnd"/>
      <w:r w:rsidR="00955F0F" w:rsidRPr="003170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</w:t>
      </w:r>
      <w:proofErr w:type="spellStart"/>
      <w:r w:rsidR="00955F0F" w:rsidRPr="003170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dSTR</w:t>
      </w:r>
      <w:proofErr w:type="spellEnd"/>
      <w:r w:rsidR="00955F0F" w:rsidRPr="003170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6F765D" w:rsidRPr="003170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B02810" w:rsidRDefault="009D0CF2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>
            <wp:extent cx="5274310" cy="2400748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810" w:rsidRDefault="00B02810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867DA" w:rsidRDefault="003867DA" w:rsidP="00AE676D">
      <w:pPr>
        <w:snapToGri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A35E73" w:rsidRPr="00052046" w:rsidRDefault="00A62CBF" w:rsidP="000252F3">
      <w:pPr>
        <w:autoSpaceDE w:val="0"/>
        <w:autoSpaceDN w:val="0"/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E33F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S2. </w:t>
      </w:r>
      <w:r w:rsidR="000252F3" w:rsidRPr="00EE33FB">
        <w:rPr>
          <w:rFonts w:ascii="Times New Roman" w:hAnsi="Times New Roman" w:cs="Times New Roman"/>
          <w:b/>
          <w:sz w:val="24"/>
          <w:szCs w:val="24"/>
        </w:rPr>
        <w:t xml:space="preserve">Comparison of the SV characteristics of the current study with the Abel’s study. </w:t>
      </w:r>
      <w:r w:rsidR="000252F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</w:t>
      </w:r>
      <w:r w:rsidR="00EE33FB" w:rsidRPr="007D656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a</w:t>
      </w:r>
      <w:r w:rsidR="000252F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 Per-sample SV </w:t>
      </w:r>
      <w:r w:rsidR="000252F3" w:rsidRPr="00052046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counts</w:t>
      </w:r>
      <w:r w:rsidR="0091662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Number of </w:t>
      </w:r>
      <w:r w:rsidR="0091662E" w:rsidRPr="00052046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D</w:t>
      </w:r>
      <w:r w:rsidR="0091662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EL, DUP, INV and variants with different minor allele frequency</w:t>
      </w:r>
      <w:r w:rsidR="00031B3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(MAF; </w:t>
      </w:r>
      <w:r w:rsidR="0091662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</w:t>
      </w:r>
      <w:r w:rsidR="00A35E7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ommon, low frequency, rare and </w:t>
      </w:r>
      <w:proofErr w:type="spellStart"/>
      <w:r w:rsidR="00A35E7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ultra rare</w:t>
      </w:r>
      <w:proofErr w:type="spellEnd"/>
      <w:r w:rsidR="0091662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</w:t>
      </w:r>
      <w:r w:rsidR="00A35E7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91662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were displayed</w:t>
      </w:r>
      <w:r w:rsidR="000252F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</w:t>
      </w:r>
      <w:bookmarkStart w:id="0" w:name="OLE_LINK7"/>
      <w:bookmarkStart w:id="1" w:name="OLE_LINK12"/>
      <w:r w:rsidR="000252F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</w:t>
      </w:r>
      <w:r w:rsidR="00EE33FB" w:rsidRPr="007D656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b</w:t>
      </w:r>
      <w:r w:rsidR="000252F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 </w:t>
      </w:r>
      <w:r w:rsidR="00031B3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The </w:t>
      </w:r>
      <w:r w:rsidR="000252F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sizes of the SV</w:t>
      </w:r>
      <w:r w:rsidR="00031B3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s with different </w:t>
      </w:r>
      <w:r w:rsidR="000252F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MAFs</w:t>
      </w:r>
      <w:bookmarkEnd w:id="0"/>
      <w:bookmarkEnd w:id="1"/>
      <w:r w:rsidR="00031B3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</w:t>
      </w:r>
      <w:r w:rsidR="00AD701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</w:t>
      </w:r>
      <w:r w:rsidR="00EE33FB" w:rsidRPr="007D656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c</w:t>
      </w:r>
      <w:r w:rsidR="00AD701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 </w:t>
      </w:r>
      <w:r w:rsidR="00031B3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counts and identity of the overlapping SVs identified in our study with those in the Abel’s study; (</w:t>
      </w:r>
      <w:r w:rsidR="00EE33FB" w:rsidRPr="007D656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d</w:t>
      </w:r>
      <w:r w:rsidR="00031B3E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 </w:t>
      </w:r>
      <w:r w:rsidR="002E3B12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count of SVs with different identit</w:t>
      </w:r>
      <w:r w:rsidR="00A264DB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ies</w:t>
      </w:r>
      <w:r w:rsidR="002E3B12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(high, low and novel) </w:t>
      </w:r>
      <w:r w:rsidR="00955F0F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between the two stud</w:t>
      </w:r>
      <w:r w:rsidR="00A264DB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ies</w:t>
      </w:r>
      <w:r w:rsidR="00955F0F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(</w:t>
      </w:r>
      <w:r w:rsidR="00D80051" w:rsidRPr="007D656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e</w:t>
      </w:r>
      <w:r w:rsidR="00955F0F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 Correlation between the SV sizes and MAFs (</w:t>
      </w:r>
      <w:r w:rsidR="00D80051" w:rsidRPr="007D656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f</w:t>
      </w:r>
      <w:r w:rsidR="00955F0F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 of high identity variants between the two studies. </w:t>
      </w:r>
      <w:r w:rsidR="00A35E73" w:rsidRPr="00052046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D</w:t>
      </w:r>
      <w:r w:rsidR="00A35E7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EL: deletion, DUP: duplica</w:t>
      </w:r>
      <w:bookmarkStart w:id="2" w:name="_GoBack"/>
      <w:bookmarkEnd w:id="2"/>
      <w:r w:rsidR="00A35E73" w:rsidRPr="0005204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tion; INV: inversion; MEI: mobile-element insertion.</w:t>
      </w:r>
    </w:p>
    <w:p w:rsidR="00B02810" w:rsidRDefault="00C01897" w:rsidP="000252F3">
      <w:pPr>
        <w:autoSpaceDE w:val="0"/>
        <w:autoSpaceDN w:val="0"/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color w:val="000000"/>
        </w:rPr>
      </w:pPr>
      <w:r>
        <w:rPr>
          <w:noProof/>
        </w:rPr>
        <w:drawing>
          <wp:inline distT="0" distB="0" distL="0" distR="0">
            <wp:extent cx="3642360" cy="5378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865" cy="5389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73A" w:rsidRPr="00EE33FB" w:rsidRDefault="00A264DB" w:rsidP="0069573A">
      <w:pPr>
        <w:autoSpaceDE w:val="0"/>
        <w:autoSpaceDN w:val="0"/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EE33F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S3. </w:t>
      </w:r>
      <w:bookmarkStart w:id="3" w:name="OLE_LINK13"/>
      <w:r w:rsidR="00142441">
        <w:rPr>
          <w:rFonts w:ascii="Times New Roman" w:hAnsi="Times New Roman" w:cs="Times New Roman"/>
          <w:b/>
          <w:sz w:val="24"/>
          <w:szCs w:val="24"/>
        </w:rPr>
        <w:t xml:space="preserve">Genetic background </w:t>
      </w:r>
      <w:r w:rsidR="0069573A" w:rsidRPr="00EE33FB"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of </w:t>
      </w:r>
      <w:r w:rsidR="007C111D" w:rsidRPr="00EE33FB">
        <w:rPr>
          <w:rFonts w:ascii="Times New Roman" w:eastAsia="宋体" w:hAnsi="Times New Roman" w:cs="Times New Roman"/>
          <w:b/>
          <w:color w:val="000000"/>
          <w:sz w:val="24"/>
          <w:szCs w:val="24"/>
        </w:rPr>
        <w:t>individuals with different</w:t>
      </w:r>
      <w:r w:rsidR="0069573A" w:rsidRPr="00EE33FB"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 phenotyp</w:t>
      </w:r>
      <w:r w:rsidR="007C111D" w:rsidRPr="00EE33FB">
        <w:rPr>
          <w:rFonts w:ascii="Times New Roman" w:eastAsia="宋体" w:hAnsi="Times New Roman" w:cs="Times New Roman"/>
          <w:b/>
          <w:color w:val="000000"/>
          <w:sz w:val="24"/>
          <w:szCs w:val="24"/>
        </w:rPr>
        <w:t>ic</w:t>
      </w:r>
      <w:r w:rsidR="0069573A" w:rsidRPr="00EE33FB"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, </w:t>
      </w:r>
      <w:r w:rsidR="007C111D" w:rsidRPr="00EE33FB">
        <w:rPr>
          <w:rFonts w:ascii="Times New Roman" w:eastAsia="宋体" w:hAnsi="Times New Roman" w:cs="Times New Roman"/>
          <w:b/>
          <w:color w:val="000000"/>
          <w:sz w:val="24"/>
          <w:szCs w:val="24"/>
        </w:rPr>
        <w:t>demographic and sequencing data.</w:t>
      </w:r>
      <w:r w:rsidR="007C111D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P</w:t>
      </w:r>
      <w:r w:rsidR="0069573A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>rincipal component analysis</w:t>
      </w:r>
      <w:bookmarkEnd w:id="3"/>
      <w:r w:rsidR="0069573A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(PCA) </w:t>
      </w:r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was performed for </w:t>
      </w:r>
      <w:r w:rsidR="0069573A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SVs, CNVs and STRs between </w:t>
      </w:r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>different</w:t>
      </w:r>
      <w:r w:rsidR="0069573A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groups</w:t>
      </w:r>
      <w:r w:rsidR="00AB5D8A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>:</w:t>
      </w:r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PD/Control; North/South; Male/female; </w:t>
      </w:r>
      <w:bookmarkStart w:id="4" w:name="OLE_LINK15"/>
      <w:bookmarkStart w:id="5" w:name="OLE_LINK16"/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>&lt;68/</w:t>
      </w:r>
      <w:bookmarkStart w:id="6" w:name="_Hlk122447195"/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>≥</w:t>
      </w:r>
      <w:bookmarkEnd w:id="6"/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>68</w:t>
      </w:r>
      <w:bookmarkEnd w:id="4"/>
      <w:bookmarkEnd w:id="5"/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years</w:t>
      </w:r>
      <w:r w:rsidR="00AB5D8A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old</w:t>
      </w:r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</w:t>
      </w:r>
      <w:r w:rsidR="00AB5D8A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&lt;45×/≥45× </w:t>
      </w:r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>read-depths</w:t>
      </w:r>
      <w:r w:rsidR="0069573A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. </w:t>
      </w:r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>(</w:t>
      </w:r>
      <w:r w:rsidR="00EE33FB" w:rsidRPr="00571399">
        <w:rPr>
          <w:rFonts w:ascii="Times New Roman" w:eastAsia="宋体" w:hAnsi="Times New Roman" w:cs="Times New Roman"/>
          <w:b/>
          <w:color w:val="000000"/>
          <w:sz w:val="24"/>
          <w:szCs w:val="24"/>
        </w:rPr>
        <w:t>a</w:t>
      </w:r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) including </w:t>
      </w:r>
      <w:r w:rsid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autosomes and </w:t>
      </w:r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>sex chromosomes; (</w:t>
      </w:r>
      <w:r w:rsidR="00EE33FB" w:rsidRPr="00571399">
        <w:rPr>
          <w:rFonts w:ascii="Times New Roman" w:eastAsia="宋体" w:hAnsi="Times New Roman" w:cs="Times New Roman"/>
          <w:b/>
          <w:color w:val="000000"/>
          <w:sz w:val="24"/>
          <w:szCs w:val="24"/>
        </w:rPr>
        <w:t>b</w:t>
      </w:r>
      <w:r w:rsidR="009E27B5" w:rsidRPr="00EE33F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) including only the autosomes. </w:t>
      </w:r>
    </w:p>
    <w:p w:rsidR="00C01897" w:rsidRDefault="008E6207" w:rsidP="0069573A">
      <w:pPr>
        <w:autoSpaceDE w:val="0"/>
        <w:autoSpaceDN w:val="0"/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color w:val="000000"/>
        </w:rPr>
      </w:pPr>
      <w:r>
        <w:rPr>
          <w:noProof/>
        </w:rPr>
        <w:drawing>
          <wp:inline distT="0" distB="0" distL="0" distR="0">
            <wp:extent cx="4216400" cy="6324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017" cy="6325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897" w:rsidRDefault="00C01897" w:rsidP="0069573A">
      <w:pPr>
        <w:autoSpaceDE w:val="0"/>
        <w:autoSpaceDN w:val="0"/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color w:val="000000"/>
        </w:rPr>
      </w:pPr>
    </w:p>
    <w:p w:rsidR="00EE33FB" w:rsidRDefault="00EE33FB" w:rsidP="0069573A">
      <w:pPr>
        <w:autoSpaceDE w:val="0"/>
        <w:autoSpaceDN w:val="0"/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color w:val="000000"/>
        </w:rPr>
      </w:pPr>
    </w:p>
    <w:p w:rsidR="00155801" w:rsidRPr="005D2BE0" w:rsidRDefault="005D2BE0" w:rsidP="00AE676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S4. The expression of the structural variants (SVs) in PD cases and controls at the </w:t>
      </w:r>
      <w:r w:rsidR="00EE33FB">
        <w:rPr>
          <w:rFonts w:ascii="Times New Roman" w:hAnsi="Times New Roman" w:cs="Times New Roman"/>
          <w:b/>
          <w:sz w:val="24"/>
          <w:szCs w:val="24"/>
        </w:rPr>
        <w:t xml:space="preserve">terminal 50 Mb </w:t>
      </w:r>
      <w:r>
        <w:rPr>
          <w:rFonts w:ascii="Times New Roman" w:hAnsi="Times New Roman" w:cs="Times New Roman"/>
          <w:b/>
          <w:sz w:val="24"/>
          <w:szCs w:val="24"/>
        </w:rPr>
        <w:t>chromosom</w:t>
      </w:r>
      <w:r w:rsidR="00EE33FB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regions</w:t>
      </w:r>
      <w:r w:rsidR="00EE33FB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shown in 5 Mb-window</w:t>
      </w:r>
      <w:r w:rsidR="00EE33FB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903BC" w:rsidRPr="002903BC">
        <w:rPr>
          <w:rFonts w:ascii="Times New Roman" w:hAnsi="Times New Roman" w:cs="Times New Roman"/>
          <w:sz w:val="24"/>
          <w:szCs w:val="24"/>
        </w:rPr>
        <w:t>CNV</w:t>
      </w:r>
      <w:r w:rsidR="002903BC" w:rsidRPr="002903BC">
        <w:rPr>
          <w:rFonts w:ascii="Times New Roman" w:hAnsi="Times New Roman" w:cs="Times New Roman" w:hint="eastAsia"/>
          <w:sz w:val="24"/>
          <w:szCs w:val="24"/>
        </w:rPr>
        <w:t>：</w:t>
      </w:r>
      <w:r w:rsidR="002903BC" w:rsidRPr="002903BC">
        <w:rPr>
          <w:rFonts w:ascii="Times New Roman" w:hAnsi="Times New Roman" w:cs="Times New Roman" w:hint="eastAsia"/>
          <w:sz w:val="24"/>
          <w:szCs w:val="24"/>
        </w:rPr>
        <w:t>copy</w:t>
      </w:r>
      <w:r w:rsidR="002903BC" w:rsidRPr="002903BC">
        <w:rPr>
          <w:rFonts w:ascii="Times New Roman" w:hAnsi="Times New Roman" w:cs="Times New Roman"/>
          <w:sz w:val="24"/>
          <w:szCs w:val="24"/>
        </w:rPr>
        <w:t xml:space="preserve"> </w:t>
      </w:r>
      <w:r w:rsidR="002903BC" w:rsidRPr="002903BC">
        <w:rPr>
          <w:rFonts w:ascii="Times New Roman" w:hAnsi="Times New Roman" w:cs="Times New Roman" w:hint="eastAsia"/>
          <w:sz w:val="24"/>
          <w:szCs w:val="24"/>
        </w:rPr>
        <w:t>number</w:t>
      </w:r>
      <w:r w:rsidR="002903BC" w:rsidRPr="002903BC">
        <w:rPr>
          <w:rFonts w:ascii="Times New Roman" w:hAnsi="Times New Roman" w:cs="Times New Roman"/>
          <w:sz w:val="24"/>
          <w:szCs w:val="24"/>
        </w:rPr>
        <w:t xml:space="preserve"> </w:t>
      </w:r>
      <w:r w:rsidR="002903BC" w:rsidRPr="002903BC">
        <w:rPr>
          <w:rFonts w:ascii="Times New Roman" w:hAnsi="Times New Roman" w:cs="Times New Roman" w:hint="eastAsia"/>
          <w:sz w:val="24"/>
          <w:szCs w:val="24"/>
        </w:rPr>
        <w:t>variant</w:t>
      </w:r>
      <w:r w:rsidR="002903BC" w:rsidRPr="002903BC">
        <w:rPr>
          <w:rFonts w:ascii="Times New Roman" w:hAnsi="Times New Roman" w:cs="Times New Roman"/>
          <w:sz w:val="24"/>
          <w:szCs w:val="24"/>
        </w:rPr>
        <w:t xml:space="preserve">; SV: structural variant; </w:t>
      </w:r>
      <w:r w:rsidRPr="005D2BE0">
        <w:rPr>
          <w:rFonts w:ascii="Times New Roman" w:hAnsi="Times New Roman" w:cs="Times New Roman"/>
          <w:sz w:val="24"/>
          <w:szCs w:val="24"/>
        </w:rPr>
        <w:t>DEL: deletion; DUP: duplication; INV: inversion; MEI: mobile-element insertion.</w:t>
      </w:r>
    </w:p>
    <w:p w:rsidR="00155801" w:rsidRDefault="002903BC" w:rsidP="00AE676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4746879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46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801" w:rsidRDefault="00155801" w:rsidP="00AE676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55801" w:rsidRDefault="00155801" w:rsidP="00AE676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55801" w:rsidRDefault="00155801" w:rsidP="00AE676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55801" w:rsidRDefault="00155801" w:rsidP="00AE676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55801" w:rsidRDefault="00155801" w:rsidP="00AE676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55801" w:rsidRDefault="00155801" w:rsidP="00AE676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55801" w:rsidRDefault="00155801" w:rsidP="00AE676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BE1604" w:rsidRDefault="004A621A" w:rsidP="00AE676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</w:t>
      </w:r>
      <w:r w:rsidRPr="00AE676D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AE6D7A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0522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1604" w:rsidRPr="00BE1604">
        <w:rPr>
          <w:rFonts w:ascii="Times New Roman" w:hAnsi="Times New Roman" w:cs="Times New Roman"/>
          <w:b/>
          <w:sz w:val="24"/>
          <w:szCs w:val="24"/>
        </w:rPr>
        <w:t xml:space="preserve">Physical mapping of </w:t>
      </w:r>
      <w:r w:rsidR="00BE1604" w:rsidRPr="00CC4F39">
        <w:rPr>
          <w:rFonts w:ascii="Times New Roman" w:hAnsi="Times New Roman" w:cs="Times New Roman"/>
          <w:b/>
          <w:i/>
          <w:sz w:val="24"/>
          <w:szCs w:val="24"/>
        </w:rPr>
        <w:t>LRRK2</w:t>
      </w:r>
      <w:r w:rsidR="00CC4F3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C4F39" w:rsidRPr="00CC4F39">
        <w:rPr>
          <w:rFonts w:ascii="Times New Roman" w:hAnsi="Times New Roman" w:cs="Times New Roman"/>
          <w:b/>
          <w:i/>
          <w:sz w:val="24"/>
          <w:szCs w:val="24"/>
        </w:rPr>
        <w:t>SLC2A13, MUC19</w:t>
      </w:r>
      <w:r w:rsidR="00CC4F39">
        <w:rPr>
          <w:rFonts w:ascii="Times New Roman" w:hAnsi="Times New Roman" w:cs="Times New Roman"/>
          <w:b/>
          <w:sz w:val="24"/>
          <w:szCs w:val="24"/>
        </w:rPr>
        <w:t xml:space="preserve"> gene and the variants surrounding them</w:t>
      </w:r>
      <w:r w:rsidR="00BE160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E1604" w:rsidRPr="00BE1604">
        <w:rPr>
          <w:rFonts w:ascii="Times New Roman" w:hAnsi="Times New Roman" w:cs="Times New Roman"/>
          <w:sz w:val="24"/>
          <w:szCs w:val="24"/>
        </w:rPr>
        <w:t>The loci of the genes and variants were displayed. r</w:t>
      </w:r>
      <w:r w:rsidR="00BE1604" w:rsidRPr="00BE160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E1604" w:rsidRPr="00BE1604">
        <w:rPr>
          <w:rFonts w:ascii="Times New Roman" w:hAnsi="Times New Roman" w:cs="Times New Roman"/>
          <w:sz w:val="24"/>
          <w:szCs w:val="24"/>
        </w:rPr>
        <w:t xml:space="preserve"> </w:t>
      </w:r>
      <w:r w:rsidR="00BE1604">
        <w:rPr>
          <w:rFonts w:ascii="Times New Roman" w:hAnsi="Times New Roman" w:cs="Times New Roman"/>
          <w:sz w:val="24"/>
          <w:szCs w:val="24"/>
        </w:rPr>
        <w:t xml:space="preserve">values </w:t>
      </w:r>
      <w:r w:rsidR="00CC4F39" w:rsidRPr="00BE1604">
        <w:rPr>
          <w:rFonts w:ascii="Times New Roman" w:hAnsi="Times New Roman" w:cs="Times New Roman"/>
          <w:sz w:val="24"/>
          <w:szCs w:val="24"/>
        </w:rPr>
        <w:t>indicate</w:t>
      </w:r>
      <w:r w:rsidR="00BE1604" w:rsidRPr="00BE1604">
        <w:rPr>
          <w:rFonts w:ascii="Times New Roman" w:hAnsi="Times New Roman" w:cs="Times New Roman"/>
          <w:sz w:val="24"/>
          <w:szCs w:val="24"/>
        </w:rPr>
        <w:t xml:space="preserve"> the linkage disequilibrium between the </w:t>
      </w:r>
      <w:r w:rsidR="00B64F54">
        <w:rPr>
          <w:rFonts w:ascii="Times New Roman" w:hAnsi="Times New Roman" w:cs="Times New Roman"/>
          <w:sz w:val="24"/>
          <w:szCs w:val="24"/>
        </w:rPr>
        <w:t>variants</w:t>
      </w:r>
      <w:r w:rsidR="00BE1604" w:rsidRPr="00BE1604">
        <w:rPr>
          <w:rFonts w:ascii="Times New Roman" w:hAnsi="Times New Roman" w:cs="Times New Roman"/>
          <w:sz w:val="24"/>
          <w:szCs w:val="24"/>
        </w:rPr>
        <w:t>.</w:t>
      </w:r>
      <w:r w:rsidR="00BE16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207" w:rsidRDefault="00BA08F5" w:rsidP="00AE676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527431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207" w:rsidRDefault="008E6207" w:rsidP="00AE676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E6207" w:rsidRDefault="008E6207" w:rsidP="00AE676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E6207" w:rsidRDefault="008E6207" w:rsidP="00AE676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E6207" w:rsidRDefault="008E6207" w:rsidP="00AE676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E6207" w:rsidRDefault="008E6207" w:rsidP="00AE676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E6207" w:rsidRDefault="008E6207" w:rsidP="00AE676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D026C" w:rsidRDefault="00BD026C" w:rsidP="002F7CB6">
      <w:pPr>
        <w:snapToGrid w:val="0"/>
        <w:spacing w:line="480" w:lineRule="auto"/>
        <w:rPr>
          <w:rFonts w:ascii="Times New Roman" w:hAnsi="Times New Roman" w:cs="Times New Roman"/>
        </w:rPr>
      </w:pPr>
    </w:p>
    <w:p w:rsidR="00AE6D7A" w:rsidRDefault="00AE6D7A" w:rsidP="00AE6D7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</w:t>
      </w:r>
      <w:r w:rsidRPr="00AE676D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 xml:space="preserve">S6. The distribution of repeat numbers of the known STRs associated with PD. </w:t>
      </w:r>
      <w:r w:rsidRPr="00052201">
        <w:rPr>
          <w:rFonts w:ascii="Times New Roman" w:hAnsi="Times New Roman" w:cs="Times New Roman"/>
          <w:sz w:val="24"/>
          <w:szCs w:val="24"/>
        </w:rPr>
        <w:t>Repeat numbers of all known genes associated with PD</w:t>
      </w:r>
      <w:r>
        <w:rPr>
          <w:rFonts w:ascii="Times New Roman" w:hAnsi="Times New Roman" w:cs="Times New Roman"/>
          <w:sz w:val="24"/>
          <w:szCs w:val="24"/>
        </w:rPr>
        <w:t xml:space="preserve"> were</w:t>
      </w:r>
      <w:r w:rsidR="00CB7B19">
        <w:rPr>
          <w:rFonts w:ascii="Times New Roman" w:hAnsi="Times New Roman" w:cs="Times New Roman"/>
          <w:sz w:val="24"/>
          <w:szCs w:val="24"/>
        </w:rPr>
        <w:t xml:space="preserve"> </w:t>
      </w:r>
      <w:r w:rsidR="00CB7B19">
        <w:rPr>
          <w:rFonts w:ascii="Times New Roman" w:hAnsi="Times New Roman" w:cs="Times New Roman" w:hint="eastAsia"/>
          <w:sz w:val="24"/>
          <w:szCs w:val="24"/>
        </w:rPr>
        <w:t>displayed</w:t>
      </w:r>
      <w:r w:rsidR="00CB7B19">
        <w:rPr>
          <w:rFonts w:ascii="Times New Roman" w:hAnsi="Times New Roman" w:cs="Times New Roman"/>
          <w:sz w:val="24"/>
          <w:szCs w:val="24"/>
        </w:rPr>
        <w:t xml:space="preserve"> </w:t>
      </w:r>
      <w:r w:rsidR="00CB7B19"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compared between cases and controls.</w:t>
      </w:r>
      <w:r w:rsidRPr="000522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6D7A" w:rsidRDefault="00AE6D7A" w:rsidP="00AE6D7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449EE72" wp14:editId="734D41A9">
            <wp:extent cx="5274310" cy="52743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6D7A" w:rsidRDefault="00AE6D7A" w:rsidP="00AE6D7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E6D7A" w:rsidRDefault="00AE6D7A" w:rsidP="00AE6D7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E6D7A" w:rsidRDefault="00AE6D7A" w:rsidP="00AE6D7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E6D7A" w:rsidRDefault="00AE6D7A" w:rsidP="00AE6D7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E6D7A" w:rsidRDefault="00AE6D7A" w:rsidP="00AE6D7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E6D7A" w:rsidRDefault="00AE6D7A" w:rsidP="00AE6D7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E6D7A" w:rsidRDefault="00AE6D7A" w:rsidP="002F7CB6">
      <w:pPr>
        <w:snapToGrid w:val="0"/>
        <w:spacing w:line="480" w:lineRule="auto"/>
        <w:rPr>
          <w:rFonts w:ascii="Times New Roman" w:hAnsi="Times New Roman" w:cs="Times New Roman"/>
        </w:rPr>
      </w:pPr>
    </w:p>
    <w:sectPr w:rsidR="00AE6D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033D" w:rsidRDefault="00AC033D" w:rsidP="00155801">
      <w:r>
        <w:separator/>
      </w:r>
    </w:p>
  </w:endnote>
  <w:endnote w:type="continuationSeparator" w:id="0">
    <w:p w:rsidR="00AC033D" w:rsidRDefault="00AC033D" w:rsidP="00155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033D" w:rsidRDefault="00AC033D" w:rsidP="00155801">
      <w:r>
        <w:separator/>
      </w:r>
    </w:p>
  </w:footnote>
  <w:footnote w:type="continuationSeparator" w:id="0">
    <w:p w:rsidR="00AC033D" w:rsidRDefault="00AC033D" w:rsidP="001558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096"/>
    <w:rsid w:val="000252F3"/>
    <w:rsid w:val="00031B3E"/>
    <w:rsid w:val="00052046"/>
    <w:rsid w:val="00052201"/>
    <w:rsid w:val="00084251"/>
    <w:rsid w:val="00142441"/>
    <w:rsid w:val="00155801"/>
    <w:rsid w:val="001F107F"/>
    <w:rsid w:val="00221828"/>
    <w:rsid w:val="00232BA3"/>
    <w:rsid w:val="00262BE6"/>
    <w:rsid w:val="002903BC"/>
    <w:rsid w:val="002E3B12"/>
    <w:rsid w:val="002F7CB6"/>
    <w:rsid w:val="0031700E"/>
    <w:rsid w:val="003867DA"/>
    <w:rsid w:val="004A621A"/>
    <w:rsid w:val="00513DB9"/>
    <w:rsid w:val="00522B87"/>
    <w:rsid w:val="00571399"/>
    <w:rsid w:val="005714B4"/>
    <w:rsid w:val="005D2BE0"/>
    <w:rsid w:val="00647976"/>
    <w:rsid w:val="0069573A"/>
    <w:rsid w:val="006F765D"/>
    <w:rsid w:val="00741096"/>
    <w:rsid w:val="00760334"/>
    <w:rsid w:val="007719AC"/>
    <w:rsid w:val="007C111D"/>
    <w:rsid w:val="007D656F"/>
    <w:rsid w:val="00814D83"/>
    <w:rsid w:val="00845764"/>
    <w:rsid w:val="0088030B"/>
    <w:rsid w:val="00887763"/>
    <w:rsid w:val="008978C9"/>
    <w:rsid w:val="008E6207"/>
    <w:rsid w:val="0091662E"/>
    <w:rsid w:val="00955F0F"/>
    <w:rsid w:val="00975A70"/>
    <w:rsid w:val="009B35F0"/>
    <w:rsid w:val="009D0CF2"/>
    <w:rsid w:val="009E27B5"/>
    <w:rsid w:val="009F7B34"/>
    <w:rsid w:val="00A101C3"/>
    <w:rsid w:val="00A11AD9"/>
    <w:rsid w:val="00A264DB"/>
    <w:rsid w:val="00A35E73"/>
    <w:rsid w:val="00A62CBF"/>
    <w:rsid w:val="00AB5D8A"/>
    <w:rsid w:val="00AC033D"/>
    <w:rsid w:val="00AD701E"/>
    <w:rsid w:val="00AE676D"/>
    <w:rsid w:val="00AE6D7A"/>
    <w:rsid w:val="00AF010C"/>
    <w:rsid w:val="00B02810"/>
    <w:rsid w:val="00B64F54"/>
    <w:rsid w:val="00BA08F5"/>
    <w:rsid w:val="00BD026C"/>
    <w:rsid w:val="00BD4397"/>
    <w:rsid w:val="00BE1604"/>
    <w:rsid w:val="00C01897"/>
    <w:rsid w:val="00C12835"/>
    <w:rsid w:val="00C768B9"/>
    <w:rsid w:val="00C81BF6"/>
    <w:rsid w:val="00C90C91"/>
    <w:rsid w:val="00CA7F87"/>
    <w:rsid w:val="00CB7B19"/>
    <w:rsid w:val="00CC4F39"/>
    <w:rsid w:val="00CD11D7"/>
    <w:rsid w:val="00CF41AB"/>
    <w:rsid w:val="00D0326D"/>
    <w:rsid w:val="00D80051"/>
    <w:rsid w:val="00D85E77"/>
    <w:rsid w:val="00DF777B"/>
    <w:rsid w:val="00E54822"/>
    <w:rsid w:val="00E710A0"/>
    <w:rsid w:val="00E7203B"/>
    <w:rsid w:val="00EE33FB"/>
    <w:rsid w:val="00EF2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AB6FB6-706F-4D80-A166-6E646B53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5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58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5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5801"/>
    <w:rPr>
      <w:sz w:val="18"/>
      <w:szCs w:val="18"/>
    </w:rPr>
  </w:style>
  <w:style w:type="character" w:customStyle="1" w:styleId="fontstyle01">
    <w:name w:val="fontstyle01"/>
    <w:basedOn w:val="a0"/>
    <w:rsid w:val="00C768B9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6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MyPC</dc:creator>
  <cp:keywords/>
  <dc:description/>
  <cp:lastModifiedBy>MyPC</cp:lastModifiedBy>
  <cp:revision>61</cp:revision>
  <dcterms:created xsi:type="dcterms:W3CDTF">2022-12-19T14:50:00Z</dcterms:created>
  <dcterms:modified xsi:type="dcterms:W3CDTF">2022-12-23T13:00:00Z</dcterms:modified>
</cp:coreProperties>
</file>