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FBB5A" w14:textId="77777777" w:rsidR="005B6738" w:rsidRDefault="005B6738" w:rsidP="005B6738">
      <w:pPr>
        <w:rPr>
          <w:b/>
          <w:bCs/>
          <w:u w:val="single"/>
          <w:lang w:val="en-US"/>
        </w:rPr>
      </w:pPr>
      <w:r w:rsidRPr="00712B48">
        <w:rPr>
          <w:b/>
          <w:bCs/>
          <w:u w:val="single"/>
          <w:lang w:val="en-US"/>
        </w:rPr>
        <w:t>Appendices – Figures and Tables</w:t>
      </w:r>
    </w:p>
    <w:p w14:paraId="5B231C3F" w14:textId="77777777" w:rsidR="005B6738" w:rsidRDefault="005B6738" w:rsidP="005B6738">
      <w:pPr>
        <w:rPr>
          <w:b/>
          <w:bCs/>
          <w:u w:val="single"/>
          <w:lang w:val="en-US"/>
        </w:rPr>
      </w:pPr>
    </w:p>
    <w:p w14:paraId="6CFF91B3" w14:textId="77777777" w:rsidR="005B6738" w:rsidRDefault="005B6738" w:rsidP="005B6738">
      <w:pPr>
        <w:rPr>
          <w:lang w:val="en-US"/>
        </w:rPr>
      </w:pPr>
      <w:r w:rsidRPr="00656F95">
        <w:rPr>
          <w:b/>
          <w:bCs/>
          <w:color w:val="0070C0"/>
          <w:lang w:val="en-US"/>
        </w:rPr>
        <w:t>Figure S1 –</w:t>
      </w:r>
      <w:r w:rsidRPr="003559E7">
        <w:rPr>
          <w:lang w:val="en-US"/>
        </w:rPr>
        <w:t xml:space="preserve"> </w:t>
      </w:r>
      <w:r>
        <w:rPr>
          <w:lang w:val="en-US"/>
        </w:rPr>
        <w:t>Risk of bias evaluation for RCTs</w:t>
      </w:r>
    </w:p>
    <w:p w14:paraId="238560B0" w14:textId="77777777" w:rsidR="005B6738" w:rsidRDefault="005B6738" w:rsidP="005B6738">
      <w:pPr>
        <w:rPr>
          <w:lang w:val="en-US"/>
        </w:rPr>
      </w:pPr>
      <w:r w:rsidRPr="00AC3A64">
        <w:rPr>
          <w:noProof/>
          <w:lang w:val="en-US"/>
        </w:rPr>
        <w:drawing>
          <wp:inline distT="0" distB="0" distL="0" distR="0" wp14:anchorId="57F42D55" wp14:editId="4D7C03F3">
            <wp:extent cx="4494998" cy="2809374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0168" cy="28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 w:type="page"/>
      </w:r>
    </w:p>
    <w:p w14:paraId="4EDAFFB3" w14:textId="77777777" w:rsidR="005B6738" w:rsidRDefault="005B6738" w:rsidP="005B6738">
      <w:pPr>
        <w:pStyle w:val="NormalWeb"/>
        <w:spacing w:line="480" w:lineRule="auto"/>
        <w:rPr>
          <w:color w:val="00000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9B05499" wp14:editId="6CAA4AD2">
            <wp:simplePos x="0" y="0"/>
            <wp:positionH relativeFrom="column">
              <wp:posOffset>0</wp:posOffset>
            </wp:positionH>
            <wp:positionV relativeFrom="paragraph">
              <wp:posOffset>346187</wp:posOffset>
            </wp:positionV>
            <wp:extent cx="4499610" cy="3027045"/>
            <wp:effectExtent l="0" t="0" r="0" b="0"/>
            <wp:wrapTight wrapText="bothSides">
              <wp:wrapPolygon edited="0">
                <wp:start x="0" y="0"/>
                <wp:lineTo x="0" y="21478"/>
                <wp:lineTo x="21521" y="21478"/>
                <wp:lineTo x="2152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61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5E0">
        <w:rPr>
          <w:b/>
          <w:bCs/>
          <w:color w:val="0070C0"/>
          <w:lang w:val="en-US"/>
        </w:rPr>
        <w:t xml:space="preserve">Figure </w:t>
      </w:r>
      <w:r>
        <w:rPr>
          <w:b/>
          <w:bCs/>
          <w:color w:val="0070C0"/>
          <w:lang w:val="en-US"/>
        </w:rPr>
        <w:t>S2</w:t>
      </w:r>
      <w:r w:rsidRPr="007E15E0">
        <w:rPr>
          <w:b/>
          <w:bCs/>
          <w:color w:val="0070C0"/>
          <w:lang w:val="en-US"/>
        </w:rPr>
        <w:t xml:space="preserve"> – </w:t>
      </w:r>
      <w:r>
        <w:rPr>
          <w:color w:val="000000"/>
          <w:lang w:val="en-US"/>
        </w:rPr>
        <w:t xml:space="preserve">Forest plot comparing pretreatment vs downstream treatment regarding TIMI flow before PCI </w:t>
      </w:r>
    </w:p>
    <w:p w14:paraId="429065F8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38A4C32B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23E02DED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6A4EA6C0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666002CB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0C5806EE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280EA27E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547C80EE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476B1D67" w14:textId="77777777" w:rsidR="005B6738" w:rsidRPr="000E3119" w:rsidRDefault="005B6738" w:rsidP="005B6738">
      <w:pPr>
        <w:spacing w:line="480" w:lineRule="auto"/>
        <w:rPr>
          <w:lang w:val="en-US"/>
        </w:rPr>
      </w:pPr>
    </w:p>
    <w:p w14:paraId="7353C451" w14:textId="77777777" w:rsidR="005B6738" w:rsidRDefault="005B6738" w:rsidP="005B6738">
      <w:pPr>
        <w:pStyle w:val="NormalWeb"/>
        <w:spacing w:line="480" w:lineRule="auto"/>
        <w:rPr>
          <w:color w:val="000000"/>
          <w:lang w:val="en-US"/>
        </w:rPr>
      </w:pPr>
      <w:r w:rsidRPr="007E15E0">
        <w:rPr>
          <w:b/>
          <w:bCs/>
          <w:color w:val="0070C0"/>
          <w:lang w:val="en-US"/>
        </w:rPr>
        <w:t xml:space="preserve">Figure </w:t>
      </w:r>
      <w:r>
        <w:rPr>
          <w:b/>
          <w:bCs/>
          <w:color w:val="0070C0"/>
          <w:lang w:val="en-US"/>
        </w:rPr>
        <w:t>S3</w:t>
      </w:r>
      <w:r w:rsidRPr="007E15E0">
        <w:rPr>
          <w:b/>
          <w:bCs/>
          <w:color w:val="0070C0"/>
          <w:lang w:val="en-US"/>
        </w:rPr>
        <w:t xml:space="preserve"> – </w:t>
      </w:r>
      <w:r>
        <w:rPr>
          <w:color w:val="000000"/>
          <w:lang w:val="en-US"/>
        </w:rPr>
        <w:t>Forest plot comparing pretreatment vs downstream treatment regarding No Reflow</w:t>
      </w:r>
    </w:p>
    <w:p w14:paraId="6F9F57B3" w14:textId="77777777" w:rsidR="005B6738" w:rsidRPr="009011D8" w:rsidRDefault="005B6738" w:rsidP="005B6738">
      <w:pPr>
        <w:pStyle w:val="NormalWeb"/>
        <w:spacing w:line="480" w:lineRule="auto"/>
        <w:rPr>
          <w:color w:val="000000"/>
          <w:lang w:val="en-US"/>
        </w:rPr>
      </w:pPr>
      <w:r>
        <w:rPr>
          <w:noProof/>
          <w:color w:val="000000"/>
          <w:lang w:val="en-US"/>
        </w:rPr>
        <w:drawing>
          <wp:inline distT="0" distB="0" distL="0" distR="0" wp14:anchorId="5C0540F0" wp14:editId="509931B2">
            <wp:extent cx="4500000" cy="1188566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118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 w:type="page"/>
      </w:r>
    </w:p>
    <w:p w14:paraId="4EF46D08" w14:textId="77777777" w:rsidR="005B6738" w:rsidRDefault="005B6738" w:rsidP="005B6738">
      <w:pPr>
        <w:rPr>
          <w:lang w:val="en-US"/>
        </w:rPr>
        <w:sectPr w:rsidR="005B6738" w:rsidSect="001C0DF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207A141" w14:textId="77777777" w:rsidR="005B6738" w:rsidRDefault="005B6738" w:rsidP="005B6738">
      <w:pPr>
        <w:rPr>
          <w:lang w:val="en-US"/>
        </w:rPr>
      </w:pPr>
      <w:r w:rsidRPr="00656F95">
        <w:rPr>
          <w:b/>
          <w:bCs/>
          <w:color w:val="0070C0"/>
          <w:lang w:val="en-US"/>
        </w:rPr>
        <w:lastRenderedPageBreak/>
        <w:t xml:space="preserve">Table S1 – </w:t>
      </w:r>
      <w:r>
        <w:rPr>
          <w:lang w:val="en-US"/>
        </w:rPr>
        <w:t>Risk of bias evaluation for non-randomized trials</w:t>
      </w:r>
    </w:p>
    <w:p w14:paraId="49C1E9D1" w14:textId="77777777" w:rsidR="005B6738" w:rsidRDefault="005B6738" w:rsidP="005B6738">
      <w:pPr>
        <w:rPr>
          <w:lang w:val="en-US"/>
        </w:rPr>
      </w:pPr>
    </w:p>
    <w:p w14:paraId="2F33E166" w14:textId="77777777" w:rsidR="005B6738" w:rsidRDefault="005B6738" w:rsidP="005B6738">
      <w:pPr>
        <w:rPr>
          <w:lang w:val="en-US"/>
        </w:rPr>
      </w:pPr>
    </w:p>
    <w:tbl>
      <w:tblPr>
        <w:tblW w:w="16586" w:type="dxa"/>
        <w:tblInd w:w="-1319" w:type="dxa"/>
        <w:tblLook w:val="04A0" w:firstRow="1" w:lastRow="0" w:firstColumn="1" w:lastColumn="0" w:noHBand="0" w:noVBand="1"/>
      </w:tblPr>
      <w:tblGrid>
        <w:gridCol w:w="1780"/>
        <w:gridCol w:w="2620"/>
        <w:gridCol w:w="2020"/>
        <w:gridCol w:w="1740"/>
        <w:gridCol w:w="962"/>
        <w:gridCol w:w="1504"/>
        <w:gridCol w:w="1480"/>
        <w:gridCol w:w="1020"/>
        <w:gridCol w:w="1300"/>
        <w:gridCol w:w="2160"/>
      </w:tblGrid>
      <w:tr w:rsidR="005B6738" w:rsidRPr="00606B32" w14:paraId="46A09DE1" w14:textId="77777777" w:rsidTr="004508AB">
        <w:trPr>
          <w:trHeight w:val="32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E429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712B4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3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EFFE7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Selection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02FC84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Comparability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9E3E8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999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B6738" w:rsidRPr="00606B32" w14:paraId="6703ED25" w14:textId="77777777" w:rsidTr="004508AB">
        <w:trPr>
          <w:trHeight w:val="6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D595C9" w14:textId="77777777" w:rsidR="005B6738" w:rsidRPr="00606B32" w:rsidRDefault="005B6738" w:rsidP="004508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DFF9B8" w14:textId="77777777" w:rsidR="005B6738" w:rsidRPr="00712B48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12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Representativeness of the exposed cohort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7BB613" w14:textId="77777777" w:rsidR="005B6738" w:rsidRPr="00712B48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12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Selection of the non exposed cohort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04D384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Ascertainment of exposure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3335E9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Incident disease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A8060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Comparability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FB56D0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Assessment of outcome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3E4C7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Lenght of follow-up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08687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Adequacy of follow-up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9B9084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number of stars</w:t>
            </w:r>
          </w:p>
        </w:tc>
      </w:tr>
      <w:tr w:rsidR="005B6738" w:rsidRPr="00606B32" w14:paraId="2BE4B19C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AD9270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Redfords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9F0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1FF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398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ADCF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EB5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30B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C5D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55B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54EB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5B6738" w:rsidRPr="00606B32" w14:paraId="4822799A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7E7945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Effron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56D6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128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B2A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CD8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F50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16B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60D6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D81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EF3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5B6738" w:rsidRPr="00606B32" w14:paraId="368F7AB2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9FEF5F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Yudi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035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66A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7E5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A4A6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545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486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8DE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8B06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3B6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5B6738" w:rsidRPr="00606B32" w14:paraId="43B2FF4B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62DE0C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Larson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54F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31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6D20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385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778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884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BB60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1289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089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B6738" w:rsidRPr="00606B32" w14:paraId="14138E2C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F8CA0B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Danchin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F41F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00D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C939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464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0E7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F54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1BD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8F3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62A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5B6738" w:rsidRPr="00606B32" w14:paraId="764AE8DD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41E31C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Lupi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7AB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CA1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B770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3C06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813B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801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9D8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C29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5C97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5B6738" w:rsidRPr="00606B32" w14:paraId="75BB83C0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D46896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Lev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178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C2D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139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2449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CB7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E1AF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D2A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804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DAD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5B6738" w:rsidRPr="00606B32" w14:paraId="0E9B4503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BA584F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Dorler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966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E71B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A9B0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853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D61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156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F859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1F56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F82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5B6738" w:rsidRPr="00606B32" w14:paraId="4EE8C987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B345F3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Fefer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6E84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A5E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802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3D9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1A9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621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6997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94E7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53F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5B6738" w:rsidRPr="00606B32" w14:paraId="32836A42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3880C9E" w14:textId="77777777" w:rsidR="005B6738" w:rsidRPr="008A0974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Fabris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8FBAB" w14:textId="77777777" w:rsidR="005B6738" w:rsidRPr="008A0974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B82AC" w14:textId="77777777" w:rsidR="005B6738" w:rsidRPr="008A0974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0D91F" w14:textId="77777777" w:rsidR="005B6738" w:rsidRPr="008A0974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675E4" w14:textId="77777777" w:rsidR="005B6738" w:rsidRPr="008A0974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A0F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C13B8" w14:textId="77777777" w:rsidR="005B6738" w:rsidRPr="008A0974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D4F56" w14:textId="77777777" w:rsidR="005B6738" w:rsidRPr="008A0974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79BF" w14:textId="77777777" w:rsidR="005B6738" w:rsidRPr="008A0974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769E" w14:textId="77777777" w:rsidR="005B6738" w:rsidRPr="008A0974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5B6738" w:rsidRPr="00606B32" w14:paraId="1F7B3713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903E2A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Alexander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C97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DB6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DE3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FD3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C5A0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702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762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CF8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DAC9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5B6738" w:rsidRPr="00606B32" w14:paraId="5EE3CCC9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FC9683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D'Entremont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0BC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02F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F18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AC4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BAC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001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813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567F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1F3A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5B6738" w:rsidRPr="00606B32" w14:paraId="76241D78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341741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Guedes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097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961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8A6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C61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31A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D6A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6511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1C2F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1D3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5B6738" w:rsidRPr="00606B32" w14:paraId="02CBB12D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8B6CD1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Pepe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813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EFE7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5C9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E77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CB0B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3B8B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EF1B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ADB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DCDB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5B6738" w:rsidRPr="00606B32" w14:paraId="72553F63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58C950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Waha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E438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273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2267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C20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57A5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3680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9329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4A6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7E2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5B6738" w:rsidRPr="00606B32" w14:paraId="2F6F7F5E" w14:textId="77777777" w:rsidTr="004508AB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6DBE43" w14:textId="77777777" w:rsidR="005B6738" w:rsidRPr="00606B32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Wiviott et 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EF93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AF1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291E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4D19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92D2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5ADB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51DC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37A4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7CCD" w14:textId="77777777" w:rsidR="005B6738" w:rsidRPr="00606B32" w:rsidRDefault="005B6738" w:rsidP="00450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6B3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</w:tbl>
    <w:p w14:paraId="63760A25" w14:textId="77777777" w:rsidR="005B6738" w:rsidRDefault="005B6738" w:rsidP="005B6738">
      <w:pPr>
        <w:rPr>
          <w:lang w:val="en-US"/>
        </w:rPr>
        <w:sectPr w:rsidR="005B6738" w:rsidSect="001C0DF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27014D8" w14:textId="77777777" w:rsidR="005B6738" w:rsidRDefault="005B6738" w:rsidP="005B6738">
      <w:pPr>
        <w:rPr>
          <w:lang w:val="en-US"/>
        </w:rPr>
      </w:pPr>
      <w:r w:rsidRPr="00656F95">
        <w:rPr>
          <w:b/>
          <w:bCs/>
          <w:color w:val="0070C0"/>
          <w:lang w:val="en-US"/>
        </w:rPr>
        <w:lastRenderedPageBreak/>
        <w:t>Table S2 –</w:t>
      </w:r>
      <w:r w:rsidRPr="003559E7">
        <w:rPr>
          <w:lang w:val="en-US"/>
        </w:rPr>
        <w:t xml:space="preserve"> </w:t>
      </w:r>
      <w:r>
        <w:rPr>
          <w:lang w:val="en-US"/>
        </w:rPr>
        <w:t>Other</w:t>
      </w:r>
      <w:r w:rsidRPr="003559E7">
        <w:rPr>
          <w:lang w:val="en-US"/>
        </w:rPr>
        <w:t xml:space="preserve"> </w:t>
      </w:r>
      <w:r>
        <w:rPr>
          <w:lang w:val="en-US"/>
        </w:rPr>
        <w:t>studies characteristics and reported outcomes</w:t>
      </w:r>
    </w:p>
    <w:tbl>
      <w:tblPr>
        <w:tblW w:w="16132" w:type="dxa"/>
        <w:tblInd w:w="-998" w:type="dxa"/>
        <w:tblLook w:val="04A0" w:firstRow="1" w:lastRow="0" w:firstColumn="1" w:lastColumn="0" w:noHBand="0" w:noVBand="1"/>
      </w:tblPr>
      <w:tblGrid>
        <w:gridCol w:w="1356"/>
        <w:gridCol w:w="1134"/>
        <w:gridCol w:w="1372"/>
        <w:gridCol w:w="1008"/>
        <w:gridCol w:w="905"/>
        <w:gridCol w:w="869"/>
        <w:gridCol w:w="857"/>
        <w:gridCol w:w="1192"/>
        <w:gridCol w:w="1077"/>
        <w:gridCol w:w="807"/>
        <w:gridCol w:w="1134"/>
        <w:gridCol w:w="1029"/>
        <w:gridCol w:w="1134"/>
        <w:gridCol w:w="1020"/>
        <w:gridCol w:w="1238"/>
      </w:tblGrid>
      <w:tr w:rsidR="005B6738" w:rsidRPr="00FA2064" w14:paraId="2F603CB7" w14:textId="77777777" w:rsidTr="004508AB">
        <w:trPr>
          <w:trHeight w:val="19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6F6B" w14:textId="77777777" w:rsidR="005B6738" w:rsidRPr="00BA617B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617B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AB4A9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Anterior STEMI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D5A54B5" w14:textId="77777777" w:rsidR="005B6738" w:rsidRPr="00BA617B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BA617B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en-US"/>
              </w:rPr>
              <w:t>Time from pretreatment to PPCI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D707E4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Clopidogrel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FA8E0B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Ticagrelor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CC21A4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Prasugrel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D78214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GP IIb/IIIa Inhibitor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A0FC0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Pre-PPCI TIMI flow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0851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Post-PCI TIMI flow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2E64D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No reflow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DFBA1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Definitive stent thrombosis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F2D58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Cardiogenic shock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F584D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Acute myocardial infarction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F5F0D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Major bleeding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244B0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All cause mortality</w:t>
            </w:r>
          </w:p>
        </w:tc>
      </w:tr>
      <w:tr w:rsidR="005B6738" w:rsidRPr="00FA2064" w14:paraId="67C4B9C7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061039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Redfords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291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9E45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8E19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57.2% vs. 64.5%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3934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37.0% vs. 25.2%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51B4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5.8% vs. 2.3%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5280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32.4% vs. 43.7%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39D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0: 67.9% vs. 67.5%, p=0.602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721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5C4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090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0.6% vs. 0.6%, p=0.672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275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2.7% vs. 5.3%, p&lt;0.001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E74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A0B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2.6% vs. 3.4%, p&lt;0.001 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B99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5.8% vs. 7.6%, p=0.023 *</w:t>
            </w:r>
          </w:p>
        </w:tc>
      </w:tr>
      <w:tr w:rsidR="005B6738" w:rsidRPr="00FA2064" w14:paraId="38740E07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17F9DD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Effron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3C5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CEA7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C9FA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53.2% vs. 49.7%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6A56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316F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67.4% vs. 57.7%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3BE7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39.3% vs. 50.9%, p&lt;0.001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CDC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DA8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81E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37D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002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0DC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09F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3.1% vs. 3.4%, p=NS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7E8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</w:tr>
      <w:tr w:rsidR="005B6738" w:rsidRPr="00FA2064" w14:paraId="3606B074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B0359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Yudi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613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B87A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FDC8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86.0% vs. 77%.0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C5C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not reported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ECCE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not reported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714C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69.6% vs. 76.2%, p&lt;0.01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065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&lt; 3: 78.0% vs. 80.7%, p=0.18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AD8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3: 93.0% vs. 93.4%, p=0.46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A6B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5.7% vs. 5.0% p=0.05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03A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0.8% vs. 0.9%, p=0.73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393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3.6% vs. 6.4%, p&lt;0.01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D06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39A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3.6% vs. 3.9%, p=0.67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DE3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2.3% vs. 4.4%, p=0.007</w:t>
            </w:r>
          </w:p>
        </w:tc>
      </w:tr>
      <w:tr w:rsidR="005B6738" w:rsidRPr="00FA2064" w14:paraId="03CCC651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AC23E3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Larson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9BD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36.5% vs. 34%, p=0.66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BB7C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5599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B57C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2C67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5331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not reported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4A4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0/1: OR 0.71 (0.57-0.90)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431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0/1: OR 0.47 (0.21-1.05)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92E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91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OR 0.32 (0.12-0.80)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D15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B43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EDE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OR 0.71 (0.26-1.99)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D40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OR 1.22 (0.63-2.35)</w:t>
            </w:r>
          </w:p>
        </w:tc>
      </w:tr>
      <w:tr w:rsidR="005B6738" w:rsidRPr="00FA2064" w14:paraId="24F05A1F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E0BB62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Danchin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940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41.9% vs. 40.6%, p=0.42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8292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EC25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35.3% vs. 55.2%, p&lt;0.001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3286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28.4% vs. 25.3%, p&lt;0.001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2B1B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36.3% vs. 19.5%, p&lt;0.001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99F3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41.2% vs. 39.9%, p=0.45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D41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0/1: 63.7% vs. 64.4%, p=0.703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816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2/3: 97.6% vs. 94.3%, p&lt;0.001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311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1.3% vs. 2.4%, p=0.005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2AE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C65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1.9% vs. 2.4%, p=363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DD7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0.6% vs. 0.6%, p=0.932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792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2.2% vs. 2.0%, p=0.645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5D6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1.8% vs. 3.7%, p=0.001</w:t>
            </w:r>
          </w:p>
        </w:tc>
      </w:tr>
      <w:tr w:rsidR="005B6738" w:rsidRPr="00FA2064" w14:paraId="30001E32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BE2D6E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Lupi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AA7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49.0% vs. 49.0%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507A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2.1 hours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3272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2A1D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7B3D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9EBF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13.3% vs. 34.4%, p&lt;0.001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F51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&lt; 3: 86.0% vs. 95.1%, p=0.01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3A2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29C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18.2% vs. 21%, p=0.55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E2C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1.4% vs. 1.4%, p=1.0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A3F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12F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2.1% vs. 1.4%, p=0.65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996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6.3% vs. 7.7%, p=0.48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CDC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3.5% vs. 9.1%, p=0.09</w:t>
            </w:r>
          </w:p>
        </w:tc>
      </w:tr>
      <w:tr w:rsidR="005B6738" w:rsidRPr="00FA2064" w14:paraId="7A8951A2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32D26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Lev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BB2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42.0% vs. 43.0%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2E74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EBBF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F0A7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24A2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2C35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80% vs. 75%, p=NS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6A9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0/1: 58% vs. 63%, p=NS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42F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3: 98% vs. 95%, p=NS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2AF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1.3% vs. 6.8%, p=0.06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F7A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0% vs. 2.4%, p=0.08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946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AE4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0% vs. 3.2%, p=0.04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B8B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96B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0.6% vs. 1.6%, p=0.60</w:t>
            </w:r>
          </w:p>
        </w:tc>
      </w:tr>
      <w:tr w:rsidR="005B6738" w:rsidRPr="00FA2064" w14:paraId="1DE706AB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0D9B8E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Dorler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590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48.0% vs. 47.4%, p=0.32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5FFA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C491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BFB9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0D97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3170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54.2% vs. 52.2%, p=0.18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146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&lt; 3: 91.8% vs. 90.2%, p=0.10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B22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3: 89.7% vs. 86.6%, p=0.01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E8C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0.6% vs. 1.0%, p=NS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B76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7D0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44A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0.6% vs. 1.4%, p&lt;0.01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00A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0.8% vs. 0.9%, p=0.39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B01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3.4% vs. 6.1%, p&lt;0.01</w:t>
            </w:r>
          </w:p>
        </w:tc>
      </w:tr>
      <w:tr w:rsidR="005B6738" w:rsidRPr="00FA2064" w14:paraId="719B34E9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F79215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Fefer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FFC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55.0% vs. 56.0%, p=0.8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142F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383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2C0C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ACB1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D225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70.0% vs. 67.0%, p=0.60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60C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ACF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CD6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D9A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2% vs. 7%, p=0.04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C11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F71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8% vs. 11%, p=0.30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99C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1% vs. 1%, p=0.46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17A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6% vs. 4%, p=0.38</w:t>
            </w:r>
          </w:p>
        </w:tc>
      </w:tr>
      <w:tr w:rsidR="005B6738" w:rsidRPr="00FA2064" w14:paraId="50DC3617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49C747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Alexander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D9B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3230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3FD2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324F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F191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241A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89.7% vs. 92.8%, p&lt;0.01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634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A32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4C3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982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A0A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4.0% vs. 5.5%, p=0.04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251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2.5% vs. 1.0%, p&lt;0.01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33E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10.5% vs. 11.9%, p=0.23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2BF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1.2% vs. 2.0%, p=0.12</w:t>
            </w:r>
          </w:p>
        </w:tc>
      </w:tr>
      <w:tr w:rsidR="005B6738" w:rsidRPr="00FA2064" w14:paraId="3E9C7E5B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13FE80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D'Entremont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4EC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38.9% vs. 29.5%, p=0.015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6708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81 (69-95) minutes 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6C58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49C8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550F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EF0F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10.0% vs. 26.2%, p&lt;0.001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DFA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0/1: 55.4% vs. 81.5%, p&lt;0.001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811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2/3: 97.3% vs. 99.1%, p=0.16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D3E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080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24 hours: 0.6% vs. 2.6%, p=0.03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179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92D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AC9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0.4% vs. 0%, p=NS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64C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3.5% vs. 3.1%, p=0.34</w:t>
            </w:r>
          </w:p>
        </w:tc>
      </w:tr>
      <w:tr w:rsidR="005B6738" w:rsidRPr="00FA2064" w14:paraId="7686BF3F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A84A18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Guedes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36D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48.6% vs. 49.1%, p=0.8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696F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A4D8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not reported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E39E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not reported 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FE2F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not reported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27F8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26.0% vs. 80.9%, p&lt;0.001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7CE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13A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3C9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6DC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AF0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5E1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1.0% vs. 0.1%, p=0.006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6BA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2.2% vs. 2.4%, p=0.678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7EF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4.0% vs. 2.9%, p=0.07</w:t>
            </w:r>
          </w:p>
        </w:tc>
      </w:tr>
      <w:tr w:rsidR="005B6738" w:rsidRPr="00FA2064" w14:paraId="40EEAF69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63C016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Pepe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CA8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46.3% **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39D1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50.6% in &lt; 60 minutes from PPCI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FB1E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9170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54.8% vs. 54.3%, p=0.79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54A2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45.2% vs. 45.7%, p=0.79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A6F2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9.0% vs. 17.4%, p=0.209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A20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0/1: 74.5% vs. 60.2%, p=0.002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BA6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3: 85.2% vs. 92.8%, p=0.013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4B9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DCB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3D0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52F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2.5% vs. 2.5%, p=0.976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BF9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Inhospital: 1.2% vs. </w:t>
            </w: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1.2%, p=0.998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143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At 30 days: 3.1% vs. 3.1%, p=0.465</w:t>
            </w:r>
          </w:p>
        </w:tc>
      </w:tr>
      <w:tr w:rsidR="005B6738" w:rsidRPr="005B6738" w14:paraId="65933592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CC228B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Waha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E85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56.0% vs. 43.4%, p=0.05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F342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FF72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9AEA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DC62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8D58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96.4% vs. 88.2%, p=0.03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C82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0: 52.4% vs. 52.8%, p=1.0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62C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3: 85.7% vs. 79.9%, p=0.28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214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17A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355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068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54E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4482" w14:textId="77777777" w:rsidR="005B6738" w:rsidRPr="00BA617B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617B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At FUP (19 [11-27] months): 9.5% vs. 5.5%, p=0.13</w:t>
            </w:r>
          </w:p>
        </w:tc>
      </w:tr>
      <w:tr w:rsidR="005B6738" w:rsidRPr="00FA2064" w14:paraId="2CCBE99B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7B161A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Wiviott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CB2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54.5% **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D334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495F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25% vs. 75%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EB8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DD99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26% vs. 74% **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0274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B0F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325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37A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B10D" w14:textId="77777777" w:rsidR="005B6738" w:rsidRPr="00BA617B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617B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At 48 hours: 0.6% vs. 0.5%, p=NS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2B5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BC5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F71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5B5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</w:tr>
      <w:tr w:rsidR="005B6738" w:rsidRPr="00FA2064" w14:paraId="7B1E6A3F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CDA059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Montalescot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434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45.2% vs. 50.2%, p=0.04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B0FE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31 minutes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DD63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0499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3C32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289E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33.7% vs. 30.7%, p=0.2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61D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&lt; 3: OR 0.95 (0.69-1.25), p=0.82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9022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&lt; 3: OR 0.88 (0.68-1.14), p=0.64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3B1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0FC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OR 0.19 (0.04-0.86), p=0.002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66B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0B4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OR 0.73 (0.28-1.94), p=0.53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23B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1.3% vs. 1.3%, p=0.91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442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OR 1.68 (0.94-3.01), p=0.08</w:t>
            </w:r>
          </w:p>
        </w:tc>
      </w:tr>
      <w:tr w:rsidR="005B6738" w:rsidRPr="00FA2064" w14:paraId="54DED197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DEDEEF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Ducci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4DF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AE01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65±33 minutes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3807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3175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419FC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5B22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84.8% vs. 92.9%, p=0.14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B20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0: 51.8% vs. 53.6%, p=0.83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75E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3: 89.3% vs. 91.1%, p=0.72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1EE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0.9% vs. 1.8%, p=0.62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406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05F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A37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55C3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1.8% vs. 0%, p=0.55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CB4B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</w:tr>
      <w:tr w:rsidR="005B6738" w:rsidRPr="00FA2064" w14:paraId="54D2AB3B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1B636D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Fabris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10B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7CDDE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33 minutes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18D8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not reported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F194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not reported 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9C39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not reported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02E1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12.2% vs. 24.5%, p&lt;0.001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62A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&lt; 3: 85.7% vs. 90.3%, p=0.09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3D2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A5E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CF3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1.3% vs. 1.7%, p=0.7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3271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CFE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At 30 days: 1.3% vs. 2.0%, p=0.51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82E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Inhospital: 2.1% vs. 2.0%, p=0.93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6B06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In hospital: 7.2% vs. 5.0%, p=0.29</w:t>
            </w:r>
          </w:p>
        </w:tc>
      </w:tr>
      <w:tr w:rsidR="005B6738" w:rsidRPr="006B6C50" w14:paraId="41D7AB02" w14:textId="77777777" w:rsidTr="004508AB">
        <w:trPr>
          <w:trHeight w:val="19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FDF69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Zeymer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84F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C4FBF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47 minutes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C45ED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100% **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3728A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DB8A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1B210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47.2% vs. 48.8%, p=0.80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F005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&lt; 3: 67.4% vs. 72.6%, p=0.50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D259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TIMI 3: 89.3% 88.6%, p=0.90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4B4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E518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C367" w14:textId="77777777" w:rsidR="005B6738" w:rsidRPr="00071476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1FA8" w14:textId="77777777" w:rsidR="005B6738" w:rsidRPr="00BA617B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617B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At 7 days or discharge: 0.6% vs. 1.8%, p=0.20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56AF" w14:textId="77777777" w:rsidR="005B6738" w:rsidRPr="00BA617B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617B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At 7 days or discharge: 9.1% vs. 8.2%, p=0.80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4BB8" w14:textId="77777777" w:rsidR="005B6738" w:rsidRPr="00BA617B" w:rsidRDefault="005B6738" w:rsidP="004508AB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617B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At 7 days or discharge: 0.6% vs. 2.3%, p=0.10</w:t>
            </w:r>
          </w:p>
        </w:tc>
      </w:tr>
    </w:tbl>
    <w:p w14:paraId="09C84B6A" w14:textId="77777777" w:rsidR="005B6738" w:rsidRPr="00BA617B" w:rsidRDefault="005B6738" w:rsidP="005B673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452D5" wp14:editId="46BA6EB3">
                <wp:simplePos x="0" y="0"/>
                <wp:positionH relativeFrom="column">
                  <wp:posOffset>0</wp:posOffset>
                </wp:positionH>
                <wp:positionV relativeFrom="paragraph">
                  <wp:posOffset>-3698</wp:posOffset>
                </wp:positionV>
                <wp:extent cx="6747510" cy="5359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510" cy="53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73D34C" w14:textId="77777777" w:rsidR="005B6738" w:rsidRPr="00A02C11" w:rsidRDefault="005B6738" w:rsidP="005B6738">
                            <w:pPr>
                              <w:rPr>
                                <w:lang w:val="en-US"/>
                              </w:rPr>
                            </w:pPr>
                            <w:r w:rsidRPr="00BA617B">
                              <w:rPr>
                                <w:lang w:val="en-US"/>
                              </w:rPr>
                              <w:t xml:space="preserve">* </w:t>
                            </w:r>
                            <w:r w:rsidRPr="00A02C11">
                              <w:rPr>
                                <w:lang w:val="en-US"/>
                              </w:rPr>
                              <w:t>Unadjusted results</w:t>
                            </w:r>
                          </w:p>
                          <w:p w14:paraId="0B7DCFC6" w14:textId="77777777" w:rsidR="005B6738" w:rsidRPr="00BA617B" w:rsidRDefault="005B6738" w:rsidP="005B6738">
                            <w:pPr>
                              <w:rPr>
                                <w:lang w:val="en-US"/>
                              </w:rPr>
                            </w:pPr>
                            <w:r w:rsidRPr="00BA617B">
                              <w:rPr>
                                <w:lang w:val="en-US"/>
                              </w:rPr>
                              <w:t xml:space="preserve">** </w:t>
                            </w:r>
                            <w:r w:rsidRPr="00A02C11">
                              <w:rPr>
                                <w:lang w:val="en-US"/>
                              </w:rPr>
                              <w:t>R</w:t>
                            </w:r>
                            <w:r w:rsidRPr="00BA617B">
                              <w:rPr>
                                <w:lang w:val="en-US"/>
                              </w:rPr>
                              <w:t>efers to the entire study population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452D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-.3pt;width:531.3pt;height:42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" fillcolor="white [3201]" stroked="f" strokeweight=".5pt">
                <v:textbox>
                  <w:txbxContent>
                    <w:p w14:paraId="1973D34C" w14:textId="77777777" w:rsidR="005B6738" w:rsidRPr="00A02C11" w:rsidRDefault="005B6738" w:rsidP="005B6738">
                      <w:pPr>
                        <w:rPr>
                          <w:lang w:val="en-US"/>
                        </w:rPr>
                      </w:pPr>
                      <w:r w:rsidRPr="00BA617B">
                        <w:rPr>
                          <w:lang w:val="en-US"/>
                        </w:rPr>
                        <w:t xml:space="preserve">* </w:t>
                      </w:r>
                      <w:r w:rsidRPr="00A02C11">
                        <w:rPr>
                          <w:lang w:val="en-US"/>
                        </w:rPr>
                        <w:t>Unadjusted results</w:t>
                      </w:r>
                    </w:p>
                    <w:p w14:paraId="0B7DCFC6" w14:textId="77777777" w:rsidR="005B6738" w:rsidRPr="00BA617B" w:rsidRDefault="005B6738" w:rsidP="005B6738">
                      <w:pPr>
                        <w:rPr>
                          <w:lang w:val="en-US"/>
                        </w:rPr>
                      </w:pPr>
                      <w:r w:rsidRPr="00BA617B">
                        <w:rPr>
                          <w:lang w:val="en-US"/>
                        </w:rPr>
                        <w:t xml:space="preserve">** </w:t>
                      </w:r>
                      <w:r w:rsidRPr="00A02C11">
                        <w:rPr>
                          <w:lang w:val="en-US"/>
                        </w:rPr>
                        <w:t>R</w:t>
                      </w:r>
                      <w:r w:rsidRPr="00BA617B">
                        <w:rPr>
                          <w:lang w:val="en-US"/>
                        </w:rPr>
                        <w:t>efers to the entire study population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401D342" w14:textId="77777777" w:rsidR="005B6738" w:rsidRPr="00BA617B" w:rsidRDefault="005B6738" w:rsidP="005B6738">
      <w:pPr>
        <w:rPr>
          <w:lang w:val="en-US"/>
        </w:rPr>
      </w:pPr>
    </w:p>
    <w:p w14:paraId="35127C32" w14:textId="77777777" w:rsidR="005B6738" w:rsidRPr="00BA617B" w:rsidRDefault="005B6738" w:rsidP="005B6738">
      <w:pPr>
        <w:rPr>
          <w:lang w:val="en-US"/>
        </w:rPr>
      </w:pPr>
    </w:p>
    <w:p w14:paraId="21334F40" w14:textId="77777777" w:rsidR="005B6738" w:rsidRDefault="005B6738" w:rsidP="005B6738">
      <w:pPr>
        <w:rPr>
          <w:b/>
          <w:bCs/>
          <w:color w:val="0070C0"/>
          <w:lang w:val="en-US"/>
        </w:rPr>
      </w:pPr>
      <w:r>
        <w:rPr>
          <w:b/>
          <w:bCs/>
          <w:color w:val="0070C0"/>
          <w:lang w:val="en-US"/>
        </w:rPr>
        <w:br w:type="page"/>
      </w:r>
    </w:p>
    <w:p w14:paraId="48740FDC" w14:textId="77777777" w:rsidR="005B6738" w:rsidRDefault="005B6738" w:rsidP="005B6738">
      <w:pPr>
        <w:rPr>
          <w:lang w:val="en-US"/>
        </w:rPr>
      </w:pPr>
      <w:r w:rsidRPr="00656F95">
        <w:rPr>
          <w:b/>
          <w:bCs/>
          <w:color w:val="0070C0"/>
          <w:lang w:val="en-US"/>
        </w:rPr>
        <w:lastRenderedPageBreak/>
        <w:t>Table S</w:t>
      </w:r>
      <w:r>
        <w:rPr>
          <w:b/>
          <w:bCs/>
          <w:color w:val="0070C0"/>
          <w:lang w:val="en-US"/>
        </w:rPr>
        <w:t>3</w:t>
      </w:r>
      <w:r w:rsidRPr="00656F95">
        <w:rPr>
          <w:b/>
          <w:bCs/>
          <w:color w:val="0070C0"/>
          <w:lang w:val="en-US"/>
        </w:rPr>
        <w:t xml:space="preserve"> –</w:t>
      </w:r>
      <w:r w:rsidRPr="003559E7">
        <w:rPr>
          <w:lang w:val="en-US"/>
        </w:rPr>
        <w:t xml:space="preserve"> </w:t>
      </w:r>
      <w:r>
        <w:rPr>
          <w:lang w:val="en-US"/>
        </w:rPr>
        <w:t>Bleeding outcomes definition for each included study.</w:t>
      </w:r>
    </w:p>
    <w:p w14:paraId="27913AF2" w14:textId="77777777" w:rsidR="005B6738" w:rsidRDefault="005B6738" w:rsidP="005B6738">
      <w:pPr>
        <w:rPr>
          <w:lang w:val="en-US"/>
        </w:rPr>
      </w:pPr>
    </w:p>
    <w:tbl>
      <w:tblPr>
        <w:tblpPr w:leftFromText="180" w:rightFromText="180" w:vertAnchor="page" w:horzAnchor="margin" w:tblpXSpec="center" w:tblpY="2120"/>
        <w:tblW w:w="11375" w:type="dxa"/>
        <w:tblLook w:val="04A0" w:firstRow="1" w:lastRow="0" w:firstColumn="1" w:lastColumn="0" w:noHBand="0" w:noVBand="1"/>
      </w:tblPr>
      <w:tblGrid>
        <w:gridCol w:w="1417"/>
        <w:gridCol w:w="9958"/>
      </w:tblGrid>
      <w:tr w:rsidR="005B6738" w:rsidRPr="00071476" w14:paraId="3A67E0D9" w14:textId="77777777" w:rsidTr="004508AB">
        <w:trPr>
          <w:trHeight w:val="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2F75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9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1C514D" w14:textId="77777777" w:rsidR="005B6738" w:rsidRPr="00A77A70" w:rsidRDefault="005B6738" w:rsidP="004508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Definition</w:t>
            </w:r>
          </w:p>
        </w:tc>
      </w:tr>
      <w:tr w:rsidR="005B6738" w:rsidRPr="006B6C50" w14:paraId="3291DB0E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29B18F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Redfords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D94C9" w14:textId="77777777" w:rsidR="005B6738" w:rsidRPr="00A803E0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A803E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P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uncture site hematoma&gt;5 cm or pseudo-aneurysm requiring intervention, cardiac tamponade, drop in hemoglobin&gt;20 g/L, intracranial bleeding, prolonged compression-treatment (&gt;6 hours), transfusion, or surgical</w:t>
            </w:r>
            <w:r w:rsidRPr="00A803E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 intervention</w:t>
            </w:r>
          </w:p>
        </w:tc>
      </w:tr>
      <w:tr w:rsidR="005B6738" w:rsidRPr="006B6C50" w14:paraId="59080D9C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8D817A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Effron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CF38B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A803E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H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emoglobin drop </w:t>
            </w:r>
            <w:r w:rsidRPr="00A803E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≥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3 g</w:t>
            </w:r>
            <w:r w:rsidRPr="00A803E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/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dL</w:t>
            </w:r>
            <w:r w:rsidRPr="00A803E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, 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transfusion of whole blood or packed red blood cells</w:t>
            </w:r>
            <w:r w:rsidRPr="00A803E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, 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or procedural intervention/surgery at the bleeding site to reverse/stop or correct the bleeding</w:t>
            </w:r>
          </w:p>
        </w:tc>
      </w:tr>
      <w:tr w:rsidR="005B6738" w:rsidRPr="006B6C50" w14:paraId="23BE21DE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FF0C17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Yudi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F8FD7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E33D04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A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ny bleeding requiring a blood transfusion and/or prolonged hospital admission and/or a drop of hemoglobin &gt;3 g/dl</w:t>
            </w:r>
          </w:p>
        </w:tc>
      </w:tr>
      <w:tr w:rsidR="005B6738" w:rsidRPr="006B6C50" w14:paraId="61475298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2617AA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Larson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6C2AD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557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Major bleeding events according to TIMI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bleeding criteria</w:t>
            </w:r>
          </w:p>
        </w:tc>
      </w:tr>
      <w:tr w:rsidR="005B6738" w:rsidRPr="006B6C50" w14:paraId="0C69DF81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3872B4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Danchin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22ED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557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Major bleeding events according to TIMI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bleeding criteria</w:t>
            </w:r>
          </w:p>
        </w:tc>
      </w:tr>
      <w:tr w:rsidR="005B6738" w:rsidRPr="006B6C50" w14:paraId="426D283D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AFFFA6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Lupi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F6E73" w14:textId="77777777" w:rsidR="005B6738" w:rsidRPr="00E33D04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E33D04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Bleeding events according to BARC classification,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type</w:t>
            </w:r>
            <w:r w:rsidRPr="00E33D04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 ≥3</w:t>
            </w:r>
          </w:p>
        </w:tc>
      </w:tr>
      <w:tr w:rsidR="005B6738" w:rsidRPr="00071476" w14:paraId="28C1FD09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AD8CBD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Lev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D3408" w14:textId="77777777" w:rsidR="005B6738" w:rsidRPr="0072707E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</w:tr>
      <w:tr w:rsidR="005B6738" w:rsidRPr="006B6C50" w14:paraId="245C8896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150BDA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Dorler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6BE9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72707E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A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ny intracranial hemorrhage, a drop of hemoglobin of ≥5 g/dL (decrease in hematocrit of ≥15% if hemoglobin was unavailable), need for blood transfusion</w:t>
            </w:r>
            <w:r w:rsidRPr="0072707E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,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 or surgical intervention.</w:t>
            </w:r>
          </w:p>
        </w:tc>
      </w:tr>
      <w:tr w:rsidR="005B6738" w:rsidRPr="006B6C50" w14:paraId="5AE4D43A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F0AC26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Fefer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8F67D" w14:textId="77777777" w:rsidR="005B6738" w:rsidRPr="006C6DAD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6C6DAD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Specific criteria unavailable – only identified as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major bleeding events</w:t>
            </w:r>
          </w:p>
        </w:tc>
      </w:tr>
      <w:tr w:rsidR="005B6738" w:rsidRPr="006B6C50" w14:paraId="230647E8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AEA577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Alexander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8B64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6C6DAD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A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bsolute hematocrit decrease </w:t>
            </w:r>
            <w:r w:rsidRPr="006C6DAD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≥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12%, intracranial hemorrhage stroke, witnessed retroperitoneal bleeding event, baseline hematocrit </w:t>
            </w:r>
            <w:r w:rsidRPr="006C6DAD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≥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28% with red blood cell transfusion, or baseline hematocrit </w:t>
            </w:r>
            <w:r w:rsidRPr="006C6DAD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&lt;</w:t>
            </w:r>
            <w:r w:rsidRPr="00712B48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28% with red blood cell transfusion and witnessed bleeding event</w:t>
            </w:r>
          </w:p>
        </w:tc>
      </w:tr>
      <w:tr w:rsidR="005B6738" w:rsidRPr="006B6C50" w14:paraId="6684098C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015B2F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D'Entremont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F3FD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E33D04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Bleeding events according to BARC classification,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type</w:t>
            </w:r>
            <w:r w:rsidRPr="00E33D04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 ≥3</w:t>
            </w:r>
          </w:p>
        </w:tc>
      </w:tr>
      <w:tr w:rsidR="005B6738" w:rsidRPr="006B6C50" w14:paraId="26A26E2F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6F3B7D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Guedes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A1F60" w14:textId="77777777" w:rsidR="005B6738" w:rsidRPr="007A74CA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7A74CA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Major bleeding events according to GUSTO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bleeding criteria</w:t>
            </w:r>
          </w:p>
        </w:tc>
      </w:tr>
      <w:tr w:rsidR="005B6738" w:rsidRPr="006B6C50" w14:paraId="5F3462BA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69BF6A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Pepe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2425" w14:textId="77777777" w:rsidR="005B6738" w:rsidRPr="00712B48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557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Major bleeding events according to TIMI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bleeding criteria</w:t>
            </w:r>
          </w:p>
        </w:tc>
      </w:tr>
      <w:tr w:rsidR="005B6738" w:rsidRPr="00071476" w14:paraId="26918CFA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BC57C1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Waha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F6D52" w14:textId="77777777" w:rsidR="005B6738" w:rsidRPr="0072707E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</w:tr>
      <w:tr w:rsidR="005B6738" w:rsidRPr="00071476" w14:paraId="457F71C9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DA106A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Wiviott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471D3" w14:textId="77777777" w:rsidR="005B6738" w:rsidRPr="0072707E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</w:tr>
      <w:tr w:rsidR="005B6738" w:rsidRPr="006B6C50" w14:paraId="5D68E1BB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3D0675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Montalescot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998F" w14:textId="77777777" w:rsidR="005B6738" w:rsidRPr="00BA5570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557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Major bleeding events according to TIMI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bleeding criteria</w:t>
            </w:r>
          </w:p>
        </w:tc>
      </w:tr>
      <w:tr w:rsidR="005B6738" w:rsidRPr="00071476" w14:paraId="61E208ED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A8BA86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Ducci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5643" w14:textId="77777777" w:rsidR="005B6738" w:rsidRPr="0072707E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</w:tc>
      </w:tr>
      <w:tr w:rsidR="005B6738" w:rsidRPr="00071476" w14:paraId="66C0422A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7D5BF7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Fabris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F3D6" w14:textId="77777777" w:rsidR="005B6738" w:rsidRPr="00071476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-</w:t>
            </w:r>
          </w:p>
        </w:tc>
      </w:tr>
      <w:tr w:rsidR="005B6738" w:rsidRPr="006B6C50" w14:paraId="5A42CAC2" w14:textId="77777777" w:rsidTr="004508AB">
        <w:trPr>
          <w:trHeight w:val="3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B734E6" w14:textId="77777777" w:rsidR="005B6738" w:rsidRPr="00071476" w:rsidRDefault="005B6738" w:rsidP="004508AB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71476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Zeymer et al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4E1F" w14:textId="77777777" w:rsidR="005B6738" w:rsidRPr="00BA617B" w:rsidRDefault="005B6738" w:rsidP="004508AB">
            <w:pP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 w:rsidRPr="00BA557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Major bleeding events according to TIMI </w:t>
            </w: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bleeding criteria</w:t>
            </w:r>
          </w:p>
        </w:tc>
      </w:tr>
    </w:tbl>
    <w:p w14:paraId="4F6969F7" w14:textId="77777777" w:rsidR="005B6738" w:rsidRPr="00BA617B" w:rsidRDefault="005B6738" w:rsidP="005B6738">
      <w:pPr>
        <w:rPr>
          <w:lang w:val="en-US"/>
        </w:rPr>
      </w:pPr>
    </w:p>
    <w:p w14:paraId="1A12FB61" w14:textId="77777777" w:rsidR="005B6738" w:rsidRPr="00712B48" w:rsidRDefault="005B6738" w:rsidP="005B6738">
      <w:pPr>
        <w:rPr>
          <w:b/>
          <w:bCs/>
          <w:u w:val="single"/>
          <w:lang w:val="en-US"/>
        </w:rPr>
      </w:pPr>
    </w:p>
    <w:p w14:paraId="65427920" w14:textId="77777777" w:rsidR="0061745B" w:rsidRDefault="0061745B"/>
    <w:sectPr w:rsidR="0061745B" w:rsidSect="00BA617B">
      <w:pgSz w:w="16838" w:h="11906" w:orient="landscape"/>
      <w:pgMar w:top="139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38"/>
    <w:rsid w:val="00056733"/>
    <w:rsid w:val="000C6F8C"/>
    <w:rsid w:val="001D338A"/>
    <w:rsid w:val="001E5AD8"/>
    <w:rsid w:val="001F4541"/>
    <w:rsid w:val="00220BA8"/>
    <w:rsid w:val="0026699B"/>
    <w:rsid w:val="002D411A"/>
    <w:rsid w:val="00321EF7"/>
    <w:rsid w:val="0035593E"/>
    <w:rsid w:val="003A5EC1"/>
    <w:rsid w:val="00464B41"/>
    <w:rsid w:val="00491AEB"/>
    <w:rsid w:val="005B6738"/>
    <w:rsid w:val="0061745B"/>
    <w:rsid w:val="00686CCC"/>
    <w:rsid w:val="007514C5"/>
    <w:rsid w:val="008B3265"/>
    <w:rsid w:val="008E1C14"/>
    <w:rsid w:val="009A4488"/>
    <w:rsid w:val="00AB6AB3"/>
    <w:rsid w:val="00AF2BCC"/>
    <w:rsid w:val="00B35D3F"/>
    <w:rsid w:val="00B729FA"/>
    <w:rsid w:val="00B87423"/>
    <w:rsid w:val="00C25C7C"/>
    <w:rsid w:val="00C63E57"/>
    <w:rsid w:val="00D015D4"/>
    <w:rsid w:val="00E44685"/>
    <w:rsid w:val="00EE6969"/>
    <w:rsid w:val="00F76F0A"/>
    <w:rsid w:val="00F96460"/>
    <w:rsid w:val="00FB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8875C6"/>
  <w15:chartTrackingRefBased/>
  <w15:docId w15:val="{1882793F-66A0-B546-93BC-B0345024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738"/>
    <w:rPr>
      <w:rFonts w:ascii="Times New Roman" w:eastAsia="Times New Roman" w:hAnsi="Times New Roman" w:cs="Times New Roman"/>
      <w:lang w:val="pt-P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67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1146</Words>
  <Characters>6767</Characters>
  <Application>Microsoft Office Word</Application>
  <DocSecurity>0</DocSecurity>
  <Lines>127</Lines>
  <Paragraphs>46</Paragraphs>
  <ScaleCrop>false</ScaleCrop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Presume</dc:creator>
  <cp:keywords/>
  <dc:description/>
  <cp:lastModifiedBy>João Presume</cp:lastModifiedBy>
  <cp:revision>1</cp:revision>
  <dcterms:created xsi:type="dcterms:W3CDTF">2022-12-17T17:54:00Z</dcterms:created>
  <dcterms:modified xsi:type="dcterms:W3CDTF">2022-12-17T17:54:00Z</dcterms:modified>
</cp:coreProperties>
</file>