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E79C1" w14:textId="77777777" w:rsidR="003E128F" w:rsidRDefault="003E128F" w:rsidP="003E128F">
      <w:pPr>
        <w:spacing w:after="156" w:line="259" w:lineRule="auto"/>
        <w:ind w:left="1942" w:right="0" w:firstLine="0"/>
        <w:jc w:val="left"/>
      </w:pPr>
      <w:r>
        <w:rPr>
          <w:b/>
          <w:color w:val="00000A"/>
          <w:sz w:val="32"/>
        </w:rPr>
        <w:t xml:space="preserve">Supplementary Information for manuscript:  </w:t>
      </w:r>
    </w:p>
    <w:p w14:paraId="3761B003" w14:textId="3378CBE0" w:rsidR="003E128F" w:rsidRDefault="003E128F" w:rsidP="003E128F">
      <w:pPr>
        <w:spacing w:after="0" w:line="361" w:lineRule="auto"/>
        <w:ind w:left="210" w:right="190" w:firstLine="0"/>
        <w:jc w:val="center"/>
      </w:pPr>
      <w:r>
        <w:rPr>
          <w:b/>
          <w:color w:val="00000A"/>
          <w:sz w:val="32"/>
        </w:rPr>
        <w:t>“</w:t>
      </w:r>
      <w:r w:rsidRPr="003E128F">
        <w:rPr>
          <w:b/>
          <w:color w:val="00000A"/>
          <w:sz w:val="32"/>
        </w:rPr>
        <w:t>Persistent T cell unresponsiveness associated with chronic VL disease in VL-HIV patients</w:t>
      </w:r>
      <w:r>
        <w:rPr>
          <w:b/>
          <w:color w:val="00000A"/>
          <w:sz w:val="32"/>
        </w:rPr>
        <w:t xml:space="preserve">”. </w:t>
      </w:r>
    </w:p>
    <w:p w14:paraId="39AA4732" w14:textId="3CA9D095" w:rsidR="003E128F" w:rsidRDefault="003E128F" w:rsidP="003E128F">
      <w:pPr>
        <w:spacing w:after="0" w:line="259" w:lineRule="auto"/>
        <w:ind w:left="0" w:firstLine="0"/>
        <w:jc w:val="center"/>
      </w:pPr>
      <w:r>
        <w:rPr>
          <w:color w:val="00000A"/>
          <w:lang w:val="en-NL"/>
        </w:rPr>
        <w:t>de Vrij</w:t>
      </w:r>
      <w:r>
        <w:rPr>
          <w:color w:val="00000A"/>
        </w:rPr>
        <w:t xml:space="preserve"> et al. </w:t>
      </w:r>
    </w:p>
    <w:p w14:paraId="0C7F88E2" w14:textId="59B3B054" w:rsidR="003E128F" w:rsidRDefault="003E128F">
      <w:pPr>
        <w:spacing w:after="160" w:line="259" w:lineRule="auto"/>
        <w:ind w:left="0" w:right="0" w:firstLine="0"/>
        <w:jc w:val="left"/>
      </w:pPr>
      <w:r>
        <w:br w:type="page"/>
      </w:r>
    </w:p>
    <w:p w14:paraId="5E40AC8A" w14:textId="77777777" w:rsidR="003E128F" w:rsidRDefault="003E128F" w:rsidP="003E128F">
      <w:pPr>
        <w:pStyle w:val="Heading1"/>
        <w:ind w:left="-5"/>
      </w:pPr>
      <w:r>
        <w:lastRenderedPageBreak/>
        <w:t xml:space="preserve">Supplementary Figures </w:t>
      </w:r>
    </w:p>
    <w:p w14:paraId="4FC24BF4" w14:textId="77777777" w:rsidR="00D00429" w:rsidRDefault="00D00429" w:rsidP="00D00429">
      <w:pPr>
        <w:keepNext/>
      </w:pPr>
      <w:r>
        <w:rPr>
          <w:noProof/>
        </w:rPr>
        <w:drawing>
          <wp:inline distT="0" distB="0" distL="0" distR="0" wp14:anchorId="796D566F" wp14:editId="23480C85">
            <wp:extent cx="3443516" cy="7477125"/>
            <wp:effectExtent l="0" t="0" r="5080" b="0"/>
            <wp:docPr id="1" name="Picture 1" descr="Calenda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alendar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5552" cy="7481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07C4D" w14:textId="2774D03B" w:rsidR="00792FB4" w:rsidRDefault="00D00429" w:rsidP="00C1218A">
      <w:pPr>
        <w:ind w:left="-5" w:right="73"/>
        <w:rPr>
          <w:rFonts w:cstheme="minorHAnsi"/>
          <w:lang w:val="en-NL"/>
        </w:rPr>
      </w:pPr>
      <w:r>
        <w:rPr>
          <w:b/>
        </w:rPr>
        <w:t xml:space="preserve">Supplementary Figure 1 | </w:t>
      </w:r>
      <w:r>
        <w:rPr>
          <w:b/>
          <w:lang w:val="en-NL"/>
        </w:rPr>
        <w:t xml:space="preserve">Gating strategy for the T cell exhaustion panel. </w:t>
      </w:r>
      <w:r>
        <w:rPr>
          <w:lang w:val="en-NL"/>
        </w:rPr>
        <w:t xml:space="preserve">Patient PBMCs were isolated and stained for flow cytometry. </w:t>
      </w:r>
      <w:r w:rsidR="00C1218A">
        <w:rPr>
          <w:lang w:val="en-NL"/>
        </w:rPr>
        <w:t>After exclusion of doublets and non-lymphocytes, single lymphocytes were gate</w:t>
      </w:r>
      <w:r w:rsidR="00B70FFB">
        <w:rPr>
          <w:lang w:val="en-NL"/>
        </w:rPr>
        <w:t>d</w:t>
      </w:r>
      <w:r w:rsidR="00C1218A">
        <w:rPr>
          <w:lang w:val="en-NL"/>
        </w:rPr>
        <w:t xml:space="preserve"> for live cells. Next, CD8</w:t>
      </w:r>
      <w:r w:rsidR="00C1218A">
        <w:rPr>
          <w:vertAlign w:val="superscript"/>
          <w:lang w:val="en-NL"/>
        </w:rPr>
        <w:t>+</w:t>
      </w:r>
      <w:r w:rsidR="00C1218A">
        <w:rPr>
          <w:lang w:val="en-NL"/>
        </w:rPr>
        <w:t xml:space="preserve"> and CD8</w:t>
      </w:r>
      <w:r w:rsidR="00C1218A">
        <w:rPr>
          <w:vertAlign w:val="superscript"/>
          <w:lang w:val="en-NL"/>
        </w:rPr>
        <w:t>-</w:t>
      </w:r>
      <w:r w:rsidR="00C1218A">
        <w:rPr>
          <w:lang w:val="en-NL"/>
        </w:rPr>
        <w:t xml:space="preserve"> T cells were gated out by plotting CD3-VioGreen versus CD8-VioBlue. Out of these subsets, those positive for a range of exhaustion and senescence markers (</w:t>
      </w:r>
      <w:r w:rsidR="00C1218A" w:rsidRPr="00AC30BE">
        <w:rPr>
          <w:rFonts w:cstheme="minorHAnsi"/>
        </w:rPr>
        <w:t xml:space="preserve">CD57-APC-Vio770, LAG3-APC, KLRG1-PE-Vio770, </w:t>
      </w:r>
      <w:r w:rsidR="00C1218A">
        <w:rPr>
          <w:rFonts w:cstheme="minorHAnsi"/>
        </w:rPr>
        <w:t>PD-1</w:t>
      </w:r>
      <w:r w:rsidR="00C1218A" w:rsidRPr="00AC30BE">
        <w:rPr>
          <w:rFonts w:cstheme="minorHAnsi"/>
        </w:rPr>
        <w:t>-PE, TIM3</w:t>
      </w:r>
      <w:r w:rsidR="00C1218A">
        <w:rPr>
          <w:rFonts w:cstheme="minorHAnsi"/>
        </w:rPr>
        <w:t>-VioBright-FITC</w:t>
      </w:r>
      <w:r w:rsidR="00C1218A">
        <w:rPr>
          <w:rFonts w:cstheme="minorHAnsi"/>
          <w:lang w:val="en-NL"/>
        </w:rPr>
        <w:t>) were gated out.</w:t>
      </w:r>
    </w:p>
    <w:p w14:paraId="56B43390" w14:textId="166A4CDF" w:rsidR="00C1218A" w:rsidRDefault="00C1218A" w:rsidP="00C1218A">
      <w:pPr>
        <w:ind w:left="-5" w:right="73"/>
        <w:rPr>
          <w:lang w:val="en-NL"/>
        </w:rPr>
      </w:pPr>
      <w:r>
        <w:rPr>
          <w:noProof/>
          <w:lang w:val="en-NL"/>
        </w:rPr>
        <w:lastRenderedPageBreak/>
        <w:drawing>
          <wp:inline distT="0" distB="0" distL="0" distR="0" wp14:anchorId="1D776E4A" wp14:editId="3301D39B">
            <wp:extent cx="5731510" cy="5679440"/>
            <wp:effectExtent l="0" t="0" r="2540" b="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7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E4251" w14:textId="46DE0E24" w:rsidR="00C1218A" w:rsidRPr="00C1218A" w:rsidRDefault="00C1218A" w:rsidP="00C1218A">
      <w:pPr>
        <w:ind w:left="-5" w:right="73"/>
        <w:rPr>
          <w:rFonts w:cstheme="minorHAnsi"/>
          <w:lang w:val="en-NL"/>
        </w:rPr>
      </w:pPr>
      <w:r>
        <w:rPr>
          <w:b/>
        </w:rPr>
        <w:t xml:space="preserve">Supplementary Figure </w:t>
      </w:r>
      <w:r>
        <w:rPr>
          <w:b/>
          <w:lang w:val="en-NL"/>
        </w:rPr>
        <w:t>2</w:t>
      </w:r>
      <w:r>
        <w:rPr>
          <w:b/>
        </w:rPr>
        <w:t xml:space="preserve"> | </w:t>
      </w:r>
      <w:r>
        <w:rPr>
          <w:b/>
          <w:lang w:val="en-NL"/>
        </w:rPr>
        <w:t xml:space="preserve">Gating strategy for the CD4-targeted panel. </w:t>
      </w:r>
      <w:r>
        <w:rPr>
          <w:lang w:val="en-NL"/>
        </w:rPr>
        <w:t>Patient PBMCs were isolated and stained for flow cytometry. After exclusion of doublets and non-lymphocytes, single lymphocytes were gate for live cells. Next, CD4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and CD4</w:t>
      </w:r>
      <w:r>
        <w:rPr>
          <w:vertAlign w:val="superscript"/>
          <w:lang w:val="en-NL"/>
        </w:rPr>
        <w:t>-</w:t>
      </w:r>
      <w:r>
        <w:rPr>
          <w:lang w:val="en-NL"/>
        </w:rPr>
        <w:t xml:space="preserve"> T cells were gated out by plotting CD3-VioGreen versus CD4-VioBlue. Out of these subsets, those positive for </w:t>
      </w:r>
      <w:r>
        <w:rPr>
          <w:rFonts w:cstheme="minorHAnsi"/>
        </w:rPr>
        <w:t>FoxP3</w:t>
      </w:r>
      <w:r w:rsidRPr="00CE33EC">
        <w:rPr>
          <w:rFonts w:cstheme="minorHAnsi"/>
        </w:rPr>
        <w:t>-</w:t>
      </w:r>
      <w:r>
        <w:rPr>
          <w:rFonts w:cstheme="minorHAnsi"/>
        </w:rPr>
        <w:t>AlexaFluor750</w:t>
      </w:r>
      <w:r w:rsidRPr="00CE33EC">
        <w:rPr>
          <w:rFonts w:cstheme="minorHAnsi"/>
        </w:rPr>
        <w:t xml:space="preserve">, </w:t>
      </w:r>
      <w:r>
        <w:rPr>
          <w:rFonts w:cstheme="minorHAnsi"/>
        </w:rPr>
        <w:t>IFNy</w:t>
      </w:r>
      <w:r w:rsidRPr="00CE33EC">
        <w:rPr>
          <w:rFonts w:cstheme="minorHAnsi"/>
        </w:rPr>
        <w:t>-</w:t>
      </w:r>
      <w:r>
        <w:rPr>
          <w:rFonts w:cstheme="minorHAnsi"/>
        </w:rPr>
        <w:t>Vio667</w:t>
      </w:r>
      <w:r w:rsidRPr="00CE33EC">
        <w:rPr>
          <w:rFonts w:cstheme="minorHAnsi"/>
        </w:rPr>
        <w:t xml:space="preserve">, </w:t>
      </w:r>
      <w:r>
        <w:rPr>
          <w:rFonts w:cstheme="minorHAnsi"/>
        </w:rPr>
        <w:t>CXCR3</w:t>
      </w:r>
      <w:r w:rsidRPr="00CE33EC">
        <w:rPr>
          <w:rFonts w:cstheme="minorHAnsi"/>
        </w:rPr>
        <w:t xml:space="preserve">-PE-Vio770, </w:t>
      </w:r>
      <w:r>
        <w:rPr>
          <w:rFonts w:cstheme="minorHAnsi"/>
        </w:rPr>
        <w:t>IL10</w:t>
      </w:r>
      <w:r w:rsidRPr="00CE33EC">
        <w:rPr>
          <w:rFonts w:cstheme="minorHAnsi"/>
        </w:rPr>
        <w:t xml:space="preserve">-PE, </w:t>
      </w:r>
      <w:r>
        <w:rPr>
          <w:rFonts w:cstheme="minorHAnsi"/>
          <w:lang w:val="en-NL"/>
        </w:rPr>
        <w:t xml:space="preserve">and </w:t>
      </w:r>
      <w:r>
        <w:rPr>
          <w:rFonts w:cstheme="minorHAnsi"/>
        </w:rPr>
        <w:t>IL17A</w:t>
      </w:r>
      <w:r w:rsidRPr="00CE33EC">
        <w:rPr>
          <w:rFonts w:cstheme="minorHAnsi"/>
        </w:rPr>
        <w:t>-</w:t>
      </w:r>
      <w:r>
        <w:rPr>
          <w:rFonts w:cstheme="minorHAnsi"/>
        </w:rPr>
        <w:t>Vio515</w:t>
      </w:r>
      <w:r>
        <w:rPr>
          <w:rFonts w:cstheme="minorHAnsi"/>
          <w:lang w:val="en-NL"/>
        </w:rPr>
        <w:t xml:space="preserve"> were gated out. Within the CXCR3</w:t>
      </w:r>
      <w:r>
        <w:rPr>
          <w:rFonts w:cstheme="minorHAnsi"/>
          <w:vertAlign w:val="superscript"/>
          <w:lang w:val="en-NL"/>
        </w:rPr>
        <w:t xml:space="preserve">+ </w:t>
      </w:r>
      <w:r>
        <w:rPr>
          <w:rFonts w:cstheme="minorHAnsi"/>
          <w:lang w:val="en-NL"/>
        </w:rPr>
        <w:t>CD4</w:t>
      </w:r>
      <w:r>
        <w:rPr>
          <w:rFonts w:cstheme="minorHAnsi"/>
          <w:vertAlign w:val="superscript"/>
          <w:lang w:val="en-NL"/>
        </w:rPr>
        <w:t>+</w:t>
      </w:r>
      <w:r>
        <w:rPr>
          <w:rFonts w:cstheme="minorHAnsi"/>
          <w:lang w:val="en-NL"/>
        </w:rPr>
        <w:t xml:space="preserve"> T cell subset, those positive for </w:t>
      </w:r>
      <w:r>
        <w:rPr>
          <w:rFonts w:cstheme="minorHAnsi"/>
        </w:rPr>
        <w:t>IFNy</w:t>
      </w:r>
      <w:r w:rsidRPr="00CE33EC">
        <w:rPr>
          <w:rFonts w:cstheme="minorHAnsi"/>
        </w:rPr>
        <w:t>-</w:t>
      </w:r>
      <w:r>
        <w:rPr>
          <w:rFonts w:cstheme="minorHAnsi"/>
        </w:rPr>
        <w:t>Vio667</w:t>
      </w:r>
      <w:r>
        <w:rPr>
          <w:rFonts w:cstheme="minorHAnsi"/>
          <w:lang w:val="en-NL"/>
        </w:rPr>
        <w:t xml:space="preserve"> were gated out.</w:t>
      </w:r>
    </w:p>
    <w:p w14:paraId="193987E8" w14:textId="1068E03A" w:rsidR="00B70FFB" w:rsidRDefault="00B70FFB" w:rsidP="00C1218A">
      <w:pPr>
        <w:ind w:left="-5" w:right="73"/>
        <w:rPr>
          <w:lang w:val="en-NL"/>
        </w:rPr>
      </w:pPr>
      <w:r>
        <w:rPr>
          <w:noProof/>
          <w:lang w:val="en-NL"/>
        </w:rPr>
        <w:lastRenderedPageBreak/>
        <w:drawing>
          <wp:inline distT="0" distB="0" distL="0" distR="0" wp14:anchorId="2AB22322" wp14:editId="4864DF81">
            <wp:extent cx="5731510" cy="7334250"/>
            <wp:effectExtent l="0" t="0" r="2540" b="0"/>
            <wp:docPr id="3" name="Picture 3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&#10;&#10;Description automatically generated with low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C22CA" w14:textId="154AA1E7" w:rsidR="00B70FFB" w:rsidRDefault="00B70FFB" w:rsidP="00B70FFB">
      <w:pPr>
        <w:ind w:left="-5" w:right="73"/>
        <w:rPr>
          <w:rFonts w:cstheme="minorHAnsi"/>
          <w:lang w:val="en-NL"/>
        </w:rPr>
      </w:pPr>
      <w:r>
        <w:rPr>
          <w:b/>
        </w:rPr>
        <w:t xml:space="preserve">Supplementary Figure </w:t>
      </w:r>
      <w:r w:rsidR="007045A5">
        <w:rPr>
          <w:b/>
          <w:lang w:val="en-NL"/>
        </w:rPr>
        <w:t>3</w:t>
      </w:r>
      <w:r>
        <w:rPr>
          <w:b/>
        </w:rPr>
        <w:t xml:space="preserve"> | </w:t>
      </w:r>
      <w:r>
        <w:rPr>
          <w:b/>
          <w:lang w:val="en-NL"/>
        </w:rPr>
        <w:t>Gating strategy for the CD</w:t>
      </w:r>
      <w:r>
        <w:rPr>
          <w:b/>
          <w:lang w:val="en-NL"/>
        </w:rPr>
        <w:t>8/NK</w:t>
      </w:r>
      <w:r>
        <w:rPr>
          <w:b/>
          <w:lang w:val="en-NL"/>
        </w:rPr>
        <w:t xml:space="preserve">-targeted panel. </w:t>
      </w:r>
      <w:r>
        <w:rPr>
          <w:lang w:val="en-NL"/>
        </w:rPr>
        <w:t>Patient PBMCs were isolated and stained for flow cytometry. After exclusion of doublets and non-lymphocytes, single lymphocytes were gate for live cells. Next, CD</w:t>
      </w:r>
      <w:r>
        <w:rPr>
          <w:lang w:val="en-NL"/>
        </w:rPr>
        <w:t>8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and CD</w:t>
      </w:r>
      <w:r>
        <w:rPr>
          <w:lang w:val="en-NL"/>
        </w:rPr>
        <w:t>8</w:t>
      </w:r>
      <w:r>
        <w:rPr>
          <w:vertAlign w:val="superscript"/>
          <w:lang w:val="en-NL"/>
        </w:rPr>
        <w:t>-</w:t>
      </w:r>
      <w:r>
        <w:rPr>
          <w:lang w:val="en-NL"/>
        </w:rPr>
        <w:t xml:space="preserve"> T cells were gated out by plotting CD3-VioGreen versus CD</w:t>
      </w:r>
      <w:r>
        <w:rPr>
          <w:lang w:val="en-NL"/>
        </w:rPr>
        <w:t>8</w:t>
      </w:r>
      <w:r>
        <w:rPr>
          <w:lang w:val="en-NL"/>
        </w:rPr>
        <w:t>-</w:t>
      </w:r>
      <w:proofErr w:type="spellStart"/>
      <w:r>
        <w:rPr>
          <w:lang w:val="en-NL"/>
        </w:rPr>
        <w:t>VioBlue</w:t>
      </w:r>
      <w:proofErr w:type="spellEnd"/>
      <w:r>
        <w:rPr>
          <w:lang w:val="en-NL"/>
        </w:rPr>
        <w:t xml:space="preserve">. </w:t>
      </w:r>
      <w:r>
        <w:rPr>
          <w:lang w:val="en-NL"/>
        </w:rPr>
        <w:t xml:space="preserve">Subsequently, NK cells were gated out by plotting CD3-VioGreen versus CD56-CD16-PerCP-Vio700. </w:t>
      </w:r>
      <w:r>
        <w:rPr>
          <w:lang w:val="en-NL"/>
        </w:rPr>
        <w:t xml:space="preserve">Out of these subsets, those positive for </w:t>
      </w:r>
      <w:r>
        <w:rPr>
          <w:rFonts w:cstheme="minorHAnsi"/>
        </w:rPr>
        <w:t>TIGIT</w:t>
      </w:r>
      <w:r w:rsidRPr="00CE33EC">
        <w:rPr>
          <w:rFonts w:cstheme="minorHAnsi"/>
        </w:rPr>
        <w:t>-PE</w:t>
      </w:r>
      <w:r>
        <w:rPr>
          <w:rFonts w:cstheme="minorHAnsi"/>
          <w:lang w:val="en-NL"/>
        </w:rPr>
        <w:t xml:space="preserve">, </w:t>
      </w:r>
      <w:r>
        <w:rPr>
          <w:rFonts w:cstheme="minorHAnsi"/>
        </w:rPr>
        <w:t>IFNy</w:t>
      </w:r>
      <w:r w:rsidRPr="00CE33EC">
        <w:rPr>
          <w:rFonts w:cstheme="minorHAnsi"/>
        </w:rPr>
        <w:t>-</w:t>
      </w:r>
      <w:r>
        <w:rPr>
          <w:rFonts w:cstheme="minorHAnsi"/>
        </w:rPr>
        <w:t>Vio667</w:t>
      </w:r>
      <w:r w:rsidRPr="00CE33EC">
        <w:rPr>
          <w:rFonts w:cstheme="minorHAnsi"/>
        </w:rPr>
        <w:t xml:space="preserve">, </w:t>
      </w:r>
      <w:r>
        <w:rPr>
          <w:rFonts w:cstheme="minorHAnsi"/>
          <w:lang w:val="en-NL"/>
        </w:rPr>
        <w:t>and</w:t>
      </w:r>
      <w:r>
        <w:rPr>
          <w:rFonts w:cstheme="minorHAnsi"/>
          <w:lang w:val="en-NL"/>
        </w:rPr>
        <w:t xml:space="preserve"> </w:t>
      </w:r>
      <w:r>
        <w:rPr>
          <w:rFonts w:cstheme="minorHAnsi"/>
        </w:rPr>
        <w:t>CD107a-FITC</w:t>
      </w:r>
      <w:r>
        <w:rPr>
          <w:rFonts w:cstheme="minorHAnsi"/>
          <w:lang w:val="en-NL"/>
        </w:rPr>
        <w:t xml:space="preserve"> </w:t>
      </w:r>
      <w:r>
        <w:rPr>
          <w:rFonts w:cstheme="minorHAnsi"/>
          <w:lang w:val="en-NL"/>
        </w:rPr>
        <w:t>were gated out.</w:t>
      </w:r>
    </w:p>
    <w:p w14:paraId="6B31E29F" w14:textId="73CFE771" w:rsidR="00AF70F1" w:rsidRDefault="00AF70F1" w:rsidP="00B70FFB">
      <w:pPr>
        <w:ind w:left="-5" w:right="73"/>
        <w:rPr>
          <w:rFonts w:cstheme="minorHAnsi"/>
          <w:lang w:val="en-NL"/>
        </w:rPr>
      </w:pPr>
    </w:p>
    <w:p w14:paraId="09EED9A8" w14:textId="22CE77A8" w:rsidR="00AF70F1" w:rsidRPr="00C1218A" w:rsidRDefault="00AF70F1" w:rsidP="00B70FFB">
      <w:pPr>
        <w:ind w:left="-5" w:right="73"/>
        <w:rPr>
          <w:rFonts w:cstheme="minorHAnsi"/>
          <w:lang w:val="en-NL"/>
        </w:rPr>
      </w:pPr>
      <w:r>
        <w:rPr>
          <w:rFonts w:cstheme="minorHAnsi"/>
          <w:noProof/>
          <w:lang w:val="en-NL"/>
        </w:rPr>
        <w:lastRenderedPageBreak/>
        <w:drawing>
          <wp:inline distT="0" distB="0" distL="0" distR="0" wp14:anchorId="65D12F23" wp14:editId="5D5F0068">
            <wp:extent cx="5731510" cy="3684270"/>
            <wp:effectExtent l="0" t="0" r="2540" b="0"/>
            <wp:docPr id="4" name="Picture 4" descr="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 with low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E417F" w14:textId="6450DA2D" w:rsidR="00D94A1E" w:rsidRDefault="00D94A1E" w:rsidP="00D94A1E">
      <w:pPr>
        <w:ind w:left="-5" w:right="73"/>
        <w:rPr>
          <w:lang w:val="en-NL"/>
        </w:rPr>
      </w:pPr>
      <w:r>
        <w:rPr>
          <w:b/>
        </w:rPr>
        <w:t xml:space="preserve">Supplementary Figure </w:t>
      </w:r>
      <w:r>
        <w:rPr>
          <w:b/>
          <w:lang w:val="en-NL"/>
        </w:rPr>
        <w:t>4</w:t>
      </w:r>
      <w:r>
        <w:rPr>
          <w:b/>
        </w:rPr>
        <w:t xml:space="preserve"> | </w:t>
      </w:r>
      <w:proofErr w:type="spellStart"/>
      <w:r w:rsidRPr="00D94A1E">
        <w:rPr>
          <w:b/>
          <w:lang w:val="en-NL"/>
        </w:rPr>
        <w:t>Immun</w:t>
      </w:r>
      <w:r>
        <w:rPr>
          <w:b/>
          <w:lang w:val="en-NL"/>
        </w:rPr>
        <w:t>osenescence</w:t>
      </w:r>
      <w:proofErr w:type="spellEnd"/>
      <w:r w:rsidRPr="00D94A1E">
        <w:rPr>
          <w:b/>
          <w:lang w:val="en-NL"/>
        </w:rPr>
        <w:t xml:space="preserve"> in the CD4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 T cell (CD3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>CD8</w:t>
      </w:r>
      <w:r w:rsidRPr="00D94A1E">
        <w:rPr>
          <w:b/>
          <w:vertAlign w:val="superscript"/>
          <w:lang w:val="en-NL"/>
        </w:rPr>
        <w:t>-</w:t>
      </w:r>
      <w:r w:rsidRPr="00D94A1E">
        <w:rPr>
          <w:b/>
          <w:lang w:val="en-NL"/>
        </w:rPr>
        <w:t xml:space="preserve">) </w:t>
      </w:r>
      <w:r>
        <w:rPr>
          <w:b/>
          <w:lang w:val="en-NL"/>
        </w:rPr>
        <w:t>and CD8</w:t>
      </w:r>
      <w:r w:rsidRPr="00D94A1E">
        <w:rPr>
          <w:b/>
          <w:vertAlign w:val="superscript"/>
          <w:lang w:val="en-NL"/>
        </w:rPr>
        <w:t>+</w:t>
      </w:r>
      <w:r>
        <w:rPr>
          <w:b/>
          <w:lang w:val="en-NL"/>
        </w:rPr>
        <w:t xml:space="preserve"> T cell </w:t>
      </w:r>
      <w:r w:rsidRPr="00D94A1E">
        <w:rPr>
          <w:b/>
          <w:lang w:val="en-NL"/>
        </w:rPr>
        <w:t>(CD3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>CD8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>)</w:t>
      </w:r>
      <w:r>
        <w:rPr>
          <w:b/>
          <w:lang w:val="en-NL"/>
        </w:rPr>
        <w:t xml:space="preserve"> fractions </w:t>
      </w:r>
      <w:r w:rsidRPr="00D94A1E">
        <w:rPr>
          <w:b/>
          <w:lang w:val="en-NL"/>
        </w:rPr>
        <w:t xml:space="preserve">of PBMCs isolated from the different patient groups as measured by flow cytometry. </w:t>
      </w:r>
      <w:r>
        <w:rPr>
          <w:b/>
          <w:bCs/>
        </w:rPr>
        <w:t>(</w:t>
      </w:r>
      <w:r>
        <w:rPr>
          <w:b/>
          <w:bCs/>
          <w:lang w:val="en-NL"/>
        </w:rPr>
        <w:t>A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D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G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J</w:t>
      </w:r>
      <w:r>
        <w:rPr>
          <w:b/>
          <w:bCs/>
        </w:rPr>
        <w:t xml:space="preserve">) </w:t>
      </w:r>
      <w:r>
        <w:t xml:space="preserve">Cross-sectional profiling of the proportions of </w:t>
      </w:r>
      <w:r>
        <w:rPr>
          <w:lang w:val="en-NL"/>
        </w:rPr>
        <w:t>KLRG1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</w:t>
      </w:r>
      <w:r>
        <w:t>CD8</w:t>
      </w:r>
      <w:r>
        <w:rPr>
          <w:vertAlign w:val="superscript"/>
        </w:rPr>
        <w:t xml:space="preserve">- </w:t>
      </w:r>
      <w:r>
        <w:t>T cells (CD3</w:t>
      </w:r>
      <w:r>
        <w:rPr>
          <w:vertAlign w:val="superscript"/>
        </w:rPr>
        <w:t>+</w:t>
      </w:r>
      <w:r>
        <w:t>CD8</w:t>
      </w:r>
      <w:r>
        <w:rPr>
          <w:vertAlign w:val="superscript"/>
        </w:rPr>
        <w:t>-</w:t>
      </w:r>
      <w:r>
        <w:t>/</w:t>
      </w:r>
      <w:r>
        <w:rPr>
          <w:lang w:val="en-NL"/>
        </w:rPr>
        <w:t>KLRG1</w:t>
      </w:r>
      <w:r>
        <w:rPr>
          <w:vertAlign w:val="superscript"/>
        </w:rPr>
        <w:t>+</w:t>
      </w:r>
      <w:r>
        <w:t xml:space="preserve">), </w:t>
      </w:r>
      <w:r>
        <w:rPr>
          <w:lang w:val="en-NL"/>
        </w:rPr>
        <w:t>CD57</w:t>
      </w:r>
      <w:r>
        <w:rPr>
          <w:vertAlign w:val="superscript"/>
          <w:lang w:val="en-NL"/>
        </w:rPr>
        <w:t>+</w:t>
      </w:r>
      <w:r>
        <w:t xml:space="preserve"> CD8</w:t>
      </w:r>
      <w:r>
        <w:rPr>
          <w:vertAlign w:val="superscript"/>
        </w:rPr>
        <w:t xml:space="preserve">- </w:t>
      </w:r>
      <w:r>
        <w:t>T cells (CD3</w:t>
      </w:r>
      <w:r>
        <w:rPr>
          <w:vertAlign w:val="superscript"/>
        </w:rPr>
        <w:t>+</w:t>
      </w:r>
      <w:r>
        <w:t>CD8</w:t>
      </w:r>
      <w:r>
        <w:rPr>
          <w:vertAlign w:val="superscript"/>
        </w:rPr>
        <w:t>-</w:t>
      </w:r>
      <w:r>
        <w:t>/</w:t>
      </w:r>
      <w:r>
        <w:rPr>
          <w:lang w:val="en-NL"/>
        </w:rPr>
        <w:t>CD57</w:t>
      </w:r>
      <w:r>
        <w:rPr>
          <w:vertAlign w:val="superscript"/>
        </w:rPr>
        <w:t>+</w:t>
      </w:r>
      <w:r>
        <w:t xml:space="preserve">), </w:t>
      </w:r>
      <w:r>
        <w:rPr>
          <w:lang w:val="en-NL"/>
        </w:rPr>
        <w:t>KLRG1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</w:t>
      </w:r>
      <w:r>
        <w:t>CD8</w:t>
      </w:r>
      <w:r>
        <w:rPr>
          <w:vertAlign w:val="superscript"/>
          <w:lang w:val="en-NL"/>
        </w:rPr>
        <w:t>+</w:t>
      </w:r>
      <w:r>
        <w:rPr>
          <w:vertAlign w:val="superscript"/>
        </w:rPr>
        <w:t xml:space="preserve"> </w:t>
      </w:r>
      <w:r>
        <w:t>T cells (CD3</w:t>
      </w:r>
      <w:r>
        <w:rPr>
          <w:vertAlign w:val="superscript"/>
        </w:rPr>
        <w:t>+</w:t>
      </w:r>
      <w:r>
        <w:t>CD8</w:t>
      </w:r>
      <w:r>
        <w:rPr>
          <w:vertAlign w:val="superscript"/>
          <w:lang w:val="en-NL"/>
        </w:rPr>
        <w:t>+</w:t>
      </w:r>
      <w:r>
        <w:t>/</w:t>
      </w:r>
      <w:r>
        <w:rPr>
          <w:lang w:val="en-NL"/>
        </w:rPr>
        <w:t>KLRG1</w:t>
      </w:r>
      <w:r>
        <w:rPr>
          <w:vertAlign w:val="superscript"/>
        </w:rPr>
        <w:t>+</w:t>
      </w:r>
      <w:r>
        <w:t xml:space="preserve">), and </w:t>
      </w:r>
      <w:r>
        <w:rPr>
          <w:lang w:val="en-NL"/>
        </w:rPr>
        <w:t>CD57</w:t>
      </w:r>
      <w:r>
        <w:rPr>
          <w:vertAlign w:val="superscript"/>
          <w:lang w:val="en-NL"/>
        </w:rPr>
        <w:t>+</w:t>
      </w:r>
      <w:r>
        <w:t xml:space="preserve"> CD8</w:t>
      </w:r>
      <w:r w:rsidRPr="00D94A1E">
        <w:rPr>
          <w:vertAlign w:val="superscript"/>
          <w:lang w:val="en-NL"/>
        </w:rPr>
        <w:t>+</w:t>
      </w:r>
      <w:r>
        <w:rPr>
          <w:vertAlign w:val="superscript"/>
        </w:rPr>
        <w:t xml:space="preserve"> </w:t>
      </w:r>
      <w:r>
        <w:t>T cells (CD3</w:t>
      </w:r>
      <w:r>
        <w:rPr>
          <w:vertAlign w:val="superscript"/>
        </w:rPr>
        <w:t>+</w:t>
      </w:r>
      <w:r>
        <w:t>CD8</w:t>
      </w:r>
      <w:r>
        <w:rPr>
          <w:vertAlign w:val="superscript"/>
          <w:lang w:val="en-NL"/>
        </w:rPr>
        <w:t>+</w:t>
      </w:r>
      <w:r>
        <w:t>/</w:t>
      </w:r>
      <w:r>
        <w:rPr>
          <w:lang w:val="en-NL"/>
        </w:rPr>
        <w:t>CD57</w:t>
      </w:r>
      <w:r>
        <w:rPr>
          <w:vertAlign w:val="superscript"/>
        </w:rPr>
        <w:t>+</w:t>
      </w:r>
      <w:r>
        <w:t>)</w:t>
      </w:r>
      <w:r>
        <w:rPr>
          <w:lang w:val="en-NL"/>
        </w:rPr>
        <w:t xml:space="preserve">, using a </w:t>
      </w:r>
      <w:proofErr w:type="spellStart"/>
      <w:r>
        <w:rPr>
          <w:lang w:val="en-NL"/>
        </w:rPr>
        <w:t>Benjamini</w:t>
      </w:r>
      <w:proofErr w:type="spellEnd"/>
      <w:r>
        <w:rPr>
          <w:lang w:val="en-NL"/>
        </w:rPr>
        <w:t>-Hochberg corrected pairwise Mann-Whitney U test to test for statistical differences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B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E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H</w:t>
      </w:r>
      <w:r>
        <w:rPr>
          <w:b/>
          <w:bCs/>
        </w:rPr>
        <w:t>,</w:t>
      </w:r>
      <w:r>
        <w:rPr>
          <w:b/>
          <w:bCs/>
          <w:lang w:val="en-NL"/>
        </w:rPr>
        <w:t xml:space="preserve"> K</w:t>
      </w:r>
      <w:r>
        <w:rPr>
          <w:b/>
          <w:bCs/>
        </w:rPr>
        <w:t xml:space="preserve">) </w:t>
      </w:r>
      <w:r>
        <w:t xml:space="preserve">Longitudinal </w:t>
      </w:r>
      <w:r>
        <w:rPr>
          <w:lang w:val="en-NL"/>
        </w:rPr>
        <w:t>characterisation</w:t>
      </w:r>
      <w:r>
        <w:t xml:space="preserve"> of the proportions of the same cellular subsets, for primary and chronic VL-HIV patients only</w:t>
      </w:r>
      <w:r>
        <w:rPr>
          <w:lang w:val="en-NL"/>
        </w:rPr>
        <w:t>, using linear mixed-effects models (see Methods)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C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F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I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L</w:t>
      </w:r>
      <w:r>
        <w:rPr>
          <w:b/>
          <w:bCs/>
        </w:rPr>
        <w:t>)</w:t>
      </w:r>
      <w:r>
        <w:t xml:space="preserve"> </w:t>
      </w:r>
      <w:r>
        <w:rPr>
          <w:lang w:val="en-NL"/>
        </w:rPr>
        <w:t>Characterisation</w:t>
      </w:r>
      <w:r>
        <w:t xml:space="preserve"> of the proportions of the same cellular subsets, in function of the annualised relapse rate</w:t>
      </w:r>
      <w:r>
        <w:rPr>
          <w:lang w:val="en-NL"/>
        </w:rPr>
        <w:t>, using linear mixed-effects models</w:t>
      </w:r>
      <w:r>
        <w:t>.</w:t>
      </w:r>
      <w:r>
        <w:rPr>
          <w:lang w:val="en-NL"/>
        </w:rPr>
        <w:t xml:space="preserve"> </w:t>
      </w:r>
      <w:r>
        <w:t xml:space="preserve">Cross-sectional analysis </w:t>
      </w:r>
      <w:r>
        <w:rPr>
          <w:lang w:val="en-NL"/>
        </w:rPr>
        <w:t xml:space="preserve">total </w:t>
      </w:r>
      <w:r>
        <w:t>N = 6</w:t>
      </w:r>
      <w:r>
        <w:rPr>
          <w:lang w:val="en-NL"/>
        </w:rPr>
        <w:t>3</w:t>
      </w:r>
      <w:r>
        <w:t>. Longitudinal analysis N = 2</w:t>
      </w:r>
      <w:r>
        <w:rPr>
          <w:lang w:val="en-NL"/>
        </w:rPr>
        <w:t>4</w:t>
      </w:r>
      <w:r>
        <w:t>.</w:t>
      </w:r>
      <w:r>
        <w:rPr>
          <w:lang w:val="en-NL"/>
        </w:rPr>
        <w:t xml:space="preserve"> Relapse rate analysis N = 21.</w:t>
      </w:r>
    </w:p>
    <w:p w14:paraId="0CCEE012" w14:textId="77777777" w:rsidR="00D94A1E" w:rsidRDefault="00D94A1E" w:rsidP="00D94A1E">
      <w:pPr>
        <w:ind w:left="-5" w:right="73"/>
        <w:rPr>
          <w:rFonts w:cstheme="minorHAnsi"/>
          <w:lang w:val="en-NL"/>
        </w:rPr>
      </w:pPr>
    </w:p>
    <w:p w14:paraId="226ED5C8" w14:textId="71BB673B" w:rsidR="00B70FFB" w:rsidRDefault="00B70FFB" w:rsidP="00C1218A">
      <w:pPr>
        <w:ind w:left="-5" w:right="73"/>
        <w:rPr>
          <w:lang w:val="en-NL"/>
        </w:rPr>
      </w:pPr>
    </w:p>
    <w:p w14:paraId="3D743C92" w14:textId="7119A000" w:rsidR="00D94A1E" w:rsidRDefault="00D94A1E" w:rsidP="00C1218A">
      <w:pPr>
        <w:ind w:left="-5" w:right="73"/>
        <w:rPr>
          <w:lang w:val="en-NL"/>
        </w:rPr>
      </w:pPr>
      <w:r>
        <w:rPr>
          <w:noProof/>
          <w:lang w:val="en-NL"/>
        </w:rPr>
        <w:lastRenderedPageBreak/>
        <w:drawing>
          <wp:inline distT="0" distB="0" distL="0" distR="0" wp14:anchorId="0F6CE6B0" wp14:editId="1953B066">
            <wp:extent cx="5731510" cy="2950210"/>
            <wp:effectExtent l="0" t="0" r="2540" b="254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65214" w14:textId="41F14435" w:rsidR="00BE013D" w:rsidRDefault="00D94A1E" w:rsidP="00D94A1E">
      <w:pPr>
        <w:ind w:left="-5" w:right="73"/>
        <w:rPr>
          <w:rFonts w:cstheme="minorHAnsi"/>
          <w:lang w:val="en-NL"/>
        </w:rPr>
      </w:pPr>
      <w:r>
        <w:rPr>
          <w:b/>
        </w:rPr>
        <w:t xml:space="preserve">Supplementary Figure </w:t>
      </w:r>
      <w:r>
        <w:rPr>
          <w:b/>
          <w:lang w:val="en-NL"/>
        </w:rPr>
        <w:t>5</w:t>
      </w:r>
      <w:r>
        <w:rPr>
          <w:b/>
        </w:rPr>
        <w:t xml:space="preserve"> | </w:t>
      </w:r>
      <w:r>
        <w:rPr>
          <w:b/>
          <w:lang w:val="en-NL"/>
        </w:rPr>
        <w:t>Cytokine response</w:t>
      </w:r>
      <w:r w:rsidRPr="00D94A1E">
        <w:rPr>
          <w:b/>
          <w:lang w:val="en-NL"/>
        </w:rPr>
        <w:t xml:space="preserve"> in the CD4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 T cell (CD3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>CD</w:t>
      </w:r>
      <w:r w:rsidR="00BE013D">
        <w:rPr>
          <w:b/>
          <w:lang w:val="en-NL"/>
        </w:rPr>
        <w:t>4</w:t>
      </w:r>
      <w:r w:rsidR="00BE013D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) </w:t>
      </w:r>
      <w:r>
        <w:rPr>
          <w:b/>
          <w:lang w:val="en-NL"/>
        </w:rPr>
        <w:t xml:space="preserve">fraction </w:t>
      </w:r>
      <w:r w:rsidRPr="00D94A1E">
        <w:rPr>
          <w:b/>
          <w:lang w:val="en-NL"/>
        </w:rPr>
        <w:t xml:space="preserve">of PBMCs isolated from the different patient groups as measured by flow cytometry. </w:t>
      </w:r>
      <w:r>
        <w:rPr>
          <w:b/>
          <w:bCs/>
        </w:rPr>
        <w:t>(</w:t>
      </w:r>
      <w:r>
        <w:rPr>
          <w:b/>
          <w:bCs/>
          <w:lang w:val="en-NL"/>
        </w:rPr>
        <w:t>A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D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G</w:t>
      </w:r>
      <w:r>
        <w:rPr>
          <w:b/>
          <w:bCs/>
        </w:rPr>
        <w:t xml:space="preserve">) </w:t>
      </w:r>
      <w:r>
        <w:t xml:space="preserve">Cross-sectional profiling of the proportions of 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  <w:lang w:val="en-NL"/>
        </w:rPr>
        <w:t>+</w:t>
      </w:r>
      <w:r>
        <w:rPr>
          <w:lang w:val="en-NL"/>
        </w:rPr>
        <w:t xml:space="preserve"> </w:t>
      </w:r>
      <w:r>
        <w:t>CD</w:t>
      </w:r>
      <w:r w:rsidR="00BE013D">
        <w:rPr>
          <w:lang w:val="en-NL"/>
        </w:rPr>
        <w:t>4</w:t>
      </w:r>
      <w:r w:rsidR="00BE013D">
        <w:rPr>
          <w:vertAlign w:val="superscript"/>
          <w:lang w:val="en-NL"/>
        </w:rPr>
        <w:t>+</w:t>
      </w:r>
      <w:r w:rsidRPr="00BE013D">
        <w:t xml:space="preserve"> </w:t>
      </w:r>
      <w:r>
        <w:t>T cells (CD3</w:t>
      </w:r>
      <w:r>
        <w:rPr>
          <w:vertAlign w:val="superscript"/>
        </w:rPr>
        <w:t>+</w:t>
      </w:r>
      <w:r>
        <w:t>CD</w:t>
      </w:r>
      <w:r w:rsidR="00BE013D">
        <w:rPr>
          <w:lang w:val="en-NL"/>
        </w:rPr>
        <w:t>4</w:t>
      </w:r>
      <w:r w:rsidR="00BE013D">
        <w:rPr>
          <w:vertAlign w:val="superscript"/>
          <w:lang w:val="en-NL"/>
        </w:rPr>
        <w:t>+</w:t>
      </w:r>
      <w:r>
        <w:t>/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</w:rPr>
        <w:t>+</w:t>
      </w:r>
      <w:r>
        <w:t xml:space="preserve">), </w:t>
      </w:r>
      <w:r w:rsidR="00BE013D">
        <w:rPr>
          <w:lang w:val="en-NL"/>
        </w:rPr>
        <w:t>IL17</w:t>
      </w:r>
      <w:r>
        <w:rPr>
          <w:vertAlign w:val="superscript"/>
          <w:lang w:val="en-NL"/>
        </w:rPr>
        <w:t>+</w:t>
      </w:r>
      <w:r>
        <w:t xml:space="preserve"> CD</w:t>
      </w:r>
      <w:r w:rsidR="00BE013D">
        <w:rPr>
          <w:lang w:val="en-NL"/>
        </w:rPr>
        <w:t>4</w:t>
      </w:r>
      <w:r w:rsidR="00BE013D">
        <w:rPr>
          <w:vertAlign w:val="superscript"/>
          <w:lang w:val="en-NL"/>
        </w:rPr>
        <w:t>+</w:t>
      </w:r>
      <w:r>
        <w:rPr>
          <w:vertAlign w:val="superscript"/>
        </w:rPr>
        <w:t xml:space="preserve"> </w:t>
      </w:r>
      <w:r>
        <w:t>T cells (CD3</w:t>
      </w:r>
      <w:r>
        <w:rPr>
          <w:vertAlign w:val="superscript"/>
        </w:rPr>
        <w:t>+</w:t>
      </w:r>
      <w:r>
        <w:t>CD</w:t>
      </w:r>
      <w:r w:rsidR="00BE013D">
        <w:rPr>
          <w:lang w:val="en-NL"/>
        </w:rPr>
        <w:t>4</w:t>
      </w:r>
      <w:r w:rsidR="00BE013D">
        <w:rPr>
          <w:vertAlign w:val="superscript"/>
          <w:lang w:val="en-NL"/>
        </w:rPr>
        <w:t>+</w:t>
      </w:r>
      <w:r>
        <w:t>/</w:t>
      </w:r>
      <w:r w:rsidR="00BE013D">
        <w:rPr>
          <w:lang w:val="en-NL"/>
        </w:rPr>
        <w:t>IL17</w:t>
      </w:r>
      <w:r>
        <w:rPr>
          <w:vertAlign w:val="superscript"/>
        </w:rPr>
        <w:t>+</w:t>
      </w:r>
      <w:r>
        <w:t xml:space="preserve">), and </w:t>
      </w:r>
      <w:r w:rsidR="00BE013D">
        <w:rPr>
          <w:lang w:val="en-NL"/>
        </w:rPr>
        <w:t>Tregs</w:t>
      </w:r>
      <w:r>
        <w:t xml:space="preserve"> cells (CD3</w:t>
      </w:r>
      <w:r>
        <w:rPr>
          <w:vertAlign w:val="superscript"/>
        </w:rPr>
        <w:t>+</w:t>
      </w:r>
      <w:r>
        <w:t>CD</w:t>
      </w:r>
      <w:r w:rsidR="00BE013D">
        <w:rPr>
          <w:lang w:val="en-NL"/>
        </w:rPr>
        <w:t>4</w:t>
      </w:r>
      <w:r w:rsidR="00BE013D">
        <w:rPr>
          <w:vertAlign w:val="superscript"/>
          <w:lang w:val="en-NL"/>
        </w:rPr>
        <w:t>+</w:t>
      </w:r>
      <w:r>
        <w:t>/</w:t>
      </w:r>
      <w:r w:rsidR="00BE013D">
        <w:rPr>
          <w:lang w:val="en-NL"/>
        </w:rPr>
        <w:t>FOXP3</w:t>
      </w:r>
      <w:r>
        <w:rPr>
          <w:vertAlign w:val="superscript"/>
        </w:rPr>
        <w:t>+</w:t>
      </w:r>
      <w:r>
        <w:t>)</w:t>
      </w:r>
      <w:r>
        <w:rPr>
          <w:lang w:val="en-NL"/>
        </w:rPr>
        <w:t xml:space="preserve">, using a </w:t>
      </w:r>
      <w:proofErr w:type="spellStart"/>
      <w:r>
        <w:rPr>
          <w:lang w:val="en-NL"/>
        </w:rPr>
        <w:t>Benjamini</w:t>
      </w:r>
      <w:proofErr w:type="spellEnd"/>
      <w:r>
        <w:rPr>
          <w:lang w:val="en-NL"/>
        </w:rPr>
        <w:t>-Hochberg corrected pairwise Mann-Whitney U test to test for statistical differences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B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E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H</w:t>
      </w:r>
      <w:r>
        <w:rPr>
          <w:b/>
          <w:bCs/>
        </w:rPr>
        <w:t xml:space="preserve">) </w:t>
      </w:r>
      <w:r>
        <w:t xml:space="preserve">Longitudinal </w:t>
      </w:r>
      <w:r>
        <w:rPr>
          <w:lang w:val="en-NL"/>
        </w:rPr>
        <w:t>characterisation</w:t>
      </w:r>
      <w:r>
        <w:t xml:space="preserve"> of the proportions of the same cellular subsets, for primary and chronic VL-HIV patients only</w:t>
      </w:r>
      <w:r>
        <w:rPr>
          <w:lang w:val="en-NL"/>
        </w:rPr>
        <w:t>, using linear mixed-effects models (see Methods)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C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F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I</w:t>
      </w:r>
      <w:r>
        <w:rPr>
          <w:b/>
          <w:bCs/>
        </w:rPr>
        <w:t>)</w:t>
      </w:r>
      <w:r>
        <w:t xml:space="preserve"> </w:t>
      </w:r>
      <w:r>
        <w:rPr>
          <w:lang w:val="en-NL"/>
        </w:rPr>
        <w:t>Characterisation</w:t>
      </w:r>
      <w:r>
        <w:t xml:space="preserve"> of the proportions of the same cellular subsets, in function of the annualised relapse rate</w:t>
      </w:r>
      <w:r>
        <w:rPr>
          <w:lang w:val="en-NL"/>
        </w:rPr>
        <w:t>, using linear mixed-effects models</w:t>
      </w:r>
      <w:r>
        <w:t>.</w:t>
      </w:r>
      <w:r>
        <w:rPr>
          <w:lang w:val="en-NL"/>
        </w:rPr>
        <w:t xml:space="preserve"> </w:t>
      </w:r>
      <w:r>
        <w:t xml:space="preserve">Cross-sectional analysis </w:t>
      </w:r>
      <w:r>
        <w:rPr>
          <w:lang w:val="en-NL"/>
        </w:rPr>
        <w:t xml:space="preserve">total </w:t>
      </w:r>
      <w:r>
        <w:t>N = 6</w:t>
      </w:r>
      <w:r>
        <w:rPr>
          <w:lang w:val="en-NL"/>
        </w:rPr>
        <w:t>3</w:t>
      </w:r>
      <w:r>
        <w:t>. Longitudinal analysis N = 2</w:t>
      </w:r>
      <w:r>
        <w:rPr>
          <w:lang w:val="en-NL"/>
        </w:rPr>
        <w:t>4</w:t>
      </w:r>
      <w:r>
        <w:t>.</w:t>
      </w:r>
      <w:r>
        <w:rPr>
          <w:lang w:val="en-NL"/>
        </w:rPr>
        <w:t xml:space="preserve"> Relapse rate analysis N = 21.</w:t>
      </w:r>
    </w:p>
    <w:p w14:paraId="1C1C7D09" w14:textId="6425C160" w:rsidR="00BE013D" w:rsidRDefault="00BE013D" w:rsidP="00D94A1E">
      <w:pPr>
        <w:ind w:left="-5" w:right="73"/>
        <w:rPr>
          <w:rFonts w:cstheme="minorHAnsi"/>
          <w:lang w:val="en-NL"/>
        </w:rPr>
      </w:pPr>
      <w:r>
        <w:rPr>
          <w:rFonts w:cstheme="minorHAnsi"/>
          <w:noProof/>
          <w:lang w:val="en-NL"/>
        </w:rPr>
        <w:drawing>
          <wp:inline distT="0" distB="0" distL="0" distR="0" wp14:anchorId="17785EBD" wp14:editId="54402F5B">
            <wp:extent cx="5731510" cy="2047240"/>
            <wp:effectExtent l="0" t="0" r="2540" b="0"/>
            <wp:docPr id="6" name="Picture 6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091CB" w14:textId="187AD982" w:rsidR="00BE013D" w:rsidRDefault="00BE013D" w:rsidP="00BE013D">
      <w:pPr>
        <w:ind w:left="-5" w:right="73"/>
        <w:rPr>
          <w:lang w:val="en-NL"/>
        </w:rPr>
      </w:pPr>
      <w:r>
        <w:rPr>
          <w:b/>
        </w:rPr>
        <w:t xml:space="preserve">Supplementary Figure </w:t>
      </w:r>
      <w:r>
        <w:rPr>
          <w:b/>
          <w:lang w:val="en-NL"/>
        </w:rPr>
        <w:t>6</w:t>
      </w:r>
      <w:r>
        <w:rPr>
          <w:b/>
        </w:rPr>
        <w:t xml:space="preserve"> | </w:t>
      </w:r>
      <w:proofErr w:type="spellStart"/>
      <w:r>
        <w:rPr>
          <w:b/>
          <w:lang w:val="en-NL"/>
        </w:rPr>
        <w:t>IFN</w:t>
      </w:r>
      <w:r>
        <w:rPr>
          <w:rFonts w:ascii="Calibri" w:hAnsi="Calibri" w:cs="Calibri"/>
          <w:b/>
          <w:lang w:val="en-NL"/>
        </w:rPr>
        <w:t>γ</w:t>
      </w:r>
      <w:proofErr w:type="spellEnd"/>
      <w:r>
        <w:rPr>
          <w:b/>
          <w:lang w:val="en-NL"/>
        </w:rPr>
        <w:t xml:space="preserve"> response</w:t>
      </w:r>
      <w:r w:rsidRPr="00D94A1E">
        <w:rPr>
          <w:b/>
          <w:lang w:val="en-NL"/>
        </w:rPr>
        <w:t xml:space="preserve"> in the CD4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 T cell (CD3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>CD</w:t>
      </w:r>
      <w:r>
        <w:rPr>
          <w:b/>
          <w:lang w:val="en-NL"/>
        </w:rPr>
        <w:t>4</w:t>
      </w:r>
      <w:r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) </w:t>
      </w:r>
      <w:r>
        <w:rPr>
          <w:b/>
          <w:lang w:val="en-NL"/>
        </w:rPr>
        <w:t xml:space="preserve">fraction </w:t>
      </w:r>
      <w:r w:rsidRPr="00D94A1E">
        <w:rPr>
          <w:b/>
          <w:lang w:val="en-NL"/>
        </w:rPr>
        <w:t xml:space="preserve">of PBMCs isolated from </w:t>
      </w:r>
      <w:r>
        <w:rPr>
          <w:b/>
          <w:lang w:val="en-NL"/>
        </w:rPr>
        <w:t>long-term cured and relapsed VL-HIV patients</w:t>
      </w:r>
      <w:r w:rsidRPr="00D94A1E">
        <w:rPr>
          <w:b/>
          <w:lang w:val="en-NL"/>
        </w:rPr>
        <w:t xml:space="preserve"> as measured by flow cytometry. </w:t>
      </w:r>
      <w:r>
        <w:rPr>
          <w:b/>
          <w:bCs/>
        </w:rPr>
        <w:t>(</w:t>
      </w:r>
      <w:r>
        <w:rPr>
          <w:b/>
          <w:bCs/>
          <w:lang w:val="en-NL"/>
        </w:rPr>
        <w:t>A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C</w:t>
      </w:r>
      <w:r>
        <w:rPr>
          <w:b/>
          <w:bCs/>
        </w:rPr>
        <w:t xml:space="preserve">) </w:t>
      </w:r>
      <w:r>
        <w:t xml:space="preserve">Cross-sectional profiling of the proportions of 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  <w:lang w:val="en-NL"/>
        </w:rPr>
        <w:t>+</w:t>
      </w:r>
      <w:r>
        <w:rPr>
          <w:lang w:val="en-NL"/>
        </w:rPr>
        <w:t xml:space="preserve"> </w:t>
      </w:r>
      <w:r>
        <w:t>CD</w:t>
      </w:r>
      <w:r>
        <w:rPr>
          <w:lang w:val="en-NL"/>
        </w:rPr>
        <w:t>4</w:t>
      </w:r>
      <w:r>
        <w:rPr>
          <w:vertAlign w:val="superscript"/>
          <w:lang w:val="en-NL"/>
        </w:rPr>
        <w:t>+</w:t>
      </w:r>
      <w:r>
        <w:rPr>
          <w:vertAlign w:val="superscript"/>
        </w:rPr>
        <w:t xml:space="preserve"> </w:t>
      </w:r>
      <w:r>
        <w:t>T cells (CD3</w:t>
      </w:r>
      <w:r>
        <w:rPr>
          <w:vertAlign w:val="superscript"/>
        </w:rPr>
        <w:t>+</w:t>
      </w:r>
      <w:r>
        <w:t>CD</w:t>
      </w:r>
      <w:r>
        <w:rPr>
          <w:lang w:val="en-NL"/>
        </w:rPr>
        <w:t>4</w:t>
      </w:r>
      <w:r>
        <w:rPr>
          <w:vertAlign w:val="superscript"/>
          <w:lang w:val="en-NL"/>
        </w:rPr>
        <w:t>+</w:t>
      </w:r>
      <w:r>
        <w:t>/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</w:rPr>
        <w:t>+</w:t>
      </w:r>
      <w:r>
        <w:t xml:space="preserve">), and 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  <w:lang w:val="en-NL"/>
        </w:rPr>
        <w:t>+</w:t>
      </w:r>
      <w:r>
        <w:rPr>
          <w:lang w:val="en-NL"/>
        </w:rPr>
        <w:t xml:space="preserve"> T</w:t>
      </w:r>
      <w:r>
        <w:rPr>
          <w:lang w:val="en-NL"/>
        </w:rPr>
        <w:t>h1</w:t>
      </w:r>
      <w:r>
        <w:t xml:space="preserve"> cells (CD3</w:t>
      </w:r>
      <w:r>
        <w:rPr>
          <w:vertAlign w:val="superscript"/>
        </w:rPr>
        <w:t>+</w:t>
      </w:r>
      <w:r>
        <w:t>CD</w:t>
      </w:r>
      <w:r>
        <w:rPr>
          <w:lang w:val="en-NL"/>
        </w:rPr>
        <w:t>4</w:t>
      </w:r>
      <w:r>
        <w:rPr>
          <w:vertAlign w:val="superscript"/>
          <w:lang w:val="en-NL"/>
        </w:rPr>
        <w:t>+</w:t>
      </w:r>
      <w:r>
        <w:t>/</w:t>
      </w:r>
      <w:r>
        <w:rPr>
          <w:lang w:val="en-NL"/>
        </w:rPr>
        <w:t>CXCR</w:t>
      </w:r>
      <w:r>
        <w:rPr>
          <w:lang w:val="en-NL"/>
        </w:rPr>
        <w:t>3</w:t>
      </w:r>
      <w:r>
        <w:rPr>
          <w:vertAlign w:val="superscript"/>
        </w:rPr>
        <w:t>+</w:t>
      </w:r>
      <w:r w:rsidRPr="00BE013D">
        <w:rPr>
          <w:lang w:val="en-NL"/>
        </w:rPr>
        <w:t>/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  <w:lang w:val="en-NL"/>
        </w:rPr>
        <w:t>+</w:t>
      </w:r>
      <w:r>
        <w:t>)</w:t>
      </w:r>
      <w:r>
        <w:rPr>
          <w:lang w:val="en-NL"/>
        </w:rPr>
        <w:t xml:space="preserve">, using a </w:t>
      </w:r>
      <w:proofErr w:type="spellStart"/>
      <w:r>
        <w:rPr>
          <w:lang w:val="en-NL"/>
        </w:rPr>
        <w:t>Benjamini</w:t>
      </w:r>
      <w:proofErr w:type="spellEnd"/>
      <w:r>
        <w:rPr>
          <w:lang w:val="en-NL"/>
        </w:rPr>
        <w:t>-Hochberg corrected pairwise Mann-Whitney U test to test for statistical differences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B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D</w:t>
      </w:r>
      <w:r>
        <w:rPr>
          <w:b/>
          <w:bCs/>
        </w:rPr>
        <w:t xml:space="preserve">) </w:t>
      </w:r>
      <w:r>
        <w:t xml:space="preserve">Longitudinal </w:t>
      </w:r>
      <w:r>
        <w:rPr>
          <w:lang w:val="en-NL"/>
        </w:rPr>
        <w:t>characterisation</w:t>
      </w:r>
      <w:r>
        <w:t xml:space="preserve"> of the proportions of the same cellular subsets, for </w:t>
      </w:r>
      <w:r w:rsidR="006F39EA">
        <w:rPr>
          <w:lang w:val="en-NL"/>
        </w:rPr>
        <w:t>long-term cured</w:t>
      </w:r>
      <w:r>
        <w:t xml:space="preserve"> and </w:t>
      </w:r>
      <w:r w:rsidR="006F39EA">
        <w:rPr>
          <w:lang w:val="en-NL"/>
        </w:rPr>
        <w:t>relapsed</w:t>
      </w:r>
      <w:r>
        <w:t xml:space="preserve"> VL-HIV patients only</w:t>
      </w:r>
      <w:r>
        <w:rPr>
          <w:lang w:val="en-NL"/>
        </w:rPr>
        <w:t>, using linear mixed-effects models (see Methods)</w:t>
      </w:r>
      <w:r>
        <w:t xml:space="preserve">. Cross-sectional analysis </w:t>
      </w:r>
      <w:r>
        <w:rPr>
          <w:lang w:val="en-NL"/>
        </w:rPr>
        <w:t xml:space="preserve">total </w:t>
      </w:r>
      <w:r>
        <w:t>N = 6</w:t>
      </w:r>
      <w:r>
        <w:rPr>
          <w:lang w:val="en-NL"/>
        </w:rPr>
        <w:t>3</w:t>
      </w:r>
      <w:r>
        <w:t>. Longitudinal analysis N = 2</w:t>
      </w:r>
      <w:r>
        <w:rPr>
          <w:lang w:val="en-NL"/>
        </w:rPr>
        <w:t>4</w:t>
      </w:r>
      <w:r>
        <w:t>.</w:t>
      </w:r>
      <w:r>
        <w:rPr>
          <w:lang w:val="en-NL"/>
        </w:rPr>
        <w:t xml:space="preserve"> Relapse rate analysis N = 21.</w:t>
      </w:r>
    </w:p>
    <w:p w14:paraId="6331B46C" w14:textId="257D10D3" w:rsidR="00BE013D" w:rsidRDefault="00BE013D" w:rsidP="00BE013D">
      <w:pPr>
        <w:ind w:left="-5" w:right="73"/>
        <w:rPr>
          <w:lang w:val="en-NL"/>
        </w:rPr>
      </w:pPr>
      <w:r>
        <w:rPr>
          <w:noProof/>
          <w:lang w:val="en-NL"/>
        </w:rPr>
        <w:lastRenderedPageBreak/>
        <w:drawing>
          <wp:inline distT="0" distB="0" distL="0" distR="0" wp14:anchorId="49FB31F0" wp14:editId="3917E469">
            <wp:extent cx="5731510" cy="2865755"/>
            <wp:effectExtent l="0" t="0" r="254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42DF8" w14:textId="64E44807" w:rsidR="00BE013D" w:rsidRDefault="00BE013D" w:rsidP="00BE013D">
      <w:pPr>
        <w:ind w:left="-5" w:right="73"/>
        <w:rPr>
          <w:lang w:val="en-NL"/>
        </w:rPr>
      </w:pPr>
      <w:r>
        <w:rPr>
          <w:b/>
        </w:rPr>
        <w:t xml:space="preserve">Supplementary Figure </w:t>
      </w:r>
      <w:r>
        <w:rPr>
          <w:b/>
          <w:lang w:val="en-NL"/>
        </w:rPr>
        <w:t>7</w:t>
      </w:r>
      <w:r>
        <w:rPr>
          <w:b/>
        </w:rPr>
        <w:t xml:space="preserve"> | </w:t>
      </w:r>
      <w:r>
        <w:rPr>
          <w:b/>
          <w:lang w:val="en-NL"/>
        </w:rPr>
        <w:t>Effector</w:t>
      </w:r>
      <w:r>
        <w:rPr>
          <w:b/>
          <w:lang w:val="en-NL"/>
        </w:rPr>
        <w:t xml:space="preserve"> response</w:t>
      </w:r>
      <w:r w:rsidRPr="00D94A1E">
        <w:rPr>
          <w:b/>
          <w:lang w:val="en-NL"/>
        </w:rPr>
        <w:t xml:space="preserve"> in the CD</w:t>
      </w:r>
      <w:r>
        <w:rPr>
          <w:b/>
          <w:lang w:val="en-NL"/>
        </w:rPr>
        <w:t>8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 T cell (CD3</w:t>
      </w:r>
      <w:r w:rsidRPr="00D94A1E"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>CD</w:t>
      </w:r>
      <w:r>
        <w:rPr>
          <w:b/>
          <w:lang w:val="en-NL"/>
        </w:rPr>
        <w:t>8</w:t>
      </w:r>
      <w:r>
        <w:rPr>
          <w:b/>
          <w:vertAlign w:val="superscript"/>
          <w:lang w:val="en-NL"/>
        </w:rPr>
        <w:t>+</w:t>
      </w:r>
      <w:r w:rsidRPr="00D94A1E">
        <w:rPr>
          <w:b/>
          <w:lang w:val="en-NL"/>
        </w:rPr>
        <w:t xml:space="preserve">) </w:t>
      </w:r>
      <w:r>
        <w:rPr>
          <w:b/>
          <w:lang w:val="en-NL"/>
        </w:rPr>
        <w:t xml:space="preserve">fraction </w:t>
      </w:r>
      <w:r w:rsidRPr="00D94A1E">
        <w:rPr>
          <w:b/>
          <w:lang w:val="en-NL"/>
        </w:rPr>
        <w:t xml:space="preserve">of PBMCs isolated from </w:t>
      </w:r>
      <w:r>
        <w:rPr>
          <w:b/>
          <w:lang w:val="en-NL"/>
        </w:rPr>
        <w:t>the different patient groups</w:t>
      </w:r>
      <w:r w:rsidRPr="00D94A1E">
        <w:rPr>
          <w:b/>
          <w:lang w:val="en-NL"/>
        </w:rPr>
        <w:t xml:space="preserve"> as measured by flow cytometry. </w:t>
      </w:r>
      <w:r>
        <w:rPr>
          <w:b/>
          <w:bCs/>
        </w:rPr>
        <w:t>(</w:t>
      </w:r>
      <w:r>
        <w:rPr>
          <w:b/>
          <w:bCs/>
          <w:lang w:val="en-NL"/>
        </w:rPr>
        <w:t>A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D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G</w:t>
      </w:r>
      <w:r>
        <w:rPr>
          <w:b/>
          <w:bCs/>
        </w:rPr>
        <w:t xml:space="preserve">) </w:t>
      </w:r>
      <w:r>
        <w:t xml:space="preserve">Cross-sectional profiling of the proportions of 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  <w:lang w:val="en-NL"/>
        </w:rPr>
        <w:t>+</w:t>
      </w:r>
      <w:r>
        <w:rPr>
          <w:lang w:val="en-NL"/>
        </w:rPr>
        <w:t xml:space="preserve"> </w:t>
      </w:r>
      <w:r>
        <w:t>CD</w:t>
      </w:r>
      <w:r>
        <w:rPr>
          <w:lang w:val="en-NL"/>
        </w:rPr>
        <w:t>8</w:t>
      </w:r>
      <w:r>
        <w:rPr>
          <w:vertAlign w:val="superscript"/>
          <w:lang w:val="en-NL"/>
        </w:rPr>
        <w:t>+</w:t>
      </w:r>
      <w:r w:rsidRPr="00BE013D">
        <w:t xml:space="preserve"> </w:t>
      </w:r>
      <w:r>
        <w:t>T cells (CD3</w:t>
      </w:r>
      <w:r>
        <w:rPr>
          <w:vertAlign w:val="superscript"/>
        </w:rPr>
        <w:t>+</w:t>
      </w:r>
      <w:r>
        <w:t>CD</w:t>
      </w:r>
      <w:r>
        <w:rPr>
          <w:lang w:val="en-NL"/>
        </w:rPr>
        <w:t>8</w:t>
      </w:r>
      <w:r>
        <w:rPr>
          <w:vertAlign w:val="superscript"/>
          <w:lang w:val="en-NL"/>
        </w:rPr>
        <w:t>+</w:t>
      </w:r>
      <w:r>
        <w:t>/</w:t>
      </w:r>
      <w:proofErr w:type="spellStart"/>
      <w:r>
        <w:rPr>
          <w:lang w:val="en-NL"/>
        </w:rPr>
        <w:t>IFN</w:t>
      </w:r>
      <w:r>
        <w:rPr>
          <w:rFonts w:ascii="Calibri" w:hAnsi="Calibri" w:cs="Calibri"/>
          <w:lang w:val="en-NL"/>
        </w:rPr>
        <w:t>γ</w:t>
      </w:r>
      <w:proofErr w:type="spellEnd"/>
      <w:r>
        <w:rPr>
          <w:vertAlign w:val="superscript"/>
        </w:rPr>
        <w:t>+</w:t>
      </w:r>
      <w:r>
        <w:t xml:space="preserve">), </w:t>
      </w:r>
      <w:r>
        <w:rPr>
          <w:lang w:val="en-NL"/>
        </w:rPr>
        <w:t>IL17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</w:t>
      </w:r>
      <w:r>
        <w:t>CD</w:t>
      </w:r>
      <w:r>
        <w:rPr>
          <w:lang w:val="en-NL"/>
        </w:rPr>
        <w:t>8</w:t>
      </w:r>
      <w:r>
        <w:rPr>
          <w:vertAlign w:val="superscript"/>
          <w:lang w:val="en-NL"/>
        </w:rPr>
        <w:t>+</w:t>
      </w:r>
      <w:r>
        <w:rPr>
          <w:vertAlign w:val="superscript"/>
        </w:rPr>
        <w:t xml:space="preserve"> </w:t>
      </w:r>
      <w:r>
        <w:t>T cells (CD3</w:t>
      </w:r>
      <w:r>
        <w:rPr>
          <w:vertAlign w:val="superscript"/>
        </w:rPr>
        <w:t>+</w:t>
      </w:r>
      <w:r>
        <w:t>CD</w:t>
      </w:r>
      <w:r>
        <w:rPr>
          <w:lang w:val="en-NL"/>
        </w:rPr>
        <w:t>4</w:t>
      </w:r>
      <w:r>
        <w:rPr>
          <w:vertAlign w:val="superscript"/>
          <w:lang w:val="en-NL"/>
        </w:rPr>
        <w:t>-</w:t>
      </w:r>
      <w:r>
        <w:t>/</w:t>
      </w:r>
      <w:r>
        <w:rPr>
          <w:lang w:val="en-NL"/>
        </w:rPr>
        <w:t>IL17</w:t>
      </w:r>
      <w:r>
        <w:rPr>
          <w:vertAlign w:val="superscript"/>
        </w:rPr>
        <w:t>+</w:t>
      </w:r>
      <w:r>
        <w:t xml:space="preserve">), and </w:t>
      </w:r>
      <w:r>
        <w:rPr>
          <w:lang w:val="en-NL"/>
        </w:rPr>
        <w:t>CD107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CD8</w:t>
      </w:r>
      <w:r>
        <w:rPr>
          <w:vertAlign w:val="superscript"/>
          <w:lang w:val="en-NL"/>
        </w:rPr>
        <w:t>+</w:t>
      </w:r>
      <w:r>
        <w:rPr>
          <w:lang w:val="en-NL"/>
        </w:rPr>
        <w:t xml:space="preserve"> T</w:t>
      </w:r>
      <w:r>
        <w:t xml:space="preserve"> cells (CD3</w:t>
      </w:r>
      <w:r>
        <w:rPr>
          <w:vertAlign w:val="superscript"/>
        </w:rPr>
        <w:t>+</w:t>
      </w:r>
      <w:r>
        <w:t>CD</w:t>
      </w:r>
      <w:r>
        <w:rPr>
          <w:lang w:val="en-NL"/>
        </w:rPr>
        <w:t>8</w:t>
      </w:r>
      <w:r>
        <w:rPr>
          <w:vertAlign w:val="superscript"/>
          <w:lang w:val="en-NL"/>
        </w:rPr>
        <w:t>+</w:t>
      </w:r>
      <w:r>
        <w:t>/</w:t>
      </w:r>
      <w:r>
        <w:rPr>
          <w:lang w:val="en-NL"/>
        </w:rPr>
        <w:t>CD107</w:t>
      </w:r>
      <w:r>
        <w:rPr>
          <w:vertAlign w:val="superscript"/>
        </w:rPr>
        <w:t>+</w:t>
      </w:r>
      <w:r>
        <w:t>)</w:t>
      </w:r>
      <w:r>
        <w:rPr>
          <w:lang w:val="en-NL"/>
        </w:rPr>
        <w:t xml:space="preserve">, using a </w:t>
      </w:r>
      <w:proofErr w:type="spellStart"/>
      <w:r>
        <w:rPr>
          <w:lang w:val="en-NL"/>
        </w:rPr>
        <w:t>Benjamini</w:t>
      </w:r>
      <w:proofErr w:type="spellEnd"/>
      <w:r>
        <w:rPr>
          <w:lang w:val="en-NL"/>
        </w:rPr>
        <w:t>-Hochberg corrected pairwise Mann-Whitney U test to test for statistical differences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B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E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H</w:t>
      </w:r>
      <w:r>
        <w:rPr>
          <w:b/>
          <w:bCs/>
        </w:rPr>
        <w:t xml:space="preserve">) </w:t>
      </w:r>
      <w:r>
        <w:t xml:space="preserve">Longitudinal </w:t>
      </w:r>
      <w:r>
        <w:rPr>
          <w:lang w:val="en-NL"/>
        </w:rPr>
        <w:t>characterisation</w:t>
      </w:r>
      <w:r>
        <w:t xml:space="preserve"> of the proportions of the same cellular subsets, for primary and chronic VL-HIV patients only</w:t>
      </w:r>
      <w:r>
        <w:rPr>
          <w:lang w:val="en-NL"/>
        </w:rPr>
        <w:t>, using linear mixed-effects models (see Methods)</w:t>
      </w:r>
      <w:r>
        <w:t xml:space="preserve">. </w:t>
      </w:r>
      <w:r>
        <w:rPr>
          <w:b/>
          <w:bCs/>
        </w:rPr>
        <w:t>(</w:t>
      </w:r>
      <w:r>
        <w:rPr>
          <w:b/>
          <w:bCs/>
          <w:lang w:val="en-NL"/>
        </w:rPr>
        <w:t>C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F</w:t>
      </w:r>
      <w:r>
        <w:rPr>
          <w:b/>
          <w:bCs/>
        </w:rPr>
        <w:t xml:space="preserve">, </w:t>
      </w:r>
      <w:r>
        <w:rPr>
          <w:b/>
          <w:bCs/>
          <w:lang w:val="en-NL"/>
        </w:rPr>
        <w:t>I</w:t>
      </w:r>
      <w:r>
        <w:rPr>
          <w:b/>
          <w:bCs/>
        </w:rPr>
        <w:t>)</w:t>
      </w:r>
      <w:r>
        <w:t xml:space="preserve"> </w:t>
      </w:r>
      <w:r>
        <w:rPr>
          <w:lang w:val="en-NL"/>
        </w:rPr>
        <w:t>Characterisation</w:t>
      </w:r>
      <w:r>
        <w:t xml:space="preserve"> of the proportions of the same cellular subsets, in function of the annualised relapse rate</w:t>
      </w:r>
      <w:r>
        <w:rPr>
          <w:lang w:val="en-NL"/>
        </w:rPr>
        <w:t>, using linear mixed-effects models</w:t>
      </w:r>
      <w:r>
        <w:t>.</w:t>
      </w:r>
      <w:r>
        <w:rPr>
          <w:lang w:val="en-NL"/>
        </w:rPr>
        <w:t xml:space="preserve"> </w:t>
      </w:r>
      <w:r>
        <w:t xml:space="preserve">Cross-sectional analysis </w:t>
      </w:r>
      <w:r>
        <w:rPr>
          <w:lang w:val="en-NL"/>
        </w:rPr>
        <w:t xml:space="preserve">total </w:t>
      </w:r>
      <w:r>
        <w:t>N = 6</w:t>
      </w:r>
      <w:r>
        <w:rPr>
          <w:lang w:val="en-NL"/>
        </w:rPr>
        <w:t>3</w:t>
      </w:r>
      <w:r>
        <w:t>. Longitudinal analysis N = 2</w:t>
      </w:r>
      <w:r>
        <w:rPr>
          <w:lang w:val="en-NL"/>
        </w:rPr>
        <w:t>4</w:t>
      </w:r>
      <w:r>
        <w:t>.</w:t>
      </w:r>
      <w:r>
        <w:rPr>
          <w:lang w:val="en-NL"/>
        </w:rPr>
        <w:t xml:space="preserve"> Relapse rate analysis N = 21.</w:t>
      </w:r>
    </w:p>
    <w:p w14:paraId="24AC1AF9" w14:textId="77777777" w:rsidR="0074447C" w:rsidRDefault="0074447C" w:rsidP="00BE013D">
      <w:pPr>
        <w:ind w:left="-5" w:right="73"/>
        <w:rPr>
          <w:lang w:val="en-NL"/>
        </w:rPr>
      </w:pPr>
    </w:p>
    <w:p w14:paraId="4440D7A9" w14:textId="7993818B" w:rsidR="0074447C" w:rsidRDefault="0074447C" w:rsidP="00BE013D">
      <w:pPr>
        <w:ind w:left="0" w:right="73" w:firstLine="0"/>
        <w:rPr>
          <w:lang w:val="en-NL"/>
        </w:rPr>
      </w:pPr>
      <w:r>
        <w:rPr>
          <w:noProof/>
          <w:lang w:val="en-NL"/>
        </w:rPr>
        <w:lastRenderedPageBreak/>
        <w:drawing>
          <wp:inline distT="0" distB="0" distL="0" distR="0" wp14:anchorId="12304A3A" wp14:editId="76B3A595">
            <wp:extent cx="5731510" cy="4011930"/>
            <wp:effectExtent l="0" t="0" r="2540" b="7620"/>
            <wp:docPr id="8" name="Picture 8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phical user interfa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1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DAF74" w14:textId="15C3ACCD" w:rsidR="0074447C" w:rsidRDefault="0074447C" w:rsidP="00BE013D">
      <w:pPr>
        <w:ind w:left="0" w:right="73" w:firstLine="0"/>
      </w:pPr>
      <w:r>
        <w:rPr>
          <w:b/>
        </w:rPr>
        <w:t xml:space="preserve">Supplementary Figure </w:t>
      </w:r>
      <w:r>
        <w:rPr>
          <w:b/>
          <w:lang w:val="en-NL"/>
        </w:rPr>
        <w:t>8</w:t>
      </w:r>
      <w:r>
        <w:rPr>
          <w:b/>
        </w:rPr>
        <w:t xml:space="preserve"> | </w:t>
      </w:r>
      <w:r w:rsidRPr="0074447C">
        <w:rPr>
          <w:b/>
          <w:lang w:val="en-NL"/>
        </w:rPr>
        <w:t>P</w:t>
      </w:r>
      <w:proofErr w:type="spellStart"/>
      <w:r w:rsidRPr="0074447C">
        <w:rPr>
          <w:b/>
        </w:rPr>
        <w:t>athway</w:t>
      </w:r>
      <w:proofErr w:type="spellEnd"/>
      <w:r w:rsidRPr="0074447C">
        <w:rPr>
          <w:b/>
        </w:rPr>
        <w:t xml:space="preserve"> overrepresentation visualised as a heatmap performed on the differentially expressed genes between</w:t>
      </w:r>
      <w:r>
        <w:t xml:space="preserve"> </w:t>
      </w:r>
      <w:r w:rsidRPr="006078FB">
        <w:rPr>
          <w:b/>
          <w:bCs/>
        </w:rPr>
        <w:t>(</w:t>
      </w:r>
      <w:r>
        <w:rPr>
          <w:b/>
          <w:bCs/>
          <w:lang w:val="en-NL"/>
        </w:rPr>
        <w:t>A</w:t>
      </w:r>
      <w:r w:rsidRPr="006078FB">
        <w:rPr>
          <w:b/>
          <w:bCs/>
        </w:rPr>
        <w:t>)</w:t>
      </w:r>
      <w:r>
        <w:t xml:space="preserve"> CD</w:t>
      </w:r>
      <w:r>
        <w:rPr>
          <w:lang w:val="en-NL"/>
        </w:rPr>
        <w:t>8</w:t>
      </w:r>
      <w:r>
        <w:rPr>
          <w:vertAlign w:val="superscript"/>
        </w:rPr>
        <w:t>+</w:t>
      </w:r>
      <w:r>
        <w:t xml:space="preserve"> T cells of primary VL-HIV patients and chronic VL-HIV patients at D0</w:t>
      </w:r>
      <w:r>
        <w:rPr>
          <w:lang w:val="en-NL"/>
        </w:rPr>
        <w:t>,</w:t>
      </w:r>
      <w:r>
        <w:t xml:space="preserve"> </w:t>
      </w:r>
      <w:r>
        <w:rPr>
          <w:b/>
          <w:bCs/>
        </w:rPr>
        <w:t>(</w:t>
      </w:r>
      <w:r>
        <w:rPr>
          <w:b/>
          <w:bCs/>
          <w:lang w:val="en-NL"/>
        </w:rPr>
        <w:t>B</w:t>
      </w:r>
      <w:r>
        <w:rPr>
          <w:b/>
          <w:bCs/>
        </w:rPr>
        <w:t>)</w:t>
      </w:r>
      <w:r>
        <w:t xml:space="preserve"> CD</w:t>
      </w:r>
      <w:r>
        <w:rPr>
          <w:lang w:val="en-NL"/>
        </w:rPr>
        <w:t>8</w:t>
      </w:r>
      <w:r>
        <w:rPr>
          <w:vertAlign w:val="superscript"/>
        </w:rPr>
        <w:t>+</w:t>
      </w:r>
      <w:r>
        <w:t xml:space="preserve"> T cells of primary VL-HIV patients and chronic VL-HIV</w:t>
      </w:r>
      <w:r w:rsidRPr="003274CA">
        <w:t xml:space="preserve"> </w:t>
      </w:r>
      <w:r>
        <w:t>patients at EOT</w:t>
      </w:r>
      <w:r>
        <w:rPr>
          <w:lang w:val="en-NL"/>
        </w:rPr>
        <w:t>,</w:t>
      </w:r>
      <w:r>
        <w:t xml:space="preserve"> </w:t>
      </w:r>
      <w:r>
        <w:rPr>
          <w:b/>
          <w:bCs/>
        </w:rPr>
        <w:t>(</w:t>
      </w:r>
      <w:r>
        <w:rPr>
          <w:b/>
          <w:bCs/>
          <w:lang w:val="en-NL"/>
        </w:rPr>
        <w:t>C</w:t>
      </w:r>
      <w:r>
        <w:rPr>
          <w:b/>
          <w:bCs/>
        </w:rPr>
        <w:t xml:space="preserve">) </w:t>
      </w:r>
      <w:r>
        <w:t>CD</w:t>
      </w:r>
      <w:r>
        <w:rPr>
          <w:lang w:val="en-NL"/>
        </w:rPr>
        <w:t>8</w:t>
      </w:r>
      <w:r>
        <w:rPr>
          <w:vertAlign w:val="superscript"/>
        </w:rPr>
        <w:t>+</w:t>
      </w:r>
      <w:r>
        <w:t xml:space="preserve"> T cells of primary VL-HIV</w:t>
      </w:r>
      <w:r w:rsidRPr="003274CA">
        <w:t xml:space="preserve"> </w:t>
      </w:r>
      <w:r>
        <w:t>patients at EOT and D0</w:t>
      </w:r>
      <w:r>
        <w:rPr>
          <w:lang w:val="en-NL"/>
        </w:rPr>
        <w:t>,</w:t>
      </w:r>
      <w:r>
        <w:t xml:space="preserve"> </w:t>
      </w:r>
      <w:r>
        <w:rPr>
          <w:lang w:val="en-NL"/>
        </w:rPr>
        <w:t>(</w:t>
      </w:r>
      <w:r>
        <w:rPr>
          <w:b/>
          <w:bCs/>
          <w:lang w:val="en-NL"/>
        </w:rPr>
        <w:t>D</w:t>
      </w:r>
      <w:r>
        <w:rPr>
          <w:b/>
          <w:bCs/>
        </w:rPr>
        <w:t>)</w:t>
      </w:r>
      <w:r>
        <w:t xml:space="preserve"> CD</w:t>
      </w:r>
      <w:r>
        <w:rPr>
          <w:lang w:val="en-NL"/>
        </w:rPr>
        <w:t>8</w:t>
      </w:r>
      <w:r>
        <w:rPr>
          <w:vertAlign w:val="superscript"/>
        </w:rPr>
        <w:t>+</w:t>
      </w:r>
      <w:r>
        <w:t xml:space="preserve"> T cells of chronic VL-HIV patients at EOT and D0. </w:t>
      </w:r>
      <w:r>
        <w:rPr>
          <w:lang w:val="en-NL"/>
        </w:rPr>
        <w:t>N</w:t>
      </w:r>
      <w:r>
        <w:t xml:space="preserve"> = 2 each group and timepoint.</w:t>
      </w:r>
    </w:p>
    <w:p w14:paraId="0EC8E46E" w14:textId="3BDE4B26" w:rsidR="0074447C" w:rsidRDefault="0074447C" w:rsidP="00BE013D">
      <w:pPr>
        <w:ind w:left="0" w:right="73" w:firstLine="0"/>
        <w:rPr>
          <w:lang w:val="en-NL"/>
        </w:rPr>
      </w:pPr>
      <w:r>
        <w:rPr>
          <w:noProof/>
          <w:lang w:val="en-NL"/>
        </w:rPr>
        <w:lastRenderedPageBreak/>
        <w:drawing>
          <wp:inline distT="0" distB="0" distL="0" distR="0" wp14:anchorId="0B95E1D2" wp14:editId="234653FC">
            <wp:extent cx="5731510" cy="3968115"/>
            <wp:effectExtent l="0" t="0" r="2540" b="0"/>
            <wp:docPr id="9" name="Picture 9" descr="Timelin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Timeline&#10;&#10;Description automatically generated with low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5CB8B" w14:textId="46B7CDB6" w:rsidR="0092307B" w:rsidRDefault="0074447C" w:rsidP="00BE013D">
      <w:pPr>
        <w:ind w:left="0" w:right="73" w:firstLine="0"/>
      </w:pPr>
      <w:r>
        <w:rPr>
          <w:b/>
        </w:rPr>
        <w:t xml:space="preserve">Supplementary Figure </w:t>
      </w:r>
      <w:r>
        <w:rPr>
          <w:b/>
          <w:lang w:val="en-NL"/>
        </w:rPr>
        <w:t>9</w:t>
      </w:r>
      <w:r>
        <w:rPr>
          <w:b/>
        </w:rPr>
        <w:t xml:space="preserve"> | </w:t>
      </w:r>
      <w:r w:rsidRPr="0074447C">
        <w:rPr>
          <w:b/>
          <w:lang w:val="en-NL"/>
        </w:rPr>
        <w:t>P</w:t>
      </w:r>
      <w:proofErr w:type="spellStart"/>
      <w:r w:rsidRPr="0074447C">
        <w:rPr>
          <w:b/>
        </w:rPr>
        <w:t>athway</w:t>
      </w:r>
      <w:proofErr w:type="spellEnd"/>
      <w:r w:rsidRPr="0074447C">
        <w:rPr>
          <w:b/>
        </w:rPr>
        <w:t xml:space="preserve"> overrepresentation visualised as a heatmap performed on the differentially expressed genes between</w:t>
      </w:r>
      <w:r>
        <w:t xml:space="preserve"> </w:t>
      </w:r>
      <w:r w:rsidRPr="006078FB">
        <w:rPr>
          <w:b/>
          <w:bCs/>
        </w:rPr>
        <w:t>(</w:t>
      </w:r>
      <w:r>
        <w:rPr>
          <w:b/>
          <w:bCs/>
          <w:lang w:val="en-NL"/>
        </w:rPr>
        <w:t>A</w:t>
      </w:r>
      <w:r w:rsidRPr="006078FB">
        <w:rPr>
          <w:b/>
          <w:bCs/>
        </w:rPr>
        <w:t>)</w:t>
      </w:r>
      <w:r>
        <w:t xml:space="preserve"> </w:t>
      </w:r>
      <w:r>
        <w:rPr>
          <w:lang w:val="en-NL"/>
        </w:rPr>
        <w:t>APC</w:t>
      </w:r>
      <w:r>
        <w:t xml:space="preserve"> of primary VL-HIV patients and chronic VL-HIV patients at D0</w:t>
      </w:r>
      <w:r>
        <w:rPr>
          <w:lang w:val="en-NL"/>
        </w:rPr>
        <w:t>,</w:t>
      </w:r>
      <w:r>
        <w:t xml:space="preserve"> </w:t>
      </w:r>
      <w:r>
        <w:rPr>
          <w:b/>
          <w:bCs/>
        </w:rPr>
        <w:t>(</w:t>
      </w:r>
      <w:r>
        <w:rPr>
          <w:b/>
          <w:bCs/>
          <w:lang w:val="en-NL"/>
        </w:rPr>
        <w:t>B</w:t>
      </w:r>
      <w:r>
        <w:rPr>
          <w:b/>
          <w:bCs/>
        </w:rPr>
        <w:t>)</w:t>
      </w:r>
      <w:r>
        <w:t xml:space="preserve"> </w:t>
      </w:r>
      <w:r>
        <w:rPr>
          <w:lang w:val="en-NL"/>
        </w:rPr>
        <w:t>APC</w:t>
      </w:r>
      <w:r>
        <w:t xml:space="preserve"> of primary VL-HIV patients and chronic VL-HIV</w:t>
      </w:r>
      <w:r w:rsidRPr="003274CA">
        <w:t xml:space="preserve"> </w:t>
      </w:r>
      <w:r>
        <w:t>patients at EOT</w:t>
      </w:r>
      <w:r>
        <w:rPr>
          <w:lang w:val="en-NL"/>
        </w:rPr>
        <w:t>,</w:t>
      </w:r>
      <w:r>
        <w:t xml:space="preserve"> </w:t>
      </w:r>
      <w:r>
        <w:rPr>
          <w:b/>
          <w:bCs/>
        </w:rPr>
        <w:t>(</w:t>
      </w:r>
      <w:r>
        <w:rPr>
          <w:b/>
          <w:bCs/>
          <w:lang w:val="en-NL"/>
        </w:rPr>
        <w:t>C</w:t>
      </w:r>
      <w:r>
        <w:rPr>
          <w:b/>
          <w:bCs/>
        </w:rPr>
        <w:t xml:space="preserve">) </w:t>
      </w:r>
      <w:r>
        <w:rPr>
          <w:lang w:val="en-NL"/>
        </w:rPr>
        <w:t>APC</w:t>
      </w:r>
      <w:r>
        <w:t xml:space="preserve"> of primary VL-HIV</w:t>
      </w:r>
      <w:r w:rsidRPr="003274CA">
        <w:t xml:space="preserve"> </w:t>
      </w:r>
      <w:r>
        <w:t>patients at EOT and D0</w:t>
      </w:r>
      <w:r>
        <w:rPr>
          <w:lang w:val="en-NL"/>
        </w:rPr>
        <w:t>,</w:t>
      </w:r>
      <w:r>
        <w:t xml:space="preserve"> </w:t>
      </w:r>
      <w:r>
        <w:rPr>
          <w:lang w:val="en-NL"/>
        </w:rPr>
        <w:t>(</w:t>
      </w:r>
      <w:r>
        <w:rPr>
          <w:b/>
          <w:bCs/>
          <w:lang w:val="en-NL"/>
        </w:rPr>
        <w:t>D</w:t>
      </w:r>
      <w:r>
        <w:rPr>
          <w:b/>
          <w:bCs/>
        </w:rPr>
        <w:t>)</w:t>
      </w:r>
      <w:r>
        <w:t xml:space="preserve"> </w:t>
      </w:r>
      <w:r>
        <w:rPr>
          <w:lang w:val="en-NL"/>
        </w:rPr>
        <w:t>APC</w:t>
      </w:r>
      <w:r>
        <w:t xml:space="preserve"> of chronic VL-HIV patients at EOT and D0. </w:t>
      </w:r>
      <w:r>
        <w:rPr>
          <w:lang w:val="en-NL"/>
        </w:rPr>
        <w:t>N</w:t>
      </w:r>
      <w:r>
        <w:t xml:space="preserve"> = 2 each group and timepoint.</w:t>
      </w:r>
    </w:p>
    <w:p w14:paraId="145B96A3" w14:textId="77777777" w:rsidR="0092307B" w:rsidRDefault="0092307B">
      <w:pPr>
        <w:spacing w:after="160" w:line="259" w:lineRule="auto"/>
        <w:ind w:left="0" w:right="0" w:firstLine="0"/>
        <w:jc w:val="left"/>
      </w:pPr>
      <w:r>
        <w:br w:type="page"/>
      </w:r>
    </w:p>
    <w:p w14:paraId="02B3185B" w14:textId="286F5F13" w:rsidR="0092307B" w:rsidRDefault="0092307B" w:rsidP="0092307B">
      <w:pPr>
        <w:ind w:left="0" w:right="73" w:firstLine="0"/>
      </w:pPr>
      <w:r>
        <w:rPr>
          <w:b/>
        </w:rPr>
        <w:lastRenderedPageBreak/>
        <w:t xml:space="preserve">Supplementary </w:t>
      </w:r>
      <w:r>
        <w:rPr>
          <w:b/>
          <w:lang w:val="en-NL"/>
        </w:rPr>
        <w:t>Table 1</w:t>
      </w:r>
      <w:r>
        <w:rPr>
          <w:b/>
        </w:rPr>
        <w:t xml:space="preserve"> | </w:t>
      </w:r>
      <w:r w:rsidRPr="0092307B">
        <w:rPr>
          <w:b/>
          <w:lang w:val="en-NL"/>
        </w:rPr>
        <w:t>Patient socio-demographic, clinical, and biochemical characteristics</w:t>
      </w:r>
      <w:r w:rsidRPr="0092307B">
        <w:rPr>
          <w:bCs/>
          <w:lang w:val="en-NL"/>
        </w:rPr>
        <w:t xml:space="preserve">, </w:t>
      </w:r>
      <w:r w:rsidRPr="0092307B">
        <w:t>for the patient subset included in the single-cell analyses, at various timepoints, including at time of recruitment for HIV and AL-HIV patients  or active disease development for VL-HIV patients (D0), at End-of-Treatment (E</w:t>
      </w:r>
      <w:r>
        <w:rPr>
          <w:lang w:val="en-NL"/>
        </w:rPr>
        <w:t>O</w:t>
      </w:r>
      <w:r w:rsidRPr="0092307B">
        <w:t>T; VL-HIV only) and at six months post-treatment (Post M6; VL-HIV only). Patient characteristics for the healthy endemic controls (HEC) are not reported.</w:t>
      </w:r>
    </w:p>
    <w:tbl>
      <w:tblPr>
        <w:tblStyle w:val="PlainTable2"/>
        <w:tblW w:w="8081" w:type="dxa"/>
        <w:tblLayout w:type="fixed"/>
        <w:tblLook w:val="04A0" w:firstRow="1" w:lastRow="0" w:firstColumn="1" w:lastColumn="0" w:noHBand="0" w:noVBand="1"/>
      </w:tblPr>
      <w:tblGrid>
        <w:gridCol w:w="2183"/>
        <w:gridCol w:w="933"/>
        <w:gridCol w:w="899"/>
        <w:gridCol w:w="899"/>
        <w:gridCol w:w="899"/>
        <w:gridCol w:w="1144"/>
        <w:gridCol w:w="1124"/>
      </w:tblGrid>
      <w:tr w:rsidR="0092307B" w:rsidRPr="005B6595" w14:paraId="5059D3D7" w14:textId="77777777" w:rsidTr="00FC40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EF0B39F" w14:textId="77777777" w:rsidR="0092307B" w:rsidRPr="005B6595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933" w:type="dxa"/>
          </w:tcPr>
          <w:p w14:paraId="7327EA19" w14:textId="77777777" w:rsidR="0092307B" w:rsidRPr="00C84126" w:rsidRDefault="0092307B" w:rsidP="00FC40B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Total (n=</w:t>
            </w:r>
            <w:r>
              <w:rPr>
                <w:sz w:val="18"/>
                <w:szCs w:val="18"/>
                <w:lang w:val="en-NL"/>
              </w:rPr>
              <w:t>8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5D4CAD5A" w14:textId="77777777" w:rsidR="0092307B" w:rsidRPr="00C84126" w:rsidRDefault="0092307B" w:rsidP="00FC40B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HIV (n=</w:t>
            </w: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61A341AA" w14:textId="77777777" w:rsidR="0092307B" w:rsidRPr="00C84126" w:rsidRDefault="0092307B" w:rsidP="00FC40B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AL-HIV (n=</w:t>
            </w: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4F1B0D25" w14:textId="77777777" w:rsidR="0092307B" w:rsidRPr="00C84126" w:rsidRDefault="0092307B" w:rsidP="00FC40B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VL-HIV (n=</w:t>
            </w:r>
            <w:r>
              <w:rPr>
                <w:sz w:val="18"/>
                <w:szCs w:val="18"/>
              </w:rPr>
              <w:t>4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44" w:type="dxa"/>
          </w:tcPr>
          <w:p w14:paraId="5BD41DFB" w14:textId="77777777" w:rsidR="0092307B" w:rsidRPr="00C84126" w:rsidRDefault="0092307B" w:rsidP="00FC40B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Primary VL-HIV (n=</w:t>
            </w: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24" w:type="dxa"/>
          </w:tcPr>
          <w:p w14:paraId="738F0258" w14:textId="77777777" w:rsidR="0092307B" w:rsidRPr="00C84126" w:rsidRDefault="0092307B" w:rsidP="00FC40B2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Chronic VL-HIV (n=</w:t>
            </w: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>)</w:t>
            </w:r>
          </w:p>
        </w:tc>
      </w:tr>
      <w:tr w:rsidR="0092307B" w:rsidRPr="005B6595" w14:paraId="74E88583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2120D246" w14:textId="77777777" w:rsidR="0092307B" w:rsidRPr="0086346A" w:rsidRDefault="0092307B" w:rsidP="00FC40B2">
            <w:pPr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Socio-demographic characteristics</w:t>
            </w:r>
          </w:p>
        </w:tc>
        <w:tc>
          <w:tcPr>
            <w:tcW w:w="933" w:type="dxa"/>
          </w:tcPr>
          <w:p w14:paraId="032F81E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50963BE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2E85CCDE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5E111BF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44" w:type="dxa"/>
          </w:tcPr>
          <w:p w14:paraId="516BB3B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4" w:type="dxa"/>
          </w:tcPr>
          <w:p w14:paraId="2BDA6885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2307B" w:rsidRPr="005B6595" w14:paraId="2D916507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1756F292" w14:textId="77777777" w:rsidR="0092307B" w:rsidRPr="005B6595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505A20">
              <w:rPr>
                <w:b w:val="0"/>
                <w:bCs w:val="0"/>
                <w:sz w:val="18"/>
                <w:szCs w:val="18"/>
              </w:rPr>
              <w:t>Age in years, median (IQR)</w:t>
            </w:r>
          </w:p>
        </w:tc>
        <w:tc>
          <w:tcPr>
            <w:tcW w:w="933" w:type="dxa"/>
          </w:tcPr>
          <w:p w14:paraId="7DA487CD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42.5 (36.5-45.5)</w:t>
            </w:r>
          </w:p>
        </w:tc>
        <w:tc>
          <w:tcPr>
            <w:tcW w:w="899" w:type="dxa"/>
          </w:tcPr>
          <w:p w14:paraId="2BFACF97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39 (37-41)</w:t>
            </w:r>
          </w:p>
        </w:tc>
        <w:tc>
          <w:tcPr>
            <w:tcW w:w="899" w:type="dxa"/>
          </w:tcPr>
          <w:p w14:paraId="4FFAA11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31 (28-34)</w:t>
            </w:r>
          </w:p>
        </w:tc>
        <w:tc>
          <w:tcPr>
            <w:tcW w:w="899" w:type="dxa"/>
          </w:tcPr>
          <w:p w14:paraId="5D036D10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46 (44-52.5)</w:t>
            </w:r>
          </w:p>
        </w:tc>
        <w:tc>
          <w:tcPr>
            <w:tcW w:w="1144" w:type="dxa"/>
          </w:tcPr>
          <w:p w14:paraId="677BDA00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58 (52.5-63.5)</w:t>
            </w:r>
          </w:p>
        </w:tc>
        <w:tc>
          <w:tcPr>
            <w:tcW w:w="1124" w:type="dxa"/>
          </w:tcPr>
          <w:p w14:paraId="15670E04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43.5 (4</w:t>
            </w:r>
            <w:r>
              <w:rPr>
                <w:sz w:val="18"/>
                <w:szCs w:val="18"/>
              </w:rPr>
              <w:t>3</w:t>
            </w:r>
            <w:r w:rsidRPr="004B0D05">
              <w:rPr>
                <w:sz w:val="18"/>
                <w:szCs w:val="18"/>
              </w:rPr>
              <w:t>-44)</w:t>
            </w:r>
          </w:p>
        </w:tc>
      </w:tr>
      <w:tr w:rsidR="0092307B" w:rsidRPr="005B6595" w14:paraId="22D9EE72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3DDD9283" w14:textId="77777777" w:rsidR="0092307B" w:rsidRPr="005B6595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505A20">
              <w:rPr>
                <w:b w:val="0"/>
                <w:bCs w:val="0"/>
                <w:sz w:val="18"/>
                <w:szCs w:val="18"/>
              </w:rPr>
              <w:t>Male, n (%)</w:t>
            </w:r>
          </w:p>
        </w:tc>
        <w:tc>
          <w:tcPr>
            <w:tcW w:w="933" w:type="dxa"/>
          </w:tcPr>
          <w:p w14:paraId="784A84A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 (80)</w:t>
            </w:r>
          </w:p>
        </w:tc>
        <w:tc>
          <w:tcPr>
            <w:tcW w:w="899" w:type="dxa"/>
          </w:tcPr>
          <w:p w14:paraId="5DD0DFE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(100)</w:t>
            </w:r>
          </w:p>
        </w:tc>
        <w:tc>
          <w:tcPr>
            <w:tcW w:w="899" w:type="dxa"/>
          </w:tcPr>
          <w:p w14:paraId="312B6356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923718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</w:t>
            </w:r>
            <w:r w:rsidRPr="00923718">
              <w:rPr>
                <w:sz w:val="18"/>
                <w:szCs w:val="18"/>
              </w:rPr>
              <w:t>(100)</w:t>
            </w:r>
          </w:p>
        </w:tc>
        <w:tc>
          <w:tcPr>
            <w:tcW w:w="899" w:type="dxa"/>
          </w:tcPr>
          <w:p w14:paraId="688EA4B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 (100)</w:t>
            </w:r>
          </w:p>
        </w:tc>
        <w:tc>
          <w:tcPr>
            <w:tcW w:w="1144" w:type="dxa"/>
          </w:tcPr>
          <w:p w14:paraId="435215D0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923718">
              <w:rPr>
                <w:sz w:val="18"/>
                <w:szCs w:val="18"/>
              </w:rPr>
              <w:t xml:space="preserve"> (100)</w:t>
            </w:r>
          </w:p>
        </w:tc>
        <w:tc>
          <w:tcPr>
            <w:tcW w:w="1124" w:type="dxa"/>
          </w:tcPr>
          <w:p w14:paraId="3F1BA6C7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923718">
              <w:rPr>
                <w:sz w:val="18"/>
                <w:szCs w:val="18"/>
              </w:rPr>
              <w:t xml:space="preserve"> (100)</w:t>
            </w:r>
          </w:p>
        </w:tc>
      </w:tr>
      <w:tr w:rsidR="0092307B" w:rsidRPr="005B6595" w14:paraId="7F63BB58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1D9D5033" w14:textId="77777777" w:rsidR="0092307B" w:rsidRPr="005B6595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505A20">
              <w:rPr>
                <w:b w:val="0"/>
                <w:bCs w:val="0"/>
                <w:sz w:val="18"/>
                <w:szCs w:val="18"/>
              </w:rPr>
              <w:t xml:space="preserve">BMI </w:t>
            </w:r>
            <w:r>
              <w:rPr>
                <w:b w:val="0"/>
                <w:bCs w:val="0"/>
                <w:sz w:val="18"/>
                <w:szCs w:val="18"/>
              </w:rPr>
              <w:t xml:space="preserve">in </w:t>
            </w:r>
            <w:r w:rsidRPr="00505A20">
              <w:rPr>
                <w:b w:val="0"/>
                <w:bCs w:val="0"/>
                <w:sz w:val="18"/>
                <w:szCs w:val="18"/>
              </w:rPr>
              <w:t>kg/m2</w:t>
            </w:r>
            <w:r>
              <w:rPr>
                <w:b w:val="0"/>
                <w:bCs w:val="0"/>
                <w:sz w:val="18"/>
                <w:szCs w:val="18"/>
              </w:rPr>
              <w:t>, median</w:t>
            </w:r>
            <w:r w:rsidRPr="00505A20">
              <w:rPr>
                <w:b w:val="0"/>
                <w:bCs w:val="0"/>
                <w:sz w:val="18"/>
                <w:szCs w:val="18"/>
              </w:rPr>
              <w:t xml:space="preserve"> (IQR)</w:t>
            </w:r>
          </w:p>
        </w:tc>
        <w:tc>
          <w:tcPr>
            <w:tcW w:w="933" w:type="dxa"/>
          </w:tcPr>
          <w:p w14:paraId="371A84A0" w14:textId="77777777" w:rsidR="0092307B" w:rsidRPr="004B0D05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17.6 (15.8-19)</w:t>
            </w:r>
          </w:p>
        </w:tc>
        <w:tc>
          <w:tcPr>
            <w:tcW w:w="899" w:type="dxa"/>
          </w:tcPr>
          <w:p w14:paraId="0F5ECEA3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17.5 (17.1-18)</w:t>
            </w:r>
          </w:p>
        </w:tc>
        <w:tc>
          <w:tcPr>
            <w:tcW w:w="899" w:type="dxa"/>
          </w:tcPr>
          <w:p w14:paraId="4329F4E4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16.8 (15.7-17.8)</w:t>
            </w:r>
          </w:p>
        </w:tc>
        <w:tc>
          <w:tcPr>
            <w:tcW w:w="899" w:type="dxa"/>
          </w:tcPr>
          <w:p w14:paraId="3BA4B914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17.6 (15.8-19.3)</w:t>
            </w:r>
          </w:p>
        </w:tc>
        <w:tc>
          <w:tcPr>
            <w:tcW w:w="1144" w:type="dxa"/>
          </w:tcPr>
          <w:p w14:paraId="395CFD79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A381E">
              <w:rPr>
                <w:sz w:val="18"/>
                <w:szCs w:val="18"/>
              </w:rPr>
              <w:t>17.6 (16.7-18.4)</w:t>
            </w:r>
          </w:p>
        </w:tc>
        <w:tc>
          <w:tcPr>
            <w:tcW w:w="1124" w:type="dxa"/>
          </w:tcPr>
          <w:p w14:paraId="3F74D031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A381E">
              <w:rPr>
                <w:sz w:val="18"/>
                <w:szCs w:val="18"/>
              </w:rPr>
              <w:t>17.6 (16.7-18.5)</w:t>
            </w:r>
          </w:p>
        </w:tc>
      </w:tr>
      <w:tr w:rsidR="0092307B" w:rsidRPr="005B6595" w14:paraId="6D6A04DF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30170D1D" w14:textId="77777777" w:rsidR="0092307B" w:rsidRPr="005B6595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9133E9">
              <w:rPr>
                <w:b w:val="0"/>
                <w:bCs w:val="0"/>
                <w:sz w:val="18"/>
                <w:szCs w:val="18"/>
              </w:rPr>
              <w:t>Literacy, n (%)</w:t>
            </w:r>
          </w:p>
        </w:tc>
        <w:tc>
          <w:tcPr>
            <w:tcW w:w="933" w:type="dxa"/>
          </w:tcPr>
          <w:p w14:paraId="7F5EEBF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B0D05">
              <w:rPr>
                <w:sz w:val="18"/>
                <w:szCs w:val="18"/>
              </w:rPr>
              <w:t>6 (</w:t>
            </w:r>
            <w:r>
              <w:rPr>
                <w:sz w:val="18"/>
                <w:szCs w:val="18"/>
              </w:rPr>
              <w:t>60</w:t>
            </w:r>
            <w:r w:rsidRPr="004B0D05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778F928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(50)</w:t>
            </w:r>
          </w:p>
        </w:tc>
        <w:tc>
          <w:tcPr>
            <w:tcW w:w="899" w:type="dxa"/>
          </w:tcPr>
          <w:p w14:paraId="59F48A86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(100)</w:t>
            </w:r>
          </w:p>
        </w:tc>
        <w:tc>
          <w:tcPr>
            <w:tcW w:w="899" w:type="dxa"/>
          </w:tcPr>
          <w:p w14:paraId="157315EB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(75)</w:t>
            </w:r>
          </w:p>
        </w:tc>
        <w:tc>
          <w:tcPr>
            <w:tcW w:w="1144" w:type="dxa"/>
          </w:tcPr>
          <w:p w14:paraId="7B1C86AC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(100)</w:t>
            </w:r>
          </w:p>
        </w:tc>
        <w:tc>
          <w:tcPr>
            <w:tcW w:w="1124" w:type="dxa"/>
          </w:tcPr>
          <w:p w14:paraId="10677E6E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(50)</w:t>
            </w:r>
          </w:p>
        </w:tc>
      </w:tr>
      <w:tr w:rsidR="0092307B" w:rsidRPr="005B6595" w14:paraId="26C1DA6B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1749C0B9" w14:textId="77777777" w:rsidR="0092307B" w:rsidRPr="005B6595" w:rsidRDefault="0092307B" w:rsidP="00FC40B2">
            <w:pPr>
              <w:jc w:val="right"/>
              <w:rPr>
                <w:b w:val="0"/>
                <w:bCs w:val="0"/>
                <w:sz w:val="18"/>
                <w:szCs w:val="18"/>
              </w:rPr>
            </w:pPr>
            <w:r w:rsidRPr="00505A20">
              <w:rPr>
                <w:b w:val="0"/>
                <w:bCs w:val="0"/>
                <w:sz w:val="18"/>
                <w:szCs w:val="18"/>
              </w:rPr>
              <w:t>Daily labourer</w:t>
            </w:r>
          </w:p>
        </w:tc>
        <w:tc>
          <w:tcPr>
            <w:tcW w:w="933" w:type="dxa"/>
          </w:tcPr>
          <w:p w14:paraId="0373274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(50)</w:t>
            </w:r>
          </w:p>
        </w:tc>
        <w:tc>
          <w:tcPr>
            <w:tcW w:w="899" w:type="dxa"/>
          </w:tcPr>
          <w:p w14:paraId="73B7108E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51030D2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(100)</w:t>
            </w:r>
          </w:p>
        </w:tc>
        <w:tc>
          <w:tcPr>
            <w:tcW w:w="899" w:type="dxa"/>
          </w:tcPr>
          <w:p w14:paraId="7D1C447E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(75)</w:t>
            </w:r>
          </w:p>
        </w:tc>
        <w:tc>
          <w:tcPr>
            <w:tcW w:w="1144" w:type="dxa"/>
          </w:tcPr>
          <w:p w14:paraId="407C7FDF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(50)</w:t>
            </w:r>
          </w:p>
        </w:tc>
        <w:tc>
          <w:tcPr>
            <w:tcW w:w="1124" w:type="dxa"/>
          </w:tcPr>
          <w:p w14:paraId="03426FA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(100)</w:t>
            </w:r>
          </w:p>
        </w:tc>
      </w:tr>
      <w:tr w:rsidR="0092307B" w:rsidRPr="005B6595" w14:paraId="114720BA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5E50DAB" w14:textId="77777777" w:rsidR="0092307B" w:rsidRPr="005B6595" w:rsidRDefault="0092307B" w:rsidP="00FC40B2">
            <w:pPr>
              <w:jc w:val="right"/>
              <w:rPr>
                <w:b w:val="0"/>
                <w:bCs w:val="0"/>
                <w:sz w:val="18"/>
                <w:szCs w:val="18"/>
              </w:rPr>
            </w:pPr>
            <w:r w:rsidRPr="00505A20">
              <w:rPr>
                <w:b w:val="0"/>
                <w:bCs w:val="0"/>
                <w:sz w:val="18"/>
                <w:szCs w:val="18"/>
              </w:rPr>
              <w:t>Farmer</w:t>
            </w:r>
          </w:p>
        </w:tc>
        <w:tc>
          <w:tcPr>
            <w:tcW w:w="933" w:type="dxa"/>
          </w:tcPr>
          <w:p w14:paraId="6F4A3EF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(10)</w:t>
            </w:r>
          </w:p>
        </w:tc>
        <w:tc>
          <w:tcPr>
            <w:tcW w:w="899" w:type="dxa"/>
          </w:tcPr>
          <w:p w14:paraId="0E5DC46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3E453C79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012DD49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(25)</w:t>
            </w:r>
          </w:p>
        </w:tc>
        <w:tc>
          <w:tcPr>
            <w:tcW w:w="1144" w:type="dxa"/>
          </w:tcPr>
          <w:p w14:paraId="564238AA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(50)</w:t>
            </w:r>
          </w:p>
        </w:tc>
        <w:tc>
          <w:tcPr>
            <w:tcW w:w="1124" w:type="dxa"/>
          </w:tcPr>
          <w:p w14:paraId="4584C35A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</w:tr>
      <w:tr w:rsidR="0092307B" w:rsidRPr="005B6595" w14:paraId="173ADD57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0BF288E" w14:textId="77777777" w:rsidR="0092307B" w:rsidRPr="005B6595" w:rsidRDefault="0092307B" w:rsidP="00FC40B2">
            <w:pPr>
              <w:jc w:val="right"/>
              <w:rPr>
                <w:b w:val="0"/>
                <w:bCs w:val="0"/>
                <w:sz w:val="18"/>
                <w:szCs w:val="18"/>
              </w:rPr>
            </w:pPr>
            <w:r w:rsidRPr="00505A20">
              <w:rPr>
                <w:b w:val="0"/>
                <w:bCs w:val="0"/>
                <w:sz w:val="18"/>
                <w:szCs w:val="18"/>
              </w:rPr>
              <w:t>Other</w:t>
            </w:r>
          </w:p>
        </w:tc>
        <w:tc>
          <w:tcPr>
            <w:tcW w:w="933" w:type="dxa"/>
          </w:tcPr>
          <w:p w14:paraId="7083B722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(20)</w:t>
            </w:r>
          </w:p>
        </w:tc>
        <w:tc>
          <w:tcPr>
            <w:tcW w:w="899" w:type="dxa"/>
          </w:tcPr>
          <w:p w14:paraId="081594C2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(100)</w:t>
            </w:r>
          </w:p>
        </w:tc>
        <w:tc>
          <w:tcPr>
            <w:tcW w:w="899" w:type="dxa"/>
          </w:tcPr>
          <w:p w14:paraId="3EF87E44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5E10BB7C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1144" w:type="dxa"/>
          </w:tcPr>
          <w:p w14:paraId="42F57A82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  <w:tc>
          <w:tcPr>
            <w:tcW w:w="1124" w:type="dxa"/>
          </w:tcPr>
          <w:p w14:paraId="5E69ADBC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 (0)</w:t>
            </w:r>
          </w:p>
        </w:tc>
      </w:tr>
      <w:tr w:rsidR="0092307B" w:rsidRPr="005B6595" w14:paraId="5D4DA8FA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1" w:type="dxa"/>
            <w:gridSpan w:val="7"/>
          </w:tcPr>
          <w:p w14:paraId="484A167E" w14:textId="77777777" w:rsidR="0092307B" w:rsidRPr="0086346A" w:rsidRDefault="0092307B" w:rsidP="00FC40B2">
            <w:pPr>
              <w:rPr>
                <w:sz w:val="18"/>
                <w:szCs w:val="18"/>
                <w:lang w:val="en-NL"/>
              </w:rPr>
            </w:pPr>
            <w:r w:rsidRPr="0086346A">
              <w:rPr>
                <w:sz w:val="18"/>
                <w:szCs w:val="18"/>
                <w:lang w:val="en-NL"/>
              </w:rPr>
              <w:t>Clinical history and characteristics</w:t>
            </w:r>
          </w:p>
        </w:tc>
      </w:tr>
      <w:tr w:rsidR="0092307B" w:rsidRPr="005B6595" w14:paraId="1A8EB10C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07586A6C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VL history, n (%)</w:t>
            </w:r>
          </w:p>
        </w:tc>
        <w:tc>
          <w:tcPr>
            <w:tcW w:w="933" w:type="dxa"/>
          </w:tcPr>
          <w:p w14:paraId="65F75E6A" w14:textId="77777777" w:rsidR="0092307B" w:rsidRPr="00BA381E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20)</w:t>
            </w:r>
          </w:p>
        </w:tc>
        <w:tc>
          <w:tcPr>
            <w:tcW w:w="899" w:type="dxa"/>
          </w:tcPr>
          <w:p w14:paraId="5DEDF6A7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0D1C3EF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0FA81220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50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44" w:type="dxa"/>
          </w:tcPr>
          <w:p w14:paraId="3DCC164A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1124" w:type="dxa"/>
          </w:tcPr>
          <w:p w14:paraId="597FE55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(100)</w:t>
            </w:r>
          </w:p>
        </w:tc>
      </w:tr>
      <w:tr w:rsidR="0092307B" w:rsidRPr="005B6595" w14:paraId="21B2C8E5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6F2ADCCB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Past VL episodes, median (IQR)</w:t>
            </w:r>
          </w:p>
        </w:tc>
        <w:tc>
          <w:tcPr>
            <w:tcW w:w="933" w:type="dxa"/>
          </w:tcPr>
          <w:p w14:paraId="5A6543DE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 xml:space="preserve"> </w:t>
            </w:r>
            <w:r w:rsidRPr="00C84126">
              <w:rPr>
                <w:sz w:val="18"/>
                <w:szCs w:val="18"/>
              </w:rPr>
              <w:t>(0-2</w:t>
            </w:r>
            <w:r>
              <w:rPr>
                <w:sz w:val="18"/>
                <w:szCs w:val="18"/>
              </w:rPr>
              <w:t>.25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79E979AE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(0-0)</w:t>
            </w:r>
          </w:p>
        </w:tc>
        <w:tc>
          <w:tcPr>
            <w:tcW w:w="899" w:type="dxa"/>
          </w:tcPr>
          <w:p w14:paraId="0CEE06D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(0-0)</w:t>
            </w:r>
          </w:p>
        </w:tc>
        <w:tc>
          <w:tcPr>
            <w:tcW w:w="899" w:type="dxa"/>
          </w:tcPr>
          <w:p w14:paraId="22893F0C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03F6">
              <w:rPr>
                <w:sz w:val="18"/>
                <w:szCs w:val="18"/>
              </w:rPr>
              <w:t>4.5 (0-9.5)</w:t>
            </w:r>
          </w:p>
        </w:tc>
        <w:tc>
          <w:tcPr>
            <w:tcW w:w="1144" w:type="dxa"/>
          </w:tcPr>
          <w:p w14:paraId="06447A24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(0-0)</w:t>
            </w:r>
          </w:p>
        </w:tc>
        <w:tc>
          <w:tcPr>
            <w:tcW w:w="1124" w:type="dxa"/>
          </w:tcPr>
          <w:p w14:paraId="0C0E753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10 (9.5-10.5)</w:t>
            </w:r>
          </w:p>
        </w:tc>
      </w:tr>
      <w:tr w:rsidR="0092307B" w:rsidRPr="005B6595" w14:paraId="20F21799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62D1C8D7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Months since previous VL episode, median (IQR)</w:t>
            </w:r>
          </w:p>
        </w:tc>
        <w:tc>
          <w:tcPr>
            <w:tcW w:w="933" w:type="dxa"/>
          </w:tcPr>
          <w:p w14:paraId="2512BD2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3.5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3</w:t>
            </w:r>
            <w:r w:rsidRPr="00C84126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4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5AEFE50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NA</w:t>
            </w:r>
          </w:p>
        </w:tc>
        <w:tc>
          <w:tcPr>
            <w:tcW w:w="899" w:type="dxa"/>
          </w:tcPr>
          <w:p w14:paraId="4031FF2E" w14:textId="77777777" w:rsidR="0092307B" w:rsidRPr="00B203F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899" w:type="dxa"/>
          </w:tcPr>
          <w:p w14:paraId="5917660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03F6">
              <w:rPr>
                <w:sz w:val="18"/>
                <w:szCs w:val="18"/>
              </w:rPr>
              <w:t>3.5 (3-</w:t>
            </w:r>
            <w:r>
              <w:rPr>
                <w:sz w:val="18"/>
                <w:szCs w:val="18"/>
              </w:rPr>
              <w:t>4</w:t>
            </w:r>
            <w:r w:rsidRPr="00B203F6">
              <w:rPr>
                <w:sz w:val="18"/>
                <w:szCs w:val="18"/>
              </w:rPr>
              <w:t>)</w:t>
            </w:r>
          </w:p>
        </w:tc>
        <w:tc>
          <w:tcPr>
            <w:tcW w:w="1144" w:type="dxa"/>
          </w:tcPr>
          <w:p w14:paraId="71B2A822" w14:textId="77777777" w:rsidR="0092307B" w:rsidRPr="007851BF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NA</w:t>
            </w:r>
          </w:p>
        </w:tc>
        <w:tc>
          <w:tcPr>
            <w:tcW w:w="1124" w:type="dxa"/>
          </w:tcPr>
          <w:p w14:paraId="6DE90F05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B203F6">
              <w:rPr>
                <w:sz w:val="18"/>
                <w:szCs w:val="18"/>
              </w:rPr>
              <w:t>3.5 (3-</w:t>
            </w:r>
            <w:r>
              <w:rPr>
                <w:sz w:val="18"/>
                <w:szCs w:val="18"/>
              </w:rPr>
              <w:t>4</w:t>
            </w:r>
            <w:r w:rsidRPr="00B203F6">
              <w:rPr>
                <w:sz w:val="18"/>
                <w:szCs w:val="18"/>
              </w:rPr>
              <w:t>)</w:t>
            </w:r>
          </w:p>
        </w:tc>
      </w:tr>
      <w:tr w:rsidR="0092307B" w:rsidRPr="005B6595" w14:paraId="69001FD1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028007E7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Microscopically confirmed, n (%)</w:t>
            </w:r>
          </w:p>
        </w:tc>
        <w:tc>
          <w:tcPr>
            <w:tcW w:w="933" w:type="dxa"/>
          </w:tcPr>
          <w:p w14:paraId="04BBC8B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330EE26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5D0F76EC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35522892" w14:textId="77777777" w:rsidR="0092307B" w:rsidRPr="00B203F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(50)</w:t>
            </w:r>
          </w:p>
        </w:tc>
        <w:tc>
          <w:tcPr>
            <w:tcW w:w="1144" w:type="dxa"/>
          </w:tcPr>
          <w:p w14:paraId="2BEB2954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24" w:type="dxa"/>
          </w:tcPr>
          <w:p w14:paraId="779D4F8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  <w:r w:rsidRPr="00C84126">
              <w:rPr>
                <w:sz w:val="18"/>
                <w:szCs w:val="18"/>
              </w:rPr>
              <w:t>(100)</w:t>
            </w:r>
          </w:p>
        </w:tc>
      </w:tr>
      <w:tr w:rsidR="0092307B" w:rsidRPr="005B6595" w14:paraId="33AF8E90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1" w:type="dxa"/>
            <w:gridSpan w:val="7"/>
          </w:tcPr>
          <w:p w14:paraId="44D17CDA" w14:textId="77777777" w:rsidR="0092307B" w:rsidRDefault="0092307B" w:rsidP="00FC40B2">
            <w:pPr>
              <w:rPr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NL"/>
              </w:rPr>
              <w:t>Parasite grading, n (%)</w:t>
            </w:r>
          </w:p>
        </w:tc>
      </w:tr>
      <w:tr w:rsidR="0092307B" w:rsidRPr="005B6595" w14:paraId="70FBF3C1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0FCFC35" w14:textId="77777777" w:rsidR="0092307B" w:rsidRPr="00C84126" w:rsidRDefault="0092307B" w:rsidP="00FC40B2">
            <w:pPr>
              <w:jc w:val="right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+</w:t>
            </w:r>
            <w:r w:rsidRPr="00C84126">
              <w:rPr>
                <w:b w:val="0"/>
                <w:bCs w:val="0"/>
                <w:sz w:val="18"/>
                <w:szCs w:val="18"/>
              </w:rPr>
              <w:t>4 to +6</w:t>
            </w:r>
          </w:p>
        </w:tc>
        <w:tc>
          <w:tcPr>
            <w:tcW w:w="933" w:type="dxa"/>
          </w:tcPr>
          <w:p w14:paraId="34646B8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(20)</w:t>
            </w:r>
          </w:p>
        </w:tc>
        <w:tc>
          <w:tcPr>
            <w:tcW w:w="899" w:type="dxa"/>
          </w:tcPr>
          <w:p w14:paraId="0B7EC217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18E892DF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2D57366D" w14:textId="77777777" w:rsidR="0092307B" w:rsidRPr="00E369DF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 (50)</w:t>
            </w:r>
          </w:p>
        </w:tc>
        <w:tc>
          <w:tcPr>
            <w:tcW w:w="1144" w:type="dxa"/>
          </w:tcPr>
          <w:p w14:paraId="05CFBD0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24" w:type="dxa"/>
          </w:tcPr>
          <w:p w14:paraId="0D938FAF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</w:tr>
      <w:tr w:rsidR="0092307B" w:rsidRPr="005B6595" w14:paraId="350AD967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081" w:type="dxa"/>
            <w:gridSpan w:val="7"/>
          </w:tcPr>
          <w:p w14:paraId="0CC32263" w14:textId="77777777" w:rsidR="0092307B" w:rsidRDefault="0092307B" w:rsidP="00FC40B2">
            <w:pPr>
              <w:rPr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  <w:lang w:val="en-NL"/>
              </w:rPr>
              <w:t>VL treatment regimen, n (%)</w:t>
            </w:r>
          </w:p>
        </w:tc>
      </w:tr>
      <w:tr w:rsidR="0092307B" w:rsidRPr="005B6595" w14:paraId="42DA2090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C43090D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AmBisome</w:t>
            </w:r>
            <w:proofErr w:type="spellEnd"/>
            <w:r w:rsidRPr="00C84126">
              <w:rPr>
                <w:b w:val="0"/>
                <w:bCs w:val="0"/>
                <w:sz w:val="18"/>
                <w:szCs w:val="18"/>
              </w:rPr>
              <w:t xml:space="preserve"> + </w:t>
            </w: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Miltefosine</w:t>
            </w:r>
            <w:proofErr w:type="spellEnd"/>
          </w:p>
        </w:tc>
        <w:tc>
          <w:tcPr>
            <w:tcW w:w="933" w:type="dxa"/>
          </w:tcPr>
          <w:p w14:paraId="32BF2040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4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6944F9B6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162C996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4804E50C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44" w:type="dxa"/>
          </w:tcPr>
          <w:p w14:paraId="7ED3C9C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24" w:type="dxa"/>
          </w:tcPr>
          <w:p w14:paraId="1DF1085A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</w:tr>
      <w:tr w:rsidR="0092307B" w:rsidRPr="005B6595" w14:paraId="64D5F1A7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4520132C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On ART, n (%)</w:t>
            </w:r>
          </w:p>
        </w:tc>
        <w:tc>
          <w:tcPr>
            <w:tcW w:w="933" w:type="dxa"/>
          </w:tcPr>
          <w:p w14:paraId="7A8C572C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80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74F92B2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(100)</w:t>
            </w:r>
          </w:p>
        </w:tc>
        <w:tc>
          <w:tcPr>
            <w:tcW w:w="899" w:type="dxa"/>
          </w:tcPr>
          <w:p w14:paraId="15F9F7F3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(100)</w:t>
            </w:r>
          </w:p>
        </w:tc>
        <w:tc>
          <w:tcPr>
            <w:tcW w:w="899" w:type="dxa"/>
          </w:tcPr>
          <w:p w14:paraId="31A9EB5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44" w:type="dxa"/>
          </w:tcPr>
          <w:p w14:paraId="5EB615B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1124" w:type="dxa"/>
          </w:tcPr>
          <w:p w14:paraId="0A6BCE4C" w14:textId="77777777" w:rsidR="0092307B" w:rsidRPr="00C84126" w:rsidRDefault="0092307B" w:rsidP="00FC40B2">
            <w:pPr>
              <w:tabs>
                <w:tab w:val="left" w:pos="259"/>
              </w:tabs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ab/>
            </w:r>
            <w:r>
              <w:rPr>
                <w:sz w:val="18"/>
                <w:szCs w:val="18"/>
              </w:rPr>
              <w:t>2</w:t>
            </w:r>
            <w:r w:rsidRPr="00C84126">
              <w:rPr>
                <w:sz w:val="18"/>
                <w:szCs w:val="18"/>
              </w:rPr>
              <w:t xml:space="preserve"> (100)</w:t>
            </w:r>
          </w:p>
        </w:tc>
      </w:tr>
      <w:tr w:rsidR="0092307B" w:rsidRPr="005B6595" w14:paraId="4E34B6BD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7EA48EC6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Concomitant diseases, n (%)</w:t>
            </w:r>
          </w:p>
        </w:tc>
        <w:tc>
          <w:tcPr>
            <w:tcW w:w="933" w:type="dxa"/>
          </w:tcPr>
          <w:p w14:paraId="0A062C7B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 </w:t>
            </w:r>
            <w:r w:rsidRPr="00C84126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0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29E5298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5777C8E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899" w:type="dxa"/>
          </w:tcPr>
          <w:p w14:paraId="29635F73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1144" w:type="dxa"/>
          </w:tcPr>
          <w:p w14:paraId="6451793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  <w:tc>
          <w:tcPr>
            <w:tcW w:w="1124" w:type="dxa"/>
          </w:tcPr>
          <w:p w14:paraId="24A44D43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 (0)</w:t>
            </w:r>
          </w:p>
        </w:tc>
      </w:tr>
      <w:tr w:rsidR="0092307B" w:rsidRPr="005B6595" w14:paraId="144AC5E4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575361BA" w14:textId="77777777" w:rsidR="0092307B" w:rsidRPr="0086346A" w:rsidRDefault="0092307B" w:rsidP="00FC40B2">
            <w:pPr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 xml:space="preserve">Laboratory markers </w:t>
            </w:r>
            <w:r w:rsidRPr="00320E2E">
              <w:rPr>
                <w:sz w:val="18"/>
                <w:szCs w:val="18"/>
              </w:rPr>
              <w:t>at D0</w:t>
            </w:r>
          </w:p>
        </w:tc>
        <w:tc>
          <w:tcPr>
            <w:tcW w:w="933" w:type="dxa"/>
          </w:tcPr>
          <w:p w14:paraId="34D8FA15" w14:textId="77777777" w:rsidR="0092307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02FEC57C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02EACEF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05126D98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44" w:type="dxa"/>
          </w:tcPr>
          <w:p w14:paraId="2F030980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4" w:type="dxa"/>
          </w:tcPr>
          <w:p w14:paraId="229048EF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2307B" w:rsidRPr="005B6595" w14:paraId="0A46A0B2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13967B7C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CD4 count, median (IQR); (cells/</w:t>
            </w: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μl</w:t>
            </w:r>
            <w:proofErr w:type="spellEnd"/>
            <w:r w:rsidRPr="00C84126">
              <w:rPr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933" w:type="dxa"/>
          </w:tcPr>
          <w:p w14:paraId="0F0BEFFF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73</w:t>
            </w:r>
            <w:r w:rsidRPr="00C84126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238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5802BE59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416 (296-536)</w:t>
            </w:r>
          </w:p>
        </w:tc>
        <w:tc>
          <w:tcPr>
            <w:tcW w:w="899" w:type="dxa"/>
          </w:tcPr>
          <w:p w14:paraId="7C4D411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249 (164-334)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3AC644E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76 (55-97)</w:t>
            </w:r>
          </w:p>
        </w:tc>
        <w:tc>
          <w:tcPr>
            <w:tcW w:w="1144" w:type="dxa"/>
          </w:tcPr>
          <w:p w14:paraId="634D309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54 (52-55)</w:t>
            </w:r>
          </w:p>
        </w:tc>
        <w:tc>
          <w:tcPr>
            <w:tcW w:w="1124" w:type="dxa"/>
          </w:tcPr>
          <w:p w14:paraId="234E34A7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100 (97-102)</w:t>
            </w:r>
          </w:p>
        </w:tc>
      </w:tr>
      <w:tr w:rsidR="0092307B" w:rsidRPr="005B6595" w14:paraId="2C16F6D2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528F7EB7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Lymphocytes, median (IQR); (x10</w:t>
            </w:r>
            <w:r w:rsidRPr="00C84126">
              <w:rPr>
                <w:b w:val="0"/>
                <w:bCs w:val="0"/>
                <w:sz w:val="18"/>
                <w:szCs w:val="18"/>
                <w:vertAlign w:val="superscript"/>
              </w:rPr>
              <w:t>3</w:t>
            </w:r>
            <w:r w:rsidRPr="00C84126">
              <w:rPr>
                <w:b w:val="0"/>
                <w:bCs w:val="0"/>
                <w:sz w:val="18"/>
                <w:szCs w:val="18"/>
              </w:rPr>
              <w:t>/</w:t>
            </w:r>
            <w:r w:rsidRPr="00C84126">
              <w:rPr>
                <w:rFonts w:cstheme="minorHAnsi"/>
                <w:b w:val="0"/>
                <w:bCs w:val="0"/>
                <w:sz w:val="18"/>
                <w:szCs w:val="18"/>
              </w:rPr>
              <w:t>µ</w:t>
            </w:r>
            <w:r w:rsidRPr="00C84126">
              <w:rPr>
                <w:b w:val="0"/>
                <w:bCs w:val="0"/>
                <w:sz w:val="18"/>
                <w:szCs w:val="18"/>
              </w:rPr>
              <w:t>l)</w:t>
            </w:r>
          </w:p>
        </w:tc>
        <w:tc>
          <w:tcPr>
            <w:tcW w:w="933" w:type="dxa"/>
          </w:tcPr>
          <w:p w14:paraId="65FD1935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0.</w:t>
            </w:r>
            <w:r>
              <w:rPr>
                <w:sz w:val="18"/>
                <w:szCs w:val="18"/>
              </w:rPr>
              <w:t>7</w:t>
            </w:r>
            <w:r w:rsidRPr="00C84126">
              <w:rPr>
                <w:sz w:val="18"/>
                <w:szCs w:val="18"/>
              </w:rPr>
              <w:t xml:space="preserve"> (0.</w:t>
            </w:r>
            <w:r>
              <w:rPr>
                <w:sz w:val="18"/>
                <w:szCs w:val="18"/>
              </w:rPr>
              <w:t>26</w:t>
            </w:r>
            <w:r w:rsidRPr="00C84126">
              <w:rPr>
                <w:sz w:val="18"/>
                <w:szCs w:val="18"/>
              </w:rPr>
              <w:t>-1.</w:t>
            </w:r>
            <w:r>
              <w:rPr>
                <w:sz w:val="18"/>
                <w:szCs w:val="18"/>
              </w:rPr>
              <w:t>08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39BCE138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1.31 (1.19-1.44)</w:t>
            </w:r>
          </w:p>
        </w:tc>
        <w:tc>
          <w:tcPr>
            <w:tcW w:w="899" w:type="dxa"/>
          </w:tcPr>
          <w:p w14:paraId="1E18E874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0.93 (0.83-1.04)</w:t>
            </w:r>
          </w:p>
        </w:tc>
        <w:tc>
          <w:tcPr>
            <w:tcW w:w="899" w:type="dxa"/>
          </w:tcPr>
          <w:p w14:paraId="3C9A6C14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0.24 (0.19-0.38)</w:t>
            </w:r>
          </w:p>
        </w:tc>
        <w:tc>
          <w:tcPr>
            <w:tcW w:w="1144" w:type="dxa"/>
          </w:tcPr>
          <w:p w14:paraId="0B310F1D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0.17 (0.15-0.19)</w:t>
            </w:r>
          </w:p>
        </w:tc>
        <w:tc>
          <w:tcPr>
            <w:tcW w:w="1124" w:type="dxa"/>
          </w:tcPr>
          <w:p w14:paraId="741D88D3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0.48 (0.38-0.57)</w:t>
            </w:r>
          </w:p>
        </w:tc>
      </w:tr>
      <w:tr w:rsidR="0092307B" w:rsidRPr="005B6595" w14:paraId="6AD97057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0807ACFC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Platelets, median (IQR); (x10</w:t>
            </w:r>
            <w:r w:rsidRPr="00C84126">
              <w:rPr>
                <w:b w:val="0"/>
                <w:bCs w:val="0"/>
                <w:sz w:val="18"/>
                <w:szCs w:val="18"/>
                <w:vertAlign w:val="superscript"/>
              </w:rPr>
              <w:t>3</w:t>
            </w:r>
            <w:r w:rsidRPr="00C84126">
              <w:rPr>
                <w:b w:val="0"/>
                <w:bCs w:val="0"/>
                <w:sz w:val="18"/>
                <w:szCs w:val="18"/>
              </w:rPr>
              <w:t>/</w:t>
            </w:r>
            <w:r w:rsidRPr="00C84126">
              <w:rPr>
                <w:rFonts w:cstheme="minorHAnsi"/>
                <w:b w:val="0"/>
                <w:bCs w:val="0"/>
                <w:sz w:val="18"/>
                <w:szCs w:val="18"/>
              </w:rPr>
              <w:t>µ</w:t>
            </w:r>
            <w:r w:rsidRPr="00C84126">
              <w:rPr>
                <w:b w:val="0"/>
                <w:bCs w:val="0"/>
                <w:sz w:val="18"/>
                <w:szCs w:val="18"/>
              </w:rPr>
              <w:t>l)</w:t>
            </w:r>
          </w:p>
        </w:tc>
        <w:tc>
          <w:tcPr>
            <w:tcW w:w="933" w:type="dxa"/>
          </w:tcPr>
          <w:p w14:paraId="2983F91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40</w:t>
            </w:r>
            <w:r w:rsidRPr="00C84126">
              <w:rPr>
                <w:sz w:val="18"/>
                <w:szCs w:val="18"/>
              </w:rPr>
              <w:t xml:space="preserve"> (1</w:t>
            </w:r>
            <w:r>
              <w:rPr>
                <w:sz w:val="18"/>
                <w:szCs w:val="18"/>
              </w:rPr>
              <w:t>07</w:t>
            </w:r>
            <w:r w:rsidRPr="00C84126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145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46F7D460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142 (138-145)</w:t>
            </w:r>
          </w:p>
        </w:tc>
        <w:tc>
          <w:tcPr>
            <w:tcW w:w="899" w:type="dxa"/>
          </w:tcPr>
          <w:p w14:paraId="2C9B4BBB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136 (91-181)</w:t>
            </w:r>
          </w:p>
        </w:tc>
        <w:tc>
          <w:tcPr>
            <w:tcW w:w="899" w:type="dxa"/>
          </w:tcPr>
          <w:p w14:paraId="5CB50B24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136 (100-144)</w:t>
            </w:r>
          </w:p>
        </w:tc>
        <w:tc>
          <w:tcPr>
            <w:tcW w:w="1144" w:type="dxa"/>
          </w:tcPr>
          <w:p w14:paraId="2879457D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40BF4">
              <w:rPr>
                <w:sz w:val="18"/>
                <w:szCs w:val="18"/>
              </w:rPr>
              <w:t>136 (131-140)</w:t>
            </w:r>
          </w:p>
        </w:tc>
        <w:tc>
          <w:tcPr>
            <w:tcW w:w="1124" w:type="dxa"/>
          </w:tcPr>
          <w:p w14:paraId="4F6B84FB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40BF4">
              <w:rPr>
                <w:sz w:val="18"/>
                <w:szCs w:val="18"/>
              </w:rPr>
              <w:t>82 (52-113)</w:t>
            </w:r>
          </w:p>
        </w:tc>
      </w:tr>
      <w:tr w:rsidR="0092307B" w:rsidRPr="005B6595" w14:paraId="3F029F00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32B7ADAC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Hemoglobin</w:t>
            </w:r>
            <w:proofErr w:type="spellEnd"/>
            <w:r w:rsidRPr="00C84126">
              <w:rPr>
                <w:b w:val="0"/>
                <w:bCs w:val="0"/>
                <w:sz w:val="18"/>
                <w:szCs w:val="18"/>
              </w:rPr>
              <w:t>, median (IQR); (g/dL)</w:t>
            </w:r>
          </w:p>
        </w:tc>
        <w:tc>
          <w:tcPr>
            <w:tcW w:w="933" w:type="dxa"/>
          </w:tcPr>
          <w:p w14:paraId="4B8E60E5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84126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</w:t>
            </w:r>
            <w:r w:rsidRPr="00C84126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7.9</w:t>
            </w:r>
            <w:r w:rsidRPr="00C84126"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t>11.3</w:t>
            </w:r>
            <w:r w:rsidRPr="00C84126">
              <w:rPr>
                <w:sz w:val="18"/>
                <w:szCs w:val="18"/>
              </w:rPr>
              <w:t>)</w:t>
            </w:r>
          </w:p>
        </w:tc>
        <w:tc>
          <w:tcPr>
            <w:tcW w:w="899" w:type="dxa"/>
          </w:tcPr>
          <w:p w14:paraId="302820FC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13.6 (12.2-14.9)</w:t>
            </w:r>
          </w:p>
        </w:tc>
        <w:tc>
          <w:tcPr>
            <w:tcW w:w="899" w:type="dxa"/>
          </w:tcPr>
          <w:p w14:paraId="0E863DB0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9.6 (9-10.1)</w:t>
            </w:r>
          </w:p>
        </w:tc>
        <w:tc>
          <w:tcPr>
            <w:tcW w:w="899" w:type="dxa"/>
          </w:tcPr>
          <w:p w14:paraId="4EF9501E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7851BF">
              <w:rPr>
                <w:sz w:val="18"/>
                <w:szCs w:val="18"/>
              </w:rPr>
              <w:t>7.8 (6.1-10.1)</w:t>
            </w:r>
          </w:p>
        </w:tc>
        <w:tc>
          <w:tcPr>
            <w:tcW w:w="1144" w:type="dxa"/>
          </w:tcPr>
          <w:p w14:paraId="4D837E2B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40BF4">
              <w:rPr>
                <w:sz w:val="18"/>
                <w:szCs w:val="18"/>
              </w:rPr>
              <w:t>5.9 (5.7-6.1)</w:t>
            </w:r>
          </w:p>
        </w:tc>
        <w:tc>
          <w:tcPr>
            <w:tcW w:w="1124" w:type="dxa"/>
          </w:tcPr>
          <w:p w14:paraId="488C0758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40BF4">
              <w:rPr>
                <w:sz w:val="18"/>
                <w:szCs w:val="18"/>
              </w:rPr>
              <w:t>10.9 (10.1-11.7)</w:t>
            </w:r>
          </w:p>
        </w:tc>
      </w:tr>
      <w:tr w:rsidR="0092307B" w:rsidRPr="00C84126" w14:paraId="7A8A171C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629A8948" w14:textId="77777777" w:rsidR="0092307B" w:rsidRPr="0086346A" w:rsidRDefault="0092307B" w:rsidP="00FC40B2">
            <w:pPr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 xml:space="preserve">Laboratory markers </w:t>
            </w:r>
            <w:r w:rsidRPr="00320E2E">
              <w:rPr>
                <w:sz w:val="18"/>
                <w:szCs w:val="18"/>
              </w:rPr>
              <w:t xml:space="preserve">at </w:t>
            </w:r>
            <w:r>
              <w:rPr>
                <w:sz w:val="18"/>
                <w:szCs w:val="18"/>
                <w:lang w:val="en-NL"/>
              </w:rPr>
              <w:t>EOT</w:t>
            </w:r>
          </w:p>
        </w:tc>
        <w:tc>
          <w:tcPr>
            <w:tcW w:w="933" w:type="dxa"/>
          </w:tcPr>
          <w:p w14:paraId="5D917788" w14:textId="77777777" w:rsidR="0092307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30A3773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0A217EE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420D47EB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44" w:type="dxa"/>
          </w:tcPr>
          <w:p w14:paraId="128CD578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4" w:type="dxa"/>
          </w:tcPr>
          <w:p w14:paraId="3FE620EE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2307B" w:rsidRPr="00C84126" w14:paraId="359D14BE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1EA58669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Lymphocytes, median (IQR); (x10</w:t>
            </w:r>
            <w:r w:rsidRPr="00C84126">
              <w:rPr>
                <w:b w:val="0"/>
                <w:bCs w:val="0"/>
                <w:sz w:val="18"/>
                <w:szCs w:val="18"/>
                <w:vertAlign w:val="superscript"/>
              </w:rPr>
              <w:t>3</w:t>
            </w:r>
            <w:r w:rsidRPr="00C84126">
              <w:rPr>
                <w:b w:val="0"/>
                <w:bCs w:val="0"/>
                <w:sz w:val="18"/>
                <w:szCs w:val="18"/>
              </w:rPr>
              <w:t>/</w:t>
            </w:r>
            <w:r w:rsidRPr="00C84126">
              <w:rPr>
                <w:rFonts w:cstheme="minorHAnsi"/>
                <w:b w:val="0"/>
                <w:bCs w:val="0"/>
                <w:sz w:val="18"/>
                <w:szCs w:val="18"/>
              </w:rPr>
              <w:t>µ</w:t>
            </w:r>
            <w:r w:rsidRPr="00C84126">
              <w:rPr>
                <w:b w:val="0"/>
                <w:bCs w:val="0"/>
                <w:sz w:val="18"/>
                <w:szCs w:val="18"/>
              </w:rPr>
              <w:t>l)</w:t>
            </w:r>
          </w:p>
        </w:tc>
        <w:tc>
          <w:tcPr>
            <w:tcW w:w="933" w:type="dxa"/>
          </w:tcPr>
          <w:p w14:paraId="4F2219B9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6A41B528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75CFAF65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3B88BD2A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0.57 (0.28-0.89)</w:t>
            </w:r>
          </w:p>
        </w:tc>
        <w:tc>
          <w:tcPr>
            <w:tcW w:w="1144" w:type="dxa"/>
          </w:tcPr>
          <w:p w14:paraId="07CDB753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0.49 (0.32-0.65)</w:t>
            </w:r>
          </w:p>
        </w:tc>
        <w:tc>
          <w:tcPr>
            <w:tcW w:w="1124" w:type="dxa"/>
          </w:tcPr>
          <w:p w14:paraId="79FE8E11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0.73 (0.52-0.93)</w:t>
            </w:r>
          </w:p>
        </w:tc>
      </w:tr>
      <w:tr w:rsidR="0092307B" w:rsidRPr="00C84126" w14:paraId="68B33117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66318C85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Platelets, median (IQR); (x10</w:t>
            </w:r>
            <w:r w:rsidRPr="00C84126">
              <w:rPr>
                <w:b w:val="0"/>
                <w:bCs w:val="0"/>
                <w:sz w:val="18"/>
                <w:szCs w:val="18"/>
                <w:vertAlign w:val="superscript"/>
              </w:rPr>
              <w:t>3</w:t>
            </w:r>
            <w:r w:rsidRPr="00C84126">
              <w:rPr>
                <w:b w:val="0"/>
                <w:bCs w:val="0"/>
                <w:sz w:val="18"/>
                <w:szCs w:val="18"/>
              </w:rPr>
              <w:t>/</w:t>
            </w:r>
            <w:r w:rsidRPr="00C84126">
              <w:rPr>
                <w:rFonts w:cstheme="minorHAnsi"/>
                <w:b w:val="0"/>
                <w:bCs w:val="0"/>
                <w:sz w:val="18"/>
                <w:szCs w:val="18"/>
              </w:rPr>
              <w:t>µ</w:t>
            </w:r>
            <w:r w:rsidRPr="00C84126">
              <w:rPr>
                <w:b w:val="0"/>
                <w:bCs w:val="0"/>
                <w:sz w:val="18"/>
                <w:szCs w:val="18"/>
              </w:rPr>
              <w:t>l)</w:t>
            </w:r>
          </w:p>
        </w:tc>
        <w:tc>
          <w:tcPr>
            <w:tcW w:w="933" w:type="dxa"/>
          </w:tcPr>
          <w:p w14:paraId="15E8BFCF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1D13147C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000599F0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71EF4B33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184 (140-242)</w:t>
            </w:r>
          </w:p>
        </w:tc>
        <w:tc>
          <w:tcPr>
            <w:tcW w:w="1144" w:type="dxa"/>
          </w:tcPr>
          <w:p w14:paraId="0424DA85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282 (242-322)</w:t>
            </w:r>
          </w:p>
        </w:tc>
        <w:tc>
          <w:tcPr>
            <w:tcW w:w="1124" w:type="dxa"/>
          </w:tcPr>
          <w:p w14:paraId="14DFCC74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111 (82-140)</w:t>
            </w:r>
          </w:p>
        </w:tc>
      </w:tr>
      <w:tr w:rsidR="0092307B" w:rsidRPr="00C84126" w14:paraId="369ED794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3D6F2CFA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Hemoglobin</w:t>
            </w:r>
            <w:proofErr w:type="spellEnd"/>
            <w:r w:rsidRPr="00C84126">
              <w:rPr>
                <w:b w:val="0"/>
                <w:bCs w:val="0"/>
                <w:sz w:val="18"/>
                <w:szCs w:val="18"/>
              </w:rPr>
              <w:t>, median (IQR); (g/dL)</w:t>
            </w:r>
          </w:p>
        </w:tc>
        <w:tc>
          <w:tcPr>
            <w:tcW w:w="933" w:type="dxa"/>
          </w:tcPr>
          <w:p w14:paraId="6D1D42B1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16947245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57F07F2E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404BF7CE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10 (8.5-11.3)</w:t>
            </w:r>
          </w:p>
        </w:tc>
        <w:tc>
          <w:tcPr>
            <w:tcW w:w="1144" w:type="dxa"/>
          </w:tcPr>
          <w:p w14:paraId="3D6E697C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8 (7.5-8.5)</w:t>
            </w:r>
          </w:p>
        </w:tc>
        <w:tc>
          <w:tcPr>
            <w:tcW w:w="1124" w:type="dxa"/>
          </w:tcPr>
          <w:p w14:paraId="4FD1971B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11.7 (11.3-12)</w:t>
            </w:r>
          </w:p>
        </w:tc>
      </w:tr>
      <w:tr w:rsidR="0092307B" w:rsidRPr="00C84126" w14:paraId="5EC1650D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06C10A68" w14:textId="77777777" w:rsidR="0092307B" w:rsidRPr="003B3A4B" w:rsidRDefault="0092307B" w:rsidP="00FC40B2">
            <w:pPr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lastRenderedPageBreak/>
              <w:t xml:space="preserve">Laboratory markers </w:t>
            </w:r>
            <w:r w:rsidRPr="00320E2E">
              <w:rPr>
                <w:sz w:val="18"/>
                <w:szCs w:val="18"/>
              </w:rPr>
              <w:t xml:space="preserve">at </w:t>
            </w:r>
            <w:r>
              <w:rPr>
                <w:sz w:val="18"/>
                <w:szCs w:val="18"/>
                <w:lang w:val="en-NL"/>
              </w:rPr>
              <w:t>Post M6</w:t>
            </w:r>
          </w:p>
        </w:tc>
        <w:tc>
          <w:tcPr>
            <w:tcW w:w="933" w:type="dxa"/>
          </w:tcPr>
          <w:p w14:paraId="36B8EFC1" w14:textId="77777777" w:rsidR="0092307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6FD28CE3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7B73CF2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899" w:type="dxa"/>
          </w:tcPr>
          <w:p w14:paraId="24DE3022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44" w:type="dxa"/>
          </w:tcPr>
          <w:p w14:paraId="7AE947AA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1124" w:type="dxa"/>
          </w:tcPr>
          <w:p w14:paraId="626F314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  <w:tr w:rsidR="0092307B" w:rsidRPr="00C84126" w14:paraId="6DA7FFC2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3C4E86C7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CD4 count, median (IQR); (cells/</w:t>
            </w: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μl</w:t>
            </w:r>
            <w:proofErr w:type="spellEnd"/>
            <w:r w:rsidRPr="00C84126">
              <w:rPr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933" w:type="dxa"/>
          </w:tcPr>
          <w:p w14:paraId="2B955F14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1C6D537E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2928B85B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1A353BA6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273 (210-448)</w:t>
            </w:r>
          </w:p>
        </w:tc>
        <w:tc>
          <w:tcPr>
            <w:tcW w:w="1144" w:type="dxa"/>
          </w:tcPr>
          <w:p w14:paraId="073E18D0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448 (360-536)</w:t>
            </w:r>
          </w:p>
        </w:tc>
        <w:tc>
          <w:tcPr>
            <w:tcW w:w="1124" w:type="dxa"/>
          </w:tcPr>
          <w:p w14:paraId="744A9E4E" w14:textId="77777777" w:rsidR="0092307B" w:rsidRPr="00D40572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146 (146-146)*</w:t>
            </w:r>
          </w:p>
        </w:tc>
      </w:tr>
      <w:tr w:rsidR="0092307B" w:rsidRPr="00C84126" w14:paraId="1B92EBC1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610BA531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Lymphocytes, median (IQR); (x10</w:t>
            </w:r>
            <w:r w:rsidRPr="00C84126">
              <w:rPr>
                <w:b w:val="0"/>
                <w:bCs w:val="0"/>
                <w:sz w:val="18"/>
                <w:szCs w:val="18"/>
                <w:vertAlign w:val="superscript"/>
              </w:rPr>
              <w:t>3</w:t>
            </w:r>
            <w:r w:rsidRPr="00C84126">
              <w:rPr>
                <w:b w:val="0"/>
                <w:bCs w:val="0"/>
                <w:sz w:val="18"/>
                <w:szCs w:val="18"/>
              </w:rPr>
              <w:t>/</w:t>
            </w:r>
            <w:r w:rsidRPr="00C84126">
              <w:rPr>
                <w:rFonts w:cstheme="minorHAnsi"/>
                <w:b w:val="0"/>
                <w:bCs w:val="0"/>
                <w:sz w:val="18"/>
                <w:szCs w:val="18"/>
              </w:rPr>
              <w:t>µ</w:t>
            </w:r>
            <w:r w:rsidRPr="00C84126">
              <w:rPr>
                <w:b w:val="0"/>
                <w:bCs w:val="0"/>
                <w:sz w:val="18"/>
                <w:szCs w:val="18"/>
              </w:rPr>
              <w:t>l)</w:t>
            </w:r>
          </w:p>
        </w:tc>
        <w:tc>
          <w:tcPr>
            <w:tcW w:w="933" w:type="dxa"/>
          </w:tcPr>
          <w:p w14:paraId="16CD426A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5B79886A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60733547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3ECFDEC7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0.78 (0.74-1.04)</w:t>
            </w:r>
          </w:p>
        </w:tc>
        <w:tc>
          <w:tcPr>
            <w:tcW w:w="1144" w:type="dxa"/>
          </w:tcPr>
          <w:p w14:paraId="47A2470B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1.04 (0.91-1.16)</w:t>
            </w:r>
          </w:p>
        </w:tc>
        <w:tc>
          <w:tcPr>
            <w:tcW w:w="1124" w:type="dxa"/>
          </w:tcPr>
          <w:p w14:paraId="378C472A" w14:textId="77777777" w:rsidR="0092307B" w:rsidRPr="00D40572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0.7 (0.7-0.7)*</w:t>
            </w:r>
          </w:p>
        </w:tc>
      </w:tr>
      <w:tr w:rsidR="0092307B" w:rsidRPr="00C84126" w14:paraId="09ACAF30" w14:textId="77777777" w:rsidTr="00FC40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6E6B0841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r w:rsidRPr="00C84126">
              <w:rPr>
                <w:b w:val="0"/>
                <w:bCs w:val="0"/>
                <w:sz w:val="18"/>
                <w:szCs w:val="18"/>
              </w:rPr>
              <w:t>Platelets, median (IQR); (x10</w:t>
            </w:r>
            <w:r w:rsidRPr="00C84126">
              <w:rPr>
                <w:b w:val="0"/>
                <w:bCs w:val="0"/>
                <w:sz w:val="18"/>
                <w:szCs w:val="18"/>
                <w:vertAlign w:val="superscript"/>
              </w:rPr>
              <w:t>3</w:t>
            </w:r>
            <w:r w:rsidRPr="00C84126">
              <w:rPr>
                <w:b w:val="0"/>
                <w:bCs w:val="0"/>
                <w:sz w:val="18"/>
                <w:szCs w:val="18"/>
              </w:rPr>
              <w:t>/</w:t>
            </w:r>
            <w:r w:rsidRPr="00C84126">
              <w:rPr>
                <w:rFonts w:cstheme="minorHAnsi"/>
                <w:b w:val="0"/>
                <w:bCs w:val="0"/>
                <w:sz w:val="18"/>
                <w:szCs w:val="18"/>
              </w:rPr>
              <w:t>µ</w:t>
            </w:r>
            <w:r w:rsidRPr="00C84126">
              <w:rPr>
                <w:b w:val="0"/>
                <w:bCs w:val="0"/>
                <w:sz w:val="18"/>
                <w:szCs w:val="18"/>
              </w:rPr>
              <w:t>l)</w:t>
            </w:r>
          </w:p>
        </w:tc>
        <w:tc>
          <w:tcPr>
            <w:tcW w:w="933" w:type="dxa"/>
          </w:tcPr>
          <w:p w14:paraId="1B2887D9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7CF04866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29167694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5DCFD99D" w14:textId="77777777" w:rsidR="0092307B" w:rsidRPr="00C84126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158 (124-231)</w:t>
            </w:r>
          </w:p>
        </w:tc>
        <w:tc>
          <w:tcPr>
            <w:tcW w:w="1144" w:type="dxa"/>
          </w:tcPr>
          <w:p w14:paraId="09DC51AD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272 (231-314)</w:t>
            </w:r>
          </w:p>
        </w:tc>
        <w:tc>
          <w:tcPr>
            <w:tcW w:w="1124" w:type="dxa"/>
          </w:tcPr>
          <w:p w14:paraId="64361411" w14:textId="77777777" w:rsidR="0092307B" w:rsidRPr="003B3A4B" w:rsidRDefault="0092307B" w:rsidP="00FC40B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122 (120-124)</w:t>
            </w:r>
          </w:p>
        </w:tc>
      </w:tr>
      <w:tr w:rsidR="0092307B" w:rsidRPr="00C84126" w14:paraId="5B8300FD" w14:textId="77777777" w:rsidTr="00FC40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3" w:type="dxa"/>
          </w:tcPr>
          <w:p w14:paraId="40C98434" w14:textId="77777777" w:rsidR="0092307B" w:rsidRPr="00C84126" w:rsidRDefault="0092307B" w:rsidP="00FC40B2">
            <w:pPr>
              <w:rPr>
                <w:b w:val="0"/>
                <w:bCs w:val="0"/>
                <w:sz w:val="18"/>
                <w:szCs w:val="18"/>
              </w:rPr>
            </w:pPr>
            <w:proofErr w:type="spellStart"/>
            <w:r w:rsidRPr="00C84126">
              <w:rPr>
                <w:b w:val="0"/>
                <w:bCs w:val="0"/>
                <w:sz w:val="18"/>
                <w:szCs w:val="18"/>
              </w:rPr>
              <w:t>Hemoglobin</w:t>
            </w:r>
            <w:proofErr w:type="spellEnd"/>
            <w:r w:rsidRPr="00C84126">
              <w:rPr>
                <w:b w:val="0"/>
                <w:bCs w:val="0"/>
                <w:sz w:val="18"/>
                <w:szCs w:val="18"/>
              </w:rPr>
              <w:t>, median (IQR); (g/dL)</w:t>
            </w:r>
          </w:p>
        </w:tc>
        <w:tc>
          <w:tcPr>
            <w:tcW w:w="933" w:type="dxa"/>
          </w:tcPr>
          <w:p w14:paraId="0DE18879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203D4BAC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6A8CC46C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NA</w:t>
            </w:r>
          </w:p>
        </w:tc>
        <w:tc>
          <w:tcPr>
            <w:tcW w:w="899" w:type="dxa"/>
          </w:tcPr>
          <w:p w14:paraId="35585341" w14:textId="77777777" w:rsidR="0092307B" w:rsidRPr="00C84126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3B3A4B">
              <w:rPr>
                <w:sz w:val="18"/>
                <w:szCs w:val="18"/>
              </w:rPr>
              <w:t>10.4 (9.6-11.3)</w:t>
            </w:r>
          </w:p>
        </w:tc>
        <w:tc>
          <w:tcPr>
            <w:tcW w:w="1144" w:type="dxa"/>
          </w:tcPr>
          <w:p w14:paraId="187EAD4C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10.2 (9.8-10.7)</w:t>
            </w:r>
          </w:p>
        </w:tc>
        <w:tc>
          <w:tcPr>
            <w:tcW w:w="1124" w:type="dxa"/>
          </w:tcPr>
          <w:p w14:paraId="4ECAF76D" w14:textId="77777777" w:rsidR="0092307B" w:rsidRPr="003B3A4B" w:rsidRDefault="0092307B" w:rsidP="00FC40B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en-NL"/>
              </w:rPr>
            </w:pPr>
            <w:r>
              <w:rPr>
                <w:sz w:val="18"/>
                <w:szCs w:val="18"/>
                <w:lang w:val="en-NL"/>
              </w:rPr>
              <w:t>10.6 (10.2-11.1)</w:t>
            </w:r>
          </w:p>
        </w:tc>
      </w:tr>
    </w:tbl>
    <w:p w14:paraId="39E9503C" w14:textId="75612C06" w:rsidR="0074447C" w:rsidRPr="008805C5" w:rsidRDefault="0092307B" w:rsidP="008805C5">
      <w:pPr>
        <w:pStyle w:val="Caption"/>
        <w:rPr>
          <w:i w:val="0"/>
          <w:iCs w:val="0"/>
          <w:color w:val="auto"/>
          <w:sz w:val="24"/>
          <w:szCs w:val="24"/>
          <w:lang w:val="en-NL"/>
        </w:rPr>
      </w:pPr>
      <w:r w:rsidRPr="008805C5">
        <w:rPr>
          <w:i w:val="0"/>
          <w:iCs w:val="0"/>
          <w:color w:val="auto"/>
          <w:sz w:val="24"/>
          <w:szCs w:val="24"/>
        </w:rPr>
        <w:t>NA = Not Applicable.</w:t>
      </w:r>
      <w:r w:rsidRPr="008805C5">
        <w:rPr>
          <w:i w:val="0"/>
          <w:iCs w:val="0"/>
          <w:color w:val="auto"/>
          <w:sz w:val="24"/>
          <w:szCs w:val="24"/>
          <w:lang w:val="en-NL"/>
        </w:rPr>
        <w:t xml:space="preserve"> * = missing value for one out of two patients.</w:t>
      </w:r>
    </w:p>
    <w:sectPr w:rsidR="0074447C" w:rsidRPr="008805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78F"/>
    <w:rsid w:val="002B2707"/>
    <w:rsid w:val="003E128F"/>
    <w:rsid w:val="0049550A"/>
    <w:rsid w:val="006D6F24"/>
    <w:rsid w:val="006F39EA"/>
    <w:rsid w:val="007045A5"/>
    <w:rsid w:val="0074447C"/>
    <w:rsid w:val="00792FB4"/>
    <w:rsid w:val="008805C5"/>
    <w:rsid w:val="0092307B"/>
    <w:rsid w:val="00AF70F1"/>
    <w:rsid w:val="00B2578F"/>
    <w:rsid w:val="00B70FFB"/>
    <w:rsid w:val="00BE013D"/>
    <w:rsid w:val="00C1218A"/>
    <w:rsid w:val="00D00429"/>
    <w:rsid w:val="00D94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8ADBD59"/>
  <w15:chartTrackingRefBased/>
  <w15:docId w15:val="{3E65122C-22F3-421E-9457-2D546C946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28F"/>
    <w:pPr>
      <w:spacing w:after="5" w:line="248" w:lineRule="auto"/>
      <w:ind w:left="10" w:right="60" w:hanging="10"/>
      <w:jc w:val="both"/>
    </w:pPr>
    <w:rPr>
      <w:rFonts w:ascii="Times New Roman" w:eastAsia="Times New Roman" w:hAnsi="Times New Roman" w:cs="Times New Roman"/>
      <w:color w:val="000000"/>
      <w:sz w:val="24"/>
      <w:lang w:eastAsia="en-BE"/>
    </w:rPr>
  </w:style>
  <w:style w:type="paragraph" w:styleId="Heading1">
    <w:name w:val="heading 1"/>
    <w:next w:val="Normal"/>
    <w:link w:val="Heading1Char"/>
    <w:uiPriority w:val="9"/>
    <w:qFormat/>
    <w:rsid w:val="003E128F"/>
    <w:pPr>
      <w:keepNext/>
      <w:keepLines/>
      <w:spacing w:after="0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  <w:lang w:eastAsia="en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28F"/>
    <w:rPr>
      <w:rFonts w:ascii="Times New Roman" w:eastAsia="Times New Roman" w:hAnsi="Times New Roman" w:cs="Times New Roman"/>
      <w:b/>
      <w:color w:val="000000"/>
      <w:sz w:val="28"/>
      <w:lang w:eastAsia="en-BE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D0042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D94A1E"/>
    <w:rPr>
      <w:color w:val="808080"/>
    </w:rPr>
  </w:style>
  <w:style w:type="table" w:styleId="PlainTable2">
    <w:name w:val="Plain Table 2"/>
    <w:basedOn w:val="TableNormal"/>
    <w:uiPriority w:val="42"/>
    <w:rsid w:val="0092307B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CaptionChar">
    <w:name w:val="Caption Char"/>
    <w:basedOn w:val="DefaultParagraphFont"/>
    <w:link w:val="Caption"/>
    <w:uiPriority w:val="35"/>
    <w:rsid w:val="0092307B"/>
    <w:rPr>
      <w:rFonts w:ascii="Times New Roman" w:eastAsia="Times New Roman" w:hAnsi="Times New Roman" w:cs="Times New Roman"/>
      <w:i/>
      <w:iCs/>
      <w:color w:val="44546A" w:themeColor="text2"/>
      <w:sz w:val="18"/>
      <w:szCs w:val="18"/>
      <w:lang w:eastAsia="en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1351</Words>
  <Characters>7702</Characters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2022-12-22T12:34:00Z</dcterms:created>
  <dcterms:modified xsi:type="dcterms:W3CDTF">2022-12-23T08:26:00Z</dcterms:modified>
</cp:coreProperties>
</file>