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2F8" w:rsidRDefault="008F02F8">
      <w:r>
        <w:rPr>
          <w:rFonts w:ascii="Times New Roman" w:hAnsi="Times New Roman" w:cs="Times New Roman"/>
          <w:szCs w:val="21"/>
        </w:rPr>
        <w:t>Table S</w:t>
      </w:r>
      <w:r w:rsidR="006217B4">
        <w:rPr>
          <w:rFonts w:ascii="Times New Roman" w:hAnsi="Times New Roman" w:cs="Times New Roman"/>
          <w:szCs w:val="21"/>
        </w:rPr>
        <w:t>5</w:t>
      </w:r>
      <w:bookmarkStart w:id="0" w:name="_GoBack"/>
      <w:bookmarkEnd w:id="0"/>
      <w:r>
        <w:rPr>
          <w:rFonts w:ascii="Times New Roman" w:hAnsi="Times New Roman" w:cs="Times New Roman"/>
          <w:szCs w:val="21"/>
        </w:rPr>
        <w:t>. P</w:t>
      </w:r>
      <w:r w:rsidRPr="00C23237">
        <w:rPr>
          <w:rFonts w:ascii="Times New Roman" w:hAnsi="Times New Roman" w:cs="Times New Roman"/>
          <w:szCs w:val="21"/>
        </w:rPr>
        <w:t xml:space="preserve">utative </w:t>
      </w:r>
      <w:r>
        <w:rPr>
          <w:rFonts w:ascii="Times New Roman" w:hAnsi="Times New Roman" w:cs="Times New Roman"/>
          <w:szCs w:val="21"/>
        </w:rPr>
        <w:t>TF</w:t>
      </w:r>
      <w:r w:rsidRPr="00C23237">
        <w:rPr>
          <w:rFonts w:ascii="Times New Roman" w:hAnsi="Times New Roman" w:cs="Times New Roman"/>
          <w:szCs w:val="21"/>
        </w:rPr>
        <w:t xml:space="preserve">-binding site in the transcriptional start of </w:t>
      </w:r>
      <w:r w:rsidR="0031204B" w:rsidRPr="0031204B">
        <w:rPr>
          <w:rFonts w:ascii="Times New Roman" w:hAnsi="Times New Roman" w:cs="Times New Roman"/>
          <w:szCs w:val="21"/>
        </w:rPr>
        <w:t>LINC00036</w:t>
      </w:r>
      <w:r w:rsidR="0031204B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locus.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327"/>
        <w:gridCol w:w="1109"/>
        <w:gridCol w:w="1358"/>
        <w:gridCol w:w="1276"/>
        <w:gridCol w:w="1134"/>
        <w:gridCol w:w="1134"/>
        <w:gridCol w:w="1184"/>
      </w:tblGrid>
      <w:tr w:rsidR="000D43FC" w:rsidRPr="00985D89" w:rsidTr="00AD4EEC">
        <w:tc>
          <w:tcPr>
            <w:tcW w:w="1327" w:type="dxa"/>
          </w:tcPr>
          <w:p w:rsidR="000D43FC" w:rsidRPr="00381022" w:rsidRDefault="000D43FC" w:rsidP="00AD4EE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81022">
              <w:rPr>
                <w:rFonts w:ascii="Times New Roman" w:hAnsi="Times New Roman" w:cs="Times New Roman"/>
                <w:b/>
                <w:sz w:val="18"/>
                <w:szCs w:val="18"/>
              </w:rPr>
              <w:t>Transcription factor</w:t>
            </w:r>
          </w:p>
        </w:tc>
        <w:tc>
          <w:tcPr>
            <w:tcW w:w="1109" w:type="dxa"/>
          </w:tcPr>
          <w:p w:rsidR="000D43FC" w:rsidRPr="00381022" w:rsidRDefault="000D43FC" w:rsidP="00AD4EE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81022">
              <w:rPr>
                <w:rFonts w:ascii="Times New Roman" w:hAnsi="Times New Roman" w:cs="Times New Roman"/>
                <w:b/>
                <w:sz w:val="18"/>
                <w:szCs w:val="18"/>
              </w:rPr>
              <w:t>Synonyms</w:t>
            </w:r>
          </w:p>
        </w:tc>
        <w:tc>
          <w:tcPr>
            <w:tcW w:w="1358" w:type="dxa"/>
          </w:tcPr>
          <w:p w:rsidR="000D43FC" w:rsidRPr="00381022" w:rsidRDefault="000D43FC" w:rsidP="00AD4EE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81022">
              <w:rPr>
                <w:rFonts w:ascii="Times New Roman" w:hAnsi="Times New Roman" w:cs="Times New Roman"/>
                <w:b/>
                <w:sz w:val="18"/>
                <w:szCs w:val="18"/>
              </w:rPr>
              <w:t>Official Full Name</w:t>
            </w:r>
          </w:p>
        </w:tc>
        <w:tc>
          <w:tcPr>
            <w:tcW w:w="1276" w:type="dxa"/>
          </w:tcPr>
          <w:p w:rsidR="000D43FC" w:rsidRPr="00985D89" w:rsidRDefault="000D43FC" w:rsidP="00AD4EEC">
            <w:pPr>
              <w:rPr>
                <w:rFonts w:ascii="Times New Roman" w:hAnsi="Times New Roman" w:cs="Times New Roman"/>
                <w:b/>
                <w:sz w:val="15"/>
              </w:rPr>
            </w:pPr>
            <w:r w:rsidRPr="00381022">
              <w:rPr>
                <w:rFonts w:ascii="Times New Roman" w:hAnsi="Times New Roman" w:cs="Times New Roman"/>
                <w:b/>
                <w:sz w:val="15"/>
              </w:rPr>
              <w:t>Number of samples found (upstream)</w:t>
            </w:r>
          </w:p>
        </w:tc>
        <w:tc>
          <w:tcPr>
            <w:tcW w:w="1134" w:type="dxa"/>
          </w:tcPr>
          <w:p w:rsidR="000D43FC" w:rsidRPr="00985D89" w:rsidRDefault="000D43FC" w:rsidP="00AD4EEC">
            <w:pPr>
              <w:rPr>
                <w:rFonts w:ascii="Times New Roman" w:hAnsi="Times New Roman" w:cs="Times New Roman"/>
                <w:b/>
                <w:sz w:val="15"/>
              </w:rPr>
            </w:pPr>
            <w:r w:rsidRPr="00381022">
              <w:rPr>
                <w:rFonts w:ascii="Times New Roman" w:hAnsi="Times New Roman" w:cs="Times New Roman"/>
                <w:b/>
                <w:sz w:val="15"/>
              </w:rPr>
              <w:t>Number</w:t>
            </w:r>
            <w:r w:rsidRPr="00381022">
              <w:rPr>
                <w:rFonts w:ascii="Times New Roman" w:hAnsi="Times New Roman" w:cs="Times New Roman" w:hint="eastAsia"/>
                <w:b/>
                <w:sz w:val="15"/>
              </w:rPr>
              <w:t xml:space="preserve"> </w:t>
            </w:r>
            <w:r w:rsidRPr="00381022">
              <w:rPr>
                <w:rFonts w:ascii="Times New Roman" w:hAnsi="Times New Roman" w:cs="Times New Roman"/>
                <w:b/>
                <w:sz w:val="15"/>
              </w:rPr>
              <w:t>of samples found (downstream)</w:t>
            </w:r>
          </w:p>
        </w:tc>
        <w:tc>
          <w:tcPr>
            <w:tcW w:w="1134" w:type="dxa"/>
          </w:tcPr>
          <w:p w:rsidR="000D43FC" w:rsidRPr="00985D89" w:rsidRDefault="000D43FC" w:rsidP="00AD4EEC">
            <w:pPr>
              <w:rPr>
                <w:rFonts w:ascii="Times New Roman" w:hAnsi="Times New Roman" w:cs="Times New Roman"/>
                <w:b/>
                <w:sz w:val="15"/>
              </w:rPr>
            </w:pPr>
            <w:r w:rsidRPr="00985D89">
              <w:rPr>
                <w:rFonts w:ascii="Times New Roman" w:hAnsi="Times New Roman" w:cs="Times New Roman"/>
                <w:b/>
                <w:sz w:val="15"/>
              </w:rPr>
              <w:t>Number of binding sites contain motif (upstream)</w:t>
            </w:r>
          </w:p>
        </w:tc>
        <w:tc>
          <w:tcPr>
            <w:tcW w:w="1184" w:type="dxa"/>
          </w:tcPr>
          <w:p w:rsidR="000D43FC" w:rsidRPr="00985D89" w:rsidRDefault="000D43FC" w:rsidP="00AD4EEC">
            <w:pPr>
              <w:rPr>
                <w:rFonts w:ascii="Times New Roman" w:hAnsi="Times New Roman" w:cs="Times New Roman"/>
                <w:b/>
                <w:sz w:val="15"/>
              </w:rPr>
            </w:pPr>
            <w:r w:rsidRPr="00985D89">
              <w:rPr>
                <w:rFonts w:ascii="Times New Roman" w:hAnsi="Times New Roman" w:cs="Times New Roman"/>
                <w:b/>
                <w:sz w:val="15"/>
              </w:rPr>
              <w:t>Number of binding sites contain motif (downstream)</w:t>
            </w:r>
          </w:p>
        </w:tc>
      </w:tr>
      <w:tr w:rsidR="00AD4EEC" w:rsidRPr="00AD4EEC" w:rsidTr="00AD4EEC">
        <w:tc>
          <w:tcPr>
            <w:tcW w:w="1327" w:type="dxa"/>
          </w:tcPr>
          <w:tbl>
            <w:tblPr>
              <w:tblW w:w="2060" w:type="dxa"/>
              <w:tblLayout w:type="fixed"/>
              <w:tblLook w:val="04A0" w:firstRow="1" w:lastRow="0" w:firstColumn="1" w:lastColumn="0" w:noHBand="0" w:noVBand="1"/>
            </w:tblPr>
            <w:tblGrid>
              <w:gridCol w:w="2060"/>
            </w:tblGrid>
            <w:tr w:rsidR="00AD4EEC" w:rsidRPr="000D43FC" w:rsidTr="000D43FC">
              <w:trPr>
                <w:trHeight w:val="28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D4EEC" w:rsidRPr="000D43FC" w:rsidRDefault="00C64C30" w:rsidP="000D43FC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Cs w:val="21"/>
                    </w:rPr>
                    <w:t>C-</w:t>
                  </w:r>
                  <w:r w:rsidR="00AD4EEC" w:rsidRPr="000D43FC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MYC</w:t>
                  </w:r>
                </w:p>
              </w:tc>
            </w:tr>
            <w:tr w:rsidR="00AD4EEC" w:rsidRPr="000D43FC" w:rsidTr="000D43FC">
              <w:trPr>
                <w:trHeight w:val="6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D4EEC" w:rsidRPr="000D43FC" w:rsidRDefault="00AD4EEC" w:rsidP="000D43FC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</w:p>
              </w:tc>
            </w:tr>
          </w:tbl>
          <w:p w:rsidR="00AD4EEC" w:rsidRPr="00AD4EEC" w:rsidRDefault="00AD4EEC" w:rsidP="00AD4EE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MRTL, MYCC, bHLHe39, c-Myc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v-myc avian myelocytomatosis viral oncogene homolog</w:t>
            </w:r>
          </w:p>
        </w:tc>
        <w:tc>
          <w:tcPr>
            <w:tcW w:w="1276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8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ZBTB7A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FBI-1, FBI1, LRF, TIP21, ZBTB7, ZNF857A, pokemon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zinc finger and BTB domain containing 7A</w:t>
            </w:r>
          </w:p>
        </w:tc>
        <w:tc>
          <w:tcPr>
            <w:tcW w:w="1276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8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ZNF143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SBF, STAF, pHZ-1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zinc finger protein 143</w:t>
            </w:r>
          </w:p>
        </w:tc>
        <w:tc>
          <w:tcPr>
            <w:tcW w:w="1276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8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CEBPA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C/EBP-alpha, CEBP</w:t>
            </w:r>
          </w:p>
          <w:p w:rsidR="00AD4EEC" w:rsidRPr="00AD4EEC" w:rsidRDefault="00AD4EEC" w:rsidP="00AD4EE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CCAAT/enhancer binding protein (C/EBP), alpha</w:t>
            </w:r>
          </w:p>
        </w:tc>
        <w:tc>
          <w:tcPr>
            <w:tcW w:w="1276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8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ESR2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ER-BETA, ESR-BETA, ESRB, ESTRB, Erb, NR3A2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estrogen receptor 2 (ER beta)</w:t>
            </w:r>
          </w:p>
        </w:tc>
        <w:tc>
          <w:tcPr>
            <w:tcW w:w="1276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8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FOXM1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 xml:space="preserve">FKHL16, FOXM1B, HFH-11, HFH11, HNF-3, INS-1, MPHOSPH2, MPP-2, MPP2, PIG29, 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TRIDENT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forkhead box M1</w:t>
            </w:r>
          </w:p>
        </w:tc>
        <w:tc>
          <w:tcPr>
            <w:tcW w:w="1276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8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MAZ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PUR1, Pur-1, SAF-1, SAF-2, SAF-3, ZF87, ZNF801, Zif87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MYC-associated zinc finger protein (purine-binding transcription factor)</w:t>
            </w:r>
          </w:p>
        </w:tc>
        <w:tc>
          <w:tcPr>
            <w:tcW w:w="1276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8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MYOD1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MYF3, MYOD, PUM, bHLHc1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myogenic differentiation 1</w:t>
            </w:r>
          </w:p>
        </w:tc>
        <w:tc>
          <w:tcPr>
            <w:tcW w:w="1276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8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0D43FC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PPARG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CIMT1, GLM1, NR1C3, PPARG1, PPARG2, PPARgamma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peroxisome proliferator-activated receptor gamma</w:t>
            </w:r>
          </w:p>
        </w:tc>
        <w:tc>
          <w:tcPr>
            <w:tcW w:w="1276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84" w:type="dxa"/>
            <w:vAlign w:val="center"/>
          </w:tcPr>
          <w:p w:rsidR="00AD4EEC" w:rsidRPr="00AD4EEC" w:rsidRDefault="00AD4EEC" w:rsidP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SPI1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OF, PU.1, SFPI1, SPI-1, SPI-A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v-myc avian myelocytomatosis viral oncogene homolog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TAL1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SCL, TCL5, bHLHa17, tal-1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Spi-1 proto-oncogene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TEAD4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EFTR-2, RTEF1, TCF13L1, TEF-3, TEF3, TEFR-1, hRTEF-1B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T-cell acute lymphocytic leukemia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CTCFL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BORIS, CT27, CTCF-T, HMGB1L1, dJ579F20.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TEA domain family member 4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E2F6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hAnsi="Times New Roman" w:cs="Times New Roman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E2F6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CCCTC-binding factor (zinc finger protein)-like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ELF1</w:t>
            </w:r>
          </w:p>
        </w:tc>
        <w:tc>
          <w:tcPr>
            <w:tcW w:w="1109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—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E2F transcription factor 6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ERG</w:t>
            </w:r>
          </w:p>
        </w:tc>
        <w:tc>
          <w:tcPr>
            <w:tcW w:w="1109" w:type="dxa"/>
          </w:tcPr>
          <w:p w:rsidR="00AD4EEC" w:rsidRPr="00AD4EEC" w:rsidRDefault="00AD4EEC" w:rsidP="000538A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erg-3, p55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E74-like factor 1 (ets domain transcription factor)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FOSL2</w:t>
            </w:r>
          </w:p>
        </w:tc>
        <w:tc>
          <w:tcPr>
            <w:tcW w:w="1109" w:type="dxa"/>
          </w:tcPr>
          <w:p w:rsidR="00AD4EEC" w:rsidRPr="00AD4EEC" w:rsidRDefault="00AD4EEC" w:rsidP="000538A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FRA2</w:t>
            </w:r>
          </w:p>
          <w:p w:rsidR="00AD4EEC" w:rsidRPr="00AD4EEC" w:rsidRDefault="00AD4EEC" w:rsidP="00AD4EE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v-ets avian erythroblastosis virus E26 oncogene homolog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rPr>
          <w:trHeight w:val="2447"/>
        </w:trPr>
        <w:tc>
          <w:tcPr>
            <w:tcW w:w="1327" w:type="dxa"/>
          </w:tcPr>
          <w:p w:rsidR="00AD4EEC" w:rsidRDefault="00AD4EEC"/>
          <w:p w:rsidR="00AD4EEC" w:rsidRDefault="00AD4EEC"/>
          <w:p w:rsidR="00AD4EEC" w:rsidRDefault="00AD4EEC"/>
          <w:p w:rsidR="00AD4EEC" w:rsidRDefault="00AD4EEC"/>
          <w:tbl>
            <w:tblPr>
              <w:tblW w:w="2060" w:type="dxa"/>
              <w:tblLayout w:type="fixed"/>
              <w:tblLook w:val="04A0" w:firstRow="1" w:lastRow="0" w:firstColumn="1" w:lastColumn="0" w:noHBand="0" w:noVBand="1"/>
            </w:tblPr>
            <w:tblGrid>
              <w:gridCol w:w="2060"/>
            </w:tblGrid>
            <w:tr w:rsidR="00AD4EEC" w:rsidRPr="000D43FC" w:rsidTr="000D43FC">
              <w:trPr>
                <w:trHeight w:val="280"/>
              </w:trPr>
              <w:tc>
                <w:tcPr>
                  <w:tcW w:w="2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D4EEC" w:rsidRPr="000D43FC" w:rsidRDefault="00AD4EEC" w:rsidP="000D43FC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</w:rPr>
                  </w:pPr>
                  <w:r w:rsidRPr="000D43F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</w:rPr>
                    <w:t>GATA2</w:t>
                  </w:r>
                </w:p>
              </w:tc>
            </w:tr>
          </w:tbl>
          <w:p w:rsidR="00AD4EEC" w:rsidRPr="00AD4EEC" w:rsidRDefault="00AD4EEC" w:rsidP="00AD4EE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9" w:type="dxa"/>
          </w:tcPr>
          <w:p w:rsidR="00AD4EEC" w:rsidRPr="00AD4EEC" w:rsidRDefault="00AD4EEC" w:rsidP="000538A3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DCML, IMD21, MONOMAC, NFE1B</w:t>
            </w:r>
          </w:p>
          <w:p w:rsidR="00AD4EEC" w:rsidRPr="00AD4EEC" w:rsidRDefault="00AD4EEC" w:rsidP="00AD4EE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GATA binding protein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GATA3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HDR, HDRS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GATA binding protein 3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HNF4G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NR2A2, NR2A3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hepatocyte nuclear factor 4, gamma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HOXC9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HOX3, HOX3B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homeobox C9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JUND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AP-1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jun D proto-oncogene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KLF4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EZF, GKLF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Kruppel-like factor 4 (gut)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MXI1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MAD2, MXD2, MXI, bHLHc11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MAX interactor 1, dimerization protein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MYBL2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B-MYB, BMYB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v-myb avian myeloblastosis viral oncogene homolog-like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NR2F2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ARP1, CHTD4, COUPTFB, COUPTFII, NF-E3, NR2F1, SVP40, TFCOUP2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nuclear receptor subfamily 2 group F member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RCOR1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COREST, RCOR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REST corepressor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STAT1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CANDF7, IMD31A, IMD31B, IMD31C, ISGF-3, STAT91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signal transducer and activator of transcription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0D43FC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D43F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TFAP2C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AP2-GAMMA, ERF1, TFAP2G, hAP-2g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transcription factor AP-2 gamma (activating enhancer binding protein 2 gamma)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395B88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5B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ARNT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HIF-1-beta, HIF-1beta, HIF1-beta, HIF1B, HIF1BETA, TANGO, bHLHe2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aryl hydrocarbon receptor nuclear translocator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395B88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5B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ATF1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 xml:space="preserve">EWS-ATF1, 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FUS/ATF-1, TREB36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 xml:space="preserve">activating transcription 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factor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395B88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5B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ATOH1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ATH1, HATH1, MATH-1, bHLHa14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atonal bHLH transcription factor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395B88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5B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BARHL1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BarH-like homeobox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395B88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5B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CDX2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CDX-3, CDX2/AS, CDX3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caudal type homeobox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395B88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5B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CUX1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CASP, CDP, CDP/Cut, CDP1, COY1, CUTL1, CUX, Clox, Cux/CDP, GOLIM6, Nbla10317, p100, p110, p200, p75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cut-like homeobox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395B88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5B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EOMES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TBR2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eomesodermin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395B88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5B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FOXP1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12CC4, HSPC215, MFH, QRF1, hFKH1B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forkhead box P1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395B88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5B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FOXP2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CAGH44, SPCH1, TNRC10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forkhead box P2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395B88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95B8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GABPA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E4TF1-60, E4TF1A, NFT2, NRF2, NRF2A, RCH04A07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GA binding protein transcription factor alpha subunit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GATA1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 xml:space="preserve">ERYF1, 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GATA-1, GF-1, GF1, NF-E1, NFE1, XLANP, XLTDA, XLTT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 xml:space="preserve">GATA 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binding protein 1 (globin transcription factor 1)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GATA4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ASD2, TACHD, TOF, VSD1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GATA binding protein 4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GATA6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GATA binding protein 6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GMEB1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P96PIF, PIF96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glucocorticoid modulatory element binding protein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GMEB2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P79PIF, PIF79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glucocorticoid modulatory element binding protein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HOXA4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HOX1, HOX1D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homeobox A4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JUNB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AP-1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jun B proto-oncogene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KDM5A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RBBP-2, RBBP2, RBP2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lysine (K)-specific demethylase 5A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KLF1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CDAN4, EKLF, HBFQTL6, INLU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Kruppel-like factor 1 (erythroid)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MAX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bHLHd4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MYC associated factor X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MBD2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DMTase, NY-CO-41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 xml:space="preserve">methyl-CpG binding domain 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protein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MBD4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MED1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methyl-CpG binding domain 4 DNA glycosylase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NANOG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Nanog homeobox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NCOR1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N-CoR, N-CoR1, PPP1R109, TRAC1, hN-CoR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nuclear receptor corepressor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NFYB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CBF-A, CBF-B, HAP3, NF-YB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nuclear transcription factor Y subunit beta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NKX2-1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BCH, BHC, NK-2, NKX2.1, NKX2A, T/EBP, TEBP, TITF1, TTF-1, TTF1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NK2 homeobox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PAX5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ALL3, BSAP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paired box 5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PBX1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pre-B-cell leukemia homeobox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RFX5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regulatory factor X5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RUNX1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 xml:space="preserve">AML1, AML1-EVI-1, AMLCR1, CBF2alpha, CBFA2, EVI-1, PEBP2aB, 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PEBP2alpha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runt-related transcription factor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SMAD2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JV18, JV18-1, MADH2, MADR2, hMAD-2, hSMAD2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SMAD family member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SMAD4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DPC4, JIP, MADH4, MYHRS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SMAD family member 4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SNAI2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SLUG, SLUGH1, SNAIL2, WS2D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snail family zinc finger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SPDEF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PDEF, bA375E1.3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SAM pointed domain containing ETS transcription factor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STAT5A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MGF, STAT5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signal transducer and activator of transcription 5A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SAVA, TFT</w:t>
            </w:r>
          </w:p>
        </w:tc>
        <w:tc>
          <w:tcPr>
            <w:tcW w:w="1358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T brachyury transcription factor</w:t>
            </w:r>
          </w:p>
          <w:p w:rsidR="00AD4EEC" w:rsidRPr="00AD4EEC" w:rsidRDefault="00AD4EEC" w:rsidP="00AD4EE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TBP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GTF2D, GTF2D1, HDL4, SCA17, TFIID</w:t>
            </w:r>
          </w:p>
        </w:tc>
        <w:tc>
          <w:tcPr>
            <w:tcW w:w="1358" w:type="dxa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TATA-box binding protein</w:t>
            </w:r>
          </w:p>
          <w:p w:rsidR="00AD4EEC" w:rsidRPr="00AD4EEC" w:rsidRDefault="00AD4EEC" w:rsidP="00AD4EE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TCF4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 xml:space="preserve">E2-2, ITF-2, ITF2, PTHS, SEF-2, SEF2, SEF2-1, 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SEF2-1A, SEF2-1B, SEF2-1D, TCF-4, bHLHb19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transcription factor 4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TEAD2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ETF, TEAD-2, TEF-4, TEF4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TEA domain family member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TFAP2A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AP-2, AP-2alpha, AP2TF, BOFS, TFAP2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transcription factor AP-2 alpha (activating enhancer binding protein 2 alpha)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TP53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BCC7, LFS1, P53, TRP53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tumor protein p53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TP63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AIS, B(p51A), B(p51B), EEC3, KET, LMS, NBP, OFC8, RHS, SHFM4, TP53CP, TP53L, TP73L, p40, p51, p53CP, p63, p73H, p73L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tumor protein p63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UBTF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NOR-90, UBF, UBF-1, UBF1, UBF2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upstream binding transcription factor, RNA polymerase I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USF2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FIP, bHLHb12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upstream transcription factor 2, c-fos interacting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ZKSCAN1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9130423L19Rik, KOX18, PHZ-37, ZNF139, ZNF36, ZSCAN33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zinc finger with KRAB and SCAN domains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ZMIZ1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MIZ, RAI17, TRAFIP10, ZIMP10, hZIMP10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zinc finger, MIZ-type containing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ZNF263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FPM315, ZKSCAN12, ZSCAN44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zinc finger protein 263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ZNF281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ZBP-99, ZNP-99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zinc finger protein 281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ZNF384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CAGH1, CAGH1A, CIZ, ERDA2, NMP4, NP, TNRC1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zinc finger protein 384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BHLHE40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BHLHB2, DEC1, HLHB2, SHARP-2, STRA13, Stra14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basic helix-loop-helix family member e40</w:t>
            </w:r>
          </w:p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DMRT1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CT154, DMT1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 xml:space="preserve">doublesex and mab-3 related transcription 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factor 1</w:t>
            </w:r>
          </w:p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FOSL1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FRA, FRA1, fra-1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FOS-like antigen 1</w:t>
            </w:r>
          </w:p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FOXK2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ILF, ILF-1, ILF1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doublesex and mab-3 related transcription factor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IRX3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IRX-1, IRXB1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FOS-like antigen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KLF5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BTEB2, CKLF, IKLF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forkhead box K2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MAFK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NFE2U, P18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iroquois homeobox 3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MITF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CMM8, MI, WS2, WS2A, bHLHe32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microphthalmia-associated transcription factor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PBX3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pre-B-cell leukemia homeobox 3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POU2F2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OCT2, OTF2, Oct-2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POU class 2 homeobox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SMARCC1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BAF155, CRACC1, Rsc8, SRG3, SWI3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SWI/SNF related, matrix associated, actin dependent regulator of chromatin, subfamily c, member 1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SOX2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ANOP3, MCOPS3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SRY-box 2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AD4EEC" w:rsidRPr="00AD4EEC" w:rsidTr="00AD4EEC">
        <w:tc>
          <w:tcPr>
            <w:tcW w:w="1327" w:type="dxa"/>
            <w:vAlign w:val="center"/>
          </w:tcPr>
          <w:p w:rsidR="00AD4EEC" w:rsidRPr="008667F3" w:rsidRDefault="00AD4EEC" w:rsidP="00AD4E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67F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STAT3</w:t>
            </w:r>
          </w:p>
        </w:tc>
        <w:tc>
          <w:tcPr>
            <w:tcW w:w="1109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ADMIO, APRF, HIES</w:t>
            </w:r>
          </w:p>
        </w:tc>
        <w:tc>
          <w:tcPr>
            <w:tcW w:w="1358" w:type="dxa"/>
            <w:vAlign w:val="center"/>
          </w:tcPr>
          <w:p w:rsidR="00AD4EEC" w:rsidRPr="00AD4EEC" w:rsidRDefault="00AD4EEC" w:rsidP="00AD4EEC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 xml:space="preserve">signal transducer and activator of </w:t>
            </w: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transcription 3 (acute-phase response factor)</w:t>
            </w:r>
          </w:p>
        </w:tc>
        <w:tc>
          <w:tcPr>
            <w:tcW w:w="1276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0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84" w:type="dxa"/>
            <w:vAlign w:val="center"/>
          </w:tcPr>
          <w:p w:rsidR="00AD4EEC" w:rsidRPr="00AD4EEC" w:rsidRDefault="00AD4EEC">
            <w:pPr>
              <w:jc w:val="righ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D4EEC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</w:tbl>
    <w:p w:rsidR="000D43FC" w:rsidRPr="000D43FC" w:rsidRDefault="000D43FC" w:rsidP="000D43FC"/>
    <w:p w:rsidR="000D43FC" w:rsidRDefault="000E1BC4" w:rsidP="000E1BC4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E1BC4">
        <w:rPr>
          <w:rFonts w:ascii="Times New Roman" w:eastAsia="宋体" w:hAnsi="Times New Roman" w:cs="Times New Roman"/>
          <w:color w:val="000000"/>
          <w:kern w:val="0"/>
          <w:szCs w:val="21"/>
        </w:rPr>
        <w:t>the statistics of transcription factors that bound around TINCR(ENSG00000223573.6) gene</w:t>
      </w:r>
    </w:p>
    <w:p w:rsidR="000E1BC4" w:rsidRDefault="000E1BC4" w:rsidP="000E1BC4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E1BC4">
        <w:rPr>
          <w:rFonts w:ascii="Times New Roman" w:eastAsia="宋体" w:hAnsi="Times New Roman" w:cs="Times New Roman"/>
          <w:color w:val="000000"/>
          <w:kern w:val="0"/>
          <w:szCs w:val="21"/>
        </w:rPr>
        <w:t>Regulatory domain is [-30kb, 10kb] (motif: Y)</w:t>
      </w:r>
    </w:p>
    <w:p w:rsidR="004362C8" w:rsidRPr="000E1BC4" w:rsidRDefault="000E1BC4" w:rsidP="000E1BC4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0E1BC4">
        <w:rPr>
          <w:rFonts w:ascii="Times New Roman" w:eastAsia="宋体" w:hAnsi="Times New Roman" w:cs="Times New Roman"/>
          <w:color w:val="000000"/>
          <w:kern w:val="0"/>
          <w:szCs w:val="21"/>
        </w:rPr>
        <w:t>The number column below is corresponding to the motif status</w:t>
      </w:r>
    </w:p>
    <w:sectPr w:rsidR="004362C8" w:rsidRPr="000E1BC4" w:rsidSect="004362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25A1" w:rsidRDefault="00BE25A1" w:rsidP="000D43FC">
      <w:r>
        <w:separator/>
      </w:r>
    </w:p>
  </w:endnote>
  <w:endnote w:type="continuationSeparator" w:id="0">
    <w:p w:rsidR="00BE25A1" w:rsidRDefault="00BE25A1" w:rsidP="000D4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25A1" w:rsidRDefault="00BE25A1" w:rsidP="000D43FC">
      <w:r>
        <w:separator/>
      </w:r>
    </w:p>
  </w:footnote>
  <w:footnote w:type="continuationSeparator" w:id="0">
    <w:p w:rsidR="00BE25A1" w:rsidRDefault="00BE25A1" w:rsidP="000D4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43FC"/>
    <w:rsid w:val="0002460C"/>
    <w:rsid w:val="000258A6"/>
    <w:rsid w:val="000531FE"/>
    <w:rsid w:val="000538A3"/>
    <w:rsid w:val="00056A32"/>
    <w:rsid w:val="000814B7"/>
    <w:rsid w:val="000A33FD"/>
    <w:rsid w:val="000C3F4B"/>
    <w:rsid w:val="000D43FC"/>
    <w:rsid w:val="000E1BC4"/>
    <w:rsid w:val="001015A9"/>
    <w:rsid w:val="00116447"/>
    <w:rsid w:val="0014726B"/>
    <w:rsid w:val="00181146"/>
    <w:rsid w:val="00181FE5"/>
    <w:rsid w:val="001872A8"/>
    <w:rsid w:val="00197B36"/>
    <w:rsid w:val="001A1F1D"/>
    <w:rsid w:val="001A7468"/>
    <w:rsid w:val="001B622B"/>
    <w:rsid w:val="001D455A"/>
    <w:rsid w:val="001D5CE2"/>
    <w:rsid w:val="001F1C06"/>
    <w:rsid w:val="001F5307"/>
    <w:rsid w:val="0021654A"/>
    <w:rsid w:val="00216B1B"/>
    <w:rsid w:val="00246F01"/>
    <w:rsid w:val="00265629"/>
    <w:rsid w:val="00275129"/>
    <w:rsid w:val="002B4D44"/>
    <w:rsid w:val="002C7432"/>
    <w:rsid w:val="002D69A1"/>
    <w:rsid w:val="002F5C7B"/>
    <w:rsid w:val="003009B3"/>
    <w:rsid w:val="003100D0"/>
    <w:rsid w:val="0031204B"/>
    <w:rsid w:val="00313003"/>
    <w:rsid w:val="00317985"/>
    <w:rsid w:val="00320AFE"/>
    <w:rsid w:val="00327CAB"/>
    <w:rsid w:val="003333C4"/>
    <w:rsid w:val="00333F90"/>
    <w:rsid w:val="00337FA9"/>
    <w:rsid w:val="003412B6"/>
    <w:rsid w:val="00351D03"/>
    <w:rsid w:val="003754FF"/>
    <w:rsid w:val="003804AB"/>
    <w:rsid w:val="00381022"/>
    <w:rsid w:val="00381606"/>
    <w:rsid w:val="00385DE2"/>
    <w:rsid w:val="003A490B"/>
    <w:rsid w:val="003B517A"/>
    <w:rsid w:val="003C1DB3"/>
    <w:rsid w:val="003C47CB"/>
    <w:rsid w:val="003F7D58"/>
    <w:rsid w:val="00401B25"/>
    <w:rsid w:val="00406697"/>
    <w:rsid w:val="0043118B"/>
    <w:rsid w:val="004362C8"/>
    <w:rsid w:val="00437C08"/>
    <w:rsid w:val="00450DB5"/>
    <w:rsid w:val="004537B4"/>
    <w:rsid w:val="00454796"/>
    <w:rsid w:val="00457A98"/>
    <w:rsid w:val="004C3769"/>
    <w:rsid w:val="004D4C49"/>
    <w:rsid w:val="005202B8"/>
    <w:rsid w:val="005631A4"/>
    <w:rsid w:val="0056324C"/>
    <w:rsid w:val="00597255"/>
    <w:rsid w:val="005A47DC"/>
    <w:rsid w:val="005A53E1"/>
    <w:rsid w:val="005B01C2"/>
    <w:rsid w:val="005C1537"/>
    <w:rsid w:val="005F7E19"/>
    <w:rsid w:val="006140DA"/>
    <w:rsid w:val="006217B4"/>
    <w:rsid w:val="006224AD"/>
    <w:rsid w:val="0062424C"/>
    <w:rsid w:val="00624BFF"/>
    <w:rsid w:val="006351F2"/>
    <w:rsid w:val="00646832"/>
    <w:rsid w:val="00650B6D"/>
    <w:rsid w:val="0065760D"/>
    <w:rsid w:val="006669C0"/>
    <w:rsid w:val="006A1910"/>
    <w:rsid w:val="006C489C"/>
    <w:rsid w:val="006C5D96"/>
    <w:rsid w:val="0070358D"/>
    <w:rsid w:val="00726D0A"/>
    <w:rsid w:val="0072740B"/>
    <w:rsid w:val="007438B3"/>
    <w:rsid w:val="00761363"/>
    <w:rsid w:val="007957A7"/>
    <w:rsid w:val="007B6926"/>
    <w:rsid w:val="007B76B0"/>
    <w:rsid w:val="007C38B2"/>
    <w:rsid w:val="007E12D2"/>
    <w:rsid w:val="008017DE"/>
    <w:rsid w:val="00810BDB"/>
    <w:rsid w:val="00833078"/>
    <w:rsid w:val="00835B19"/>
    <w:rsid w:val="00855774"/>
    <w:rsid w:val="00864713"/>
    <w:rsid w:val="008655C3"/>
    <w:rsid w:val="00865E9E"/>
    <w:rsid w:val="00870EF7"/>
    <w:rsid w:val="0087538F"/>
    <w:rsid w:val="008812C5"/>
    <w:rsid w:val="0089345C"/>
    <w:rsid w:val="008963E9"/>
    <w:rsid w:val="008C1537"/>
    <w:rsid w:val="008C537B"/>
    <w:rsid w:val="008F02F8"/>
    <w:rsid w:val="009136F9"/>
    <w:rsid w:val="00922BE6"/>
    <w:rsid w:val="00942BBE"/>
    <w:rsid w:val="00953B7B"/>
    <w:rsid w:val="0096059F"/>
    <w:rsid w:val="009729ED"/>
    <w:rsid w:val="00996F8C"/>
    <w:rsid w:val="009B520E"/>
    <w:rsid w:val="009C1453"/>
    <w:rsid w:val="009C688F"/>
    <w:rsid w:val="00A011E4"/>
    <w:rsid w:val="00A266EC"/>
    <w:rsid w:val="00A26834"/>
    <w:rsid w:val="00A665A6"/>
    <w:rsid w:val="00A75213"/>
    <w:rsid w:val="00A759FB"/>
    <w:rsid w:val="00A75CEC"/>
    <w:rsid w:val="00A86CB9"/>
    <w:rsid w:val="00AA06CB"/>
    <w:rsid w:val="00AA1F3F"/>
    <w:rsid w:val="00AA6592"/>
    <w:rsid w:val="00AC580A"/>
    <w:rsid w:val="00AD215F"/>
    <w:rsid w:val="00AD4EEC"/>
    <w:rsid w:val="00AD720C"/>
    <w:rsid w:val="00AE18E5"/>
    <w:rsid w:val="00AE4AD8"/>
    <w:rsid w:val="00AF3791"/>
    <w:rsid w:val="00B0784B"/>
    <w:rsid w:val="00B36507"/>
    <w:rsid w:val="00B412C8"/>
    <w:rsid w:val="00B51BBC"/>
    <w:rsid w:val="00B63E44"/>
    <w:rsid w:val="00B95F06"/>
    <w:rsid w:val="00BB58A6"/>
    <w:rsid w:val="00BD0893"/>
    <w:rsid w:val="00BD4BDF"/>
    <w:rsid w:val="00BD6F69"/>
    <w:rsid w:val="00BE25A1"/>
    <w:rsid w:val="00BE50BD"/>
    <w:rsid w:val="00C21FF6"/>
    <w:rsid w:val="00C22685"/>
    <w:rsid w:val="00C27C6D"/>
    <w:rsid w:val="00C57760"/>
    <w:rsid w:val="00C62798"/>
    <w:rsid w:val="00C64C30"/>
    <w:rsid w:val="00C7205D"/>
    <w:rsid w:val="00C723F8"/>
    <w:rsid w:val="00C75FC2"/>
    <w:rsid w:val="00C81FDA"/>
    <w:rsid w:val="00C96300"/>
    <w:rsid w:val="00CC24BB"/>
    <w:rsid w:val="00CC35DB"/>
    <w:rsid w:val="00CC3907"/>
    <w:rsid w:val="00CC74BB"/>
    <w:rsid w:val="00CE250D"/>
    <w:rsid w:val="00D35AA2"/>
    <w:rsid w:val="00D37D73"/>
    <w:rsid w:val="00D47967"/>
    <w:rsid w:val="00D47CF9"/>
    <w:rsid w:val="00D50D96"/>
    <w:rsid w:val="00D834F4"/>
    <w:rsid w:val="00D84491"/>
    <w:rsid w:val="00D90812"/>
    <w:rsid w:val="00D923B5"/>
    <w:rsid w:val="00DC3FEF"/>
    <w:rsid w:val="00DC5724"/>
    <w:rsid w:val="00DC79F1"/>
    <w:rsid w:val="00DD4F30"/>
    <w:rsid w:val="00DE1FA4"/>
    <w:rsid w:val="00DE7A0E"/>
    <w:rsid w:val="00DF43D6"/>
    <w:rsid w:val="00DF52A6"/>
    <w:rsid w:val="00E00782"/>
    <w:rsid w:val="00E403E8"/>
    <w:rsid w:val="00E41D10"/>
    <w:rsid w:val="00E47F34"/>
    <w:rsid w:val="00E762CF"/>
    <w:rsid w:val="00E96FA4"/>
    <w:rsid w:val="00EB7325"/>
    <w:rsid w:val="00ED6BA3"/>
    <w:rsid w:val="00ED70A4"/>
    <w:rsid w:val="00EE3AEA"/>
    <w:rsid w:val="00EE618E"/>
    <w:rsid w:val="00EF2D25"/>
    <w:rsid w:val="00F1357A"/>
    <w:rsid w:val="00F4581C"/>
    <w:rsid w:val="00F50DA1"/>
    <w:rsid w:val="00F6176C"/>
    <w:rsid w:val="00F65568"/>
    <w:rsid w:val="00FA23B7"/>
    <w:rsid w:val="00FB261C"/>
    <w:rsid w:val="00FB7803"/>
    <w:rsid w:val="00FC0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B6AAAA"/>
  <w15:docId w15:val="{BAED11CC-C52C-470D-83E0-2AF7D4EE4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3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D4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0D43F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D4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D43FC"/>
    <w:rPr>
      <w:sz w:val="18"/>
      <w:szCs w:val="18"/>
    </w:rPr>
  </w:style>
  <w:style w:type="table" w:styleId="a7">
    <w:name w:val="Table Grid"/>
    <w:basedOn w:val="a1"/>
    <w:uiPriority w:val="59"/>
    <w:rsid w:val="000D43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12</Pages>
  <Words>1122</Words>
  <Characters>6397</Characters>
  <Application>Microsoft Office Word</Application>
  <DocSecurity>0</DocSecurity>
  <Lines>53</Lines>
  <Paragraphs>15</Paragraphs>
  <ScaleCrop>false</ScaleCrop>
  <Company/>
  <LinksUpToDate>false</LinksUpToDate>
  <CharactersWithSpaces>7504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ThiknPad</dc:creator>
  <cp:keywords/>
  <dc:description/>
  <cp:lastModifiedBy>Administrator</cp:lastModifiedBy>
  <cp:revision>10</cp:revision>
  <dcterms:created xsi:type="dcterms:W3CDTF">2020-03-09T09:42:00Z</dcterms:created>
  <dcterms:modified xsi:type="dcterms:W3CDTF">2021-01-18T08:29:00Z</dcterms:modified>
</cp:coreProperties>
</file>