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84507" w14:textId="4660CB83" w:rsidR="00BC5D69" w:rsidRPr="008A68E8" w:rsidRDefault="00BC5D69" w:rsidP="00BC5D69">
      <w:pPr>
        <w:pStyle w:val="Caption"/>
      </w:pPr>
      <w:bookmarkStart w:id="0" w:name="_Toc111557030"/>
      <w:bookmarkStart w:id="1" w:name="_Hlk116819153"/>
      <w:r>
        <w:t>Additional file</w:t>
      </w:r>
      <w:r w:rsidR="00880F50">
        <w:t xml:space="preserve"> </w:t>
      </w:r>
      <w:r>
        <w:t>1</w:t>
      </w:r>
      <w:bookmarkEnd w:id="1"/>
      <w:r w:rsidRPr="008A68E8">
        <w:t xml:space="preserve">: </w:t>
      </w:r>
      <w:bookmarkEnd w:id="0"/>
      <w:r w:rsidRPr="00BC5D69">
        <w:t>Braun and Clarke’s checklist of criteria for good thematic analysis</w:t>
      </w:r>
    </w:p>
    <w:tbl>
      <w:tblPr>
        <w:tblStyle w:val="GridTable1Light"/>
        <w:tblW w:w="12469" w:type="dxa"/>
        <w:tblLook w:val="04A0" w:firstRow="1" w:lastRow="0" w:firstColumn="1" w:lastColumn="0" w:noHBand="0" w:noVBand="1"/>
      </w:tblPr>
      <w:tblGrid>
        <w:gridCol w:w="1399"/>
        <w:gridCol w:w="3456"/>
        <w:gridCol w:w="7614"/>
      </w:tblGrid>
      <w:tr w:rsidR="00BC5D69" w:rsidRPr="008A68E8" w14:paraId="5604E214" w14:textId="77777777" w:rsidTr="00C01C7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99" w:type="dxa"/>
          </w:tcPr>
          <w:p w14:paraId="5D9CE639" w14:textId="77777777" w:rsidR="00BC5D69" w:rsidRPr="008A68E8" w:rsidRDefault="00BC5D69" w:rsidP="00C01C7A">
            <w:pPr>
              <w:jc w:val="center"/>
              <w:rPr>
                <w:sz w:val="22"/>
              </w:rPr>
            </w:pPr>
            <w:r w:rsidRPr="008A68E8">
              <w:rPr>
                <w:sz w:val="22"/>
              </w:rPr>
              <w:t>Process</w:t>
            </w:r>
          </w:p>
        </w:tc>
        <w:tc>
          <w:tcPr>
            <w:tcW w:w="3456" w:type="dxa"/>
          </w:tcPr>
          <w:p w14:paraId="6738F9E3" w14:textId="77777777" w:rsidR="00BC5D69" w:rsidRPr="008A68E8" w:rsidRDefault="00BC5D69" w:rsidP="00C01C7A">
            <w:pPr>
              <w:jc w:val="center"/>
              <w:cnfStyle w:val="100000000000" w:firstRow="1" w:lastRow="0" w:firstColumn="0" w:lastColumn="0" w:oddVBand="0" w:evenVBand="0" w:oddHBand="0" w:evenHBand="0" w:firstRowFirstColumn="0" w:firstRowLastColumn="0" w:lastRowFirstColumn="0" w:lastRowLastColumn="0"/>
              <w:rPr>
                <w:sz w:val="22"/>
              </w:rPr>
            </w:pPr>
            <w:r w:rsidRPr="008A68E8">
              <w:rPr>
                <w:sz w:val="22"/>
              </w:rPr>
              <w:t>Quality criteria</w:t>
            </w:r>
          </w:p>
        </w:tc>
        <w:tc>
          <w:tcPr>
            <w:tcW w:w="7614" w:type="dxa"/>
          </w:tcPr>
          <w:p w14:paraId="0FD769DC" w14:textId="77777777" w:rsidR="00BC5D69" w:rsidRPr="008A68E8" w:rsidRDefault="00BC5D69" w:rsidP="00C01C7A">
            <w:pPr>
              <w:jc w:val="center"/>
              <w:cnfStyle w:val="100000000000" w:firstRow="1" w:lastRow="0" w:firstColumn="0" w:lastColumn="0" w:oddVBand="0" w:evenVBand="0" w:oddHBand="0" w:evenHBand="0" w:firstRowFirstColumn="0" w:firstRowLastColumn="0" w:lastRowFirstColumn="0" w:lastRowLastColumn="0"/>
              <w:rPr>
                <w:sz w:val="22"/>
              </w:rPr>
            </w:pPr>
            <w:r w:rsidRPr="008A68E8">
              <w:rPr>
                <w:sz w:val="22"/>
              </w:rPr>
              <w:t>Notes</w:t>
            </w:r>
          </w:p>
        </w:tc>
      </w:tr>
      <w:tr w:rsidR="00BC5D69" w:rsidRPr="008A68E8" w14:paraId="3622070E" w14:textId="77777777" w:rsidTr="00C01C7A">
        <w:tc>
          <w:tcPr>
            <w:cnfStyle w:val="001000000000" w:firstRow="0" w:lastRow="0" w:firstColumn="1" w:lastColumn="0" w:oddVBand="0" w:evenVBand="0" w:oddHBand="0" w:evenHBand="0" w:firstRowFirstColumn="0" w:firstRowLastColumn="0" w:lastRowFirstColumn="0" w:lastRowLastColumn="0"/>
            <w:tcW w:w="1399" w:type="dxa"/>
            <w:tcBorders>
              <w:bottom w:val="single" w:sz="4" w:space="0" w:color="A5A5A5" w:themeColor="accent3"/>
            </w:tcBorders>
          </w:tcPr>
          <w:p w14:paraId="14620C35" w14:textId="77777777" w:rsidR="00BC5D69" w:rsidRPr="008A68E8" w:rsidRDefault="00BC5D69" w:rsidP="00C01C7A">
            <w:pPr>
              <w:spacing w:line="276" w:lineRule="auto"/>
              <w:jc w:val="left"/>
              <w:rPr>
                <w:b w:val="0"/>
                <w:bCs w:val="0"/>
                <w:sz w:val="22"/>
              </w:rPr>
            </w:pPr>
            <w:r w:rsidRPr="008A68E8">
              <w:rPr>
                <w:b w:val="0"/>
                <w:bCs w:val="0"/>
                <w:sz w:val="22"/>
              </w:rPr>
              <w:t>Transcription</w:t>
            </w:r>
          </w:p>
        </w:tc>
        <w:tc>
          <w:tcPr>
            <w:tcW w:w="3456" w:type="dxa"/>
            <w:tcBorders>
              <w:bottom w:val="single" w:sz="4" w:space="0" w:color="A5A5A5" w:themeColor="accent3"/>
            </w:tcBorders>
          </w:tcPr>
          <w:p w14:paraId="107B1929"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Transcribing the data to an appropriate level of detail and checking the transcripts against the tapes for accuracy.</w:t>
            </w:r>
          </w:p>
        </w:tc>
        <w:tc>
          <w:tcPr>
            <w:tcW w:w="7614" w:type="dxa"/>
            <w:tcBorders>
              <w:bottom w:val="single" w:sz="4" w:space="0" w:color="A5A5A5" w:themeColor="accent3"/>
            </w:tcBorders>
          </w:tcPr>
          <w:p w14:paraId="5D80ED72" w14:textId="0447CAD6" w:rsidR="00BC5D69" w:rsidRPr="008A68E8" w:rsidRDefault="00BC5D69" w:rsidP="00BC5D69">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This was not applicable as </w:t>
            </w:r>
            <w:r w:rsidR="00F118F8">
              <w:t>the secondary analyst (BR)</w:t>
            </w:r>
            <w:r w:rsidRPr="008A68E8">
              <w:t xml:space="preserve"> did not transcribe the interviews nor did </w:t>
            </w:r>
            <w:r w:rsidR="00F118F8">
              <w:t>he</w:t>
            </w:r>
            <w:r w:rsidRPr="008A68E8">
              <w:t xml:space="preserve"> </w:t>
            </w:r>
            <w:r w:rsidR="00F118F8" w:rsidRPr="008A68E8">
              <w:t>h</w:t>
            </w:r>
            <w:r w:rsidR="00F118F8">
              <w:t>ave</w:t>
            </w:r>
            <w:r w:rsidRPr="008A68E8">
              <w:t xml:space="preserve"> access to tapes. However, all interviews were transcribed verbatim by a transcription company and checked by experienced, well-trained researchers.</w:t>
            </w:r>
          </w:p>
        </w:tc>
      </w:tr>
      <w:tr w:rsidR="00BC5D69" w:rsidRPr="008A68E8" w14:paraId="7FBD66A8"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5275795B" w14:textId="77777777" w:rsidR="00BC5D69" w:rsidRPr="008A68E8" w:rsidRDefault="00BC5D69" w:rsidP="00C01C7A">
            <w:pPr>
              <w:pStyle w:val="ListParagraph"/>
              <w:spacing w:line="276" w:lineRule="auto"/>
              <w:ind w:left="360"/>
              <w:rPr>
                <w:sz w:val="10"/>
                <w:szCs w:val="10"/>
              </w:rPr>
            </w:pPr>
          </w:p>
        </w:tc>
      </w:tr>
      <w:tr w:rsidR="00BC5D69" w:rsidRPr="008A68E8" w14:paraId="0053A420" w14:textId="77777777" w:rsidTr="00C01C7A">
        <w:trPr>
          <w:trHeight w:val="960"/>
        </w:trPr>
        <w:tc>
          <w:tcPr>
            <w:cnfStyle w:val="001000000000" w:firstRow="0" w:lastRow="0" w:firstColumn="1" w:lastColumn="0" w:oddVBand="0" w:evenVBand="0" w:oddHBand="0" w:evenHBand="0" w:firstRowFirstColumn="0" w:firstRowLastColumn="0" w:lastRowFirstColumn="0" w:lastRowLastColumn="0"/>
            <w:tcW w:w="1399" w:type="dxa"/>
            <w:vMerge w:val="restart"/>
            <w:tcBorders>
              <w:top w:val="single" w:sz="4" w:space="0" w:color="A5A5A5" w:themeColor="accent3"/>
            </w:tcBorders>
          </w:tcPr>
          <w:p w14:paraId="201829A1" w14:textId="77777777" w:rsidR="00BC5D69" w:rsidRPr="008A68E8" w:rsidRDefault="00BC5D69" w:rsidP="00C01C7A">
            <w:pPr>
              <w:spacing w:line="276" w:lineRule="auto"/>
              <w:jc w:val="left"/>
              <w:rPr>
                <w:b w:val="0"/>
                <w:bCs w:val="0"/>
                <w:sz w:val="22"/>
              </w:rPr>
            </w:pPr>
            <w:r w:rsidRPr="008A68E8">
              <w:rPr>
                <w:b w:val="0"/>
                <w:bCs w:val="0"/>
                <w:sz w:val="22"/>
              </w:rPr>
              <w:t>Coding</w:t>
            </w:r>
          </w:p>
        </w:tc>
        <w:tc>
          <w:tcPr>
            <w:tcW w:w="3456" w:type="dxa"/>
            <w:tcBorders>
              <w:top w:val="single" w:sz="4" w:space="0" w:color="A5A5A5" w:themeColor="accent3"/>
            </w:tcBorders>
          </w:tcPr>
          <w:p w14:paraId="5A01BCDC"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Giving equal attention to each data item in coding.</w:t>
            </w:r>
          </w:p>
        </w:tc>
        <w:tc>
          <w:tcPr>
            <w:tcW w:w="7614" w:type="dxa"/>
            <w:tcBorders>
              <w:top w:val="single" w:sz="4" w:space="0" w:color="A5A5A5" w:themeColor="accent3"/>
            </w:tcBorders>
          </w:tcPr>
          <w:p w14:paraId="0FB726AE" w14:textId="456B348D"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coded all the interviews systematically. The professional caregiver group interviews were coded under codes created from the patient and family interviews to compare their opinions. However, where data in the group interviews could not be associated with existing codes, new codes were created.</w:t>
            </w:r>
          </w:p>
        </w:tc>
      </w:tr>
      <w:tr w:rsidR="00BC5D69" w:rsidRPr="008A68E8" w14:paraId="202A542F" w14:textId="77777777" w:rsidTr="00C01C7A">
        <w:trPr>
          <w:trHeight w:val="557"/>
        </w:trPr>
        <w:tc>
          <w:tcPr>
            <w:cnfStyle w:val="001000000000" w:firstRow="0" w:lastRow="0" w:firstColumn="1" w:lastColumn="0" w:oddVBand="0" w:evenVBand="0" w:oddHBand="0" w:evenHBand="0" w:firstRowFirstColumn="0" w:firstRowLastColumn="0" w:lastRowFirstColumn="0" w:lastRowLastColumn="0"/>
            <w:tcW w:w="1399" w:type="dxa"/>
            <w:vMerge/>
          </w:tcPr>
          <w:p w14:paraId="23CC1AF8"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6833708A"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Thorough, inclusive, and comprehensive coding (themes not generated from a few vivid examples).</w:t>
            </w:r>
          </w:p>
        </w:tc>
        <w:tc>
          <w:tcPr>
            <w:tcW w:w="7614" w:type="dxa"/>
            <w:tcBorders>
              <w:top w:val="single" w:sz="4" w:space="0" w:color="A5A5A5" w:themeColor="accent3"/>
            </w:tcBorders>
          </w:tcPr>
          <w:p w14:paraId="18713B32" w14:textId="718F52FD"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combined coding small chunks of data to open up the data and not miss important meanings and nuances in the text (mainly for the first few interviews) with coding longer segments of data to investigate broad and overarching discussion areas and not lose the context. </w:t>
            </w:r>
          </w:p>
          <w:p w14:paraId="4AF8B791" w14:textId="070FB035"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checked the data under each code to explore both exemplars and outliers that oppose the theme’s general perspective. </w:t>
            </w:r>
          </w:p>
          <w:p w14:paraId="42A71DAD" w14:textId="14BDB41D"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created a tally mark chart for each theme to ensure that data extracts from different participants were provided to support the themes’ prevalence in the data.</w:t>
            </w:r>
          </w:p>
        </w:tc>
      </w:tr>
      <w:tr w:rsidR="00BC5D69" w:rsidRPr="008A68E8" w14:paraId="44A1A786" w14:textId="77777777" w:rsidTr="00C01C7A">
        <w:trPr>
          <w:trHeight w:val="586"/>
        </w:trPr>
        <w:tc>
          <w:tcPr>
            <w:cnfStyle w:val="001000000000" w:firstRow="0" w:lastRow="0" w:firstColumn="1" w:lastColumn="0" w:oddVBand="0" w:evenVBand="0" w:oddHBand="0" w:evenHBand="0" w:firstRowFirstColumn="0" w:firstRowLastColumn="0" w:lastRowFirstColumn="0" w:lastRowLastColumn="0"/>
            <w:tcW w:w="1399" w:type="dxa"/>
            <w:vMerge/>
          </w:tcPr>
          <w:p w14:paraId="12EC5CDA"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10B2DF81"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Collating all relevant extracts for each theme.</w:t>
            </w:r>
          </w:p>
        </w:tc>
        <w:tc>
          <w:tcPr>
            <w:tcW w:w="7614" w:type="dxa"/>
            <w:tcBorders>
              <w:top w:val="single" w:sz="4" w:space="0" w:color="A5A5A5" w:themeColor="accent3"/>
            </w:tcBorders>
          </w:tcPr>
          <w:p w14:paraId="39351634" w14:textId="6C42D21C"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used computer software to facilitate managing data and collating coded extracts for each theme.</w:t>
            </w:r>
          </w:p>
        </w:tc>
      </w:tr>
      <w:tr w:rsidR="00BC5D69" w:rsidRPr="008A68E8" w14:paraId="15D93DFC" w14:textId="77777777" w:rsidTr="00C01C7A">
        <w:trPr>
          <w:trHeight w:val="652"/>
        </w:trPr>
        <w:tc>
          <w:tcPr>
            <w:cnfStyle w:val="001000000000" w:firstRow="0" w:lastRow="0" w:firstColumn="1" w:lastColumn="0" w:oddVBand="0" w:evenVBand="0" w:oddHBand="0" w:evenHBand="0" w:firstRowFirstColumn="0" w:firstRowLastColumn="0" w:lastRowFirstColumn="0" w:lastRowLastColumn="0"/>
            <w:tcW w:w="1399" w:type="dxa"/>
            <w:vMerge/>
          </w:tcPr>
          <w:p w14:paraId="08A4A955"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3000D9B4"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Checking the themes against each other and the original dataset.</w:t>
            </w:r>
          </w:p>
        </w:tc>
        <w:tc>
          <w:tcPr>
            <w:tcW w:w="7614" w:type="dxa"/>
            <w:tcBorders>
              <w:top w:val="single" w:sz="4" w:space="0" w:color="A5A5A5" w:themeColor="accent3"/>
            </w:tcBorders>
          </w:tcPr>
          <w:p w14:paraId="2BAC8E3B" w14:textId="1446F292"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compared the themes with the coded extracts and interview transcripts to confirm their presence in the data. </w:t>
            </w:r>
          </w:p>
        </w:tc>
      </w:tr>
      <w:tr w:rsidR="00BC5D69" w:rsidRPr="008A68E8" w14:paraId="483C5717" w14:textId="77777777" w:rsidTr="00C01C7A">
        <w:trPr>
          <w:trHeight w:val="562"/>
        </w:trPr>
        <w:tc>
          <w:tcPr>
            <w:cnfStyle w:val="001000000000" w:firstRow="0" w:lastRow="0" w:firstColumn="1" w:lastColumn="0" w:oddVBand="0" w:evenVBand="0" w:oddHBand="0" w:evenHBand="0" w:firstRowFirstColumn="0" w:firstRowLastColumn="0" w:lastRowFirstColumn="0" w:lastRowLastColumn="0"/>
            <w:tcW w:w="1399" w:type="dxa"/>
            <w:vMerge/>
          </w:tcPr>
          <w:p w14:paraId="4A2BAA23"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082AE665"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Internally coherent, consistent, and distinctive themes.</w:t>
            </w:r>
          </w:p>
        </w:tc>
        <w:tc>
          <w:tcPr>
            <w:tcW w:w="7614" w:type="dxa"/>
            <w:tcBorders>
              <w:top w:val="single" w:sz="4" w:space="0" w:color="A5A5A5" w:themeColor="accent3"/>
            </w:tcBorders>
          </w:tcPr>
          <w:p w14:paraId="70D576D2" w14:textId="3EC3BCE5"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compared the themes against each other to evaluate if each has a distinctive central organising concept (core idea) and little overlap.</w:t>
            </w:r>
          </w:p>
        </w:tc>
      </w:tr>
      <w:tr w:rsidR="00BC5D69" w:rsidRPr="008A68E8" w14:paraId="0947AACE"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4DE5F07C" w14:textId="77777777" w:rsidR="00BC5D69" w:rsidRPr="008A68E8" w:rsidRDefault="00BC5D69" w:rsidP="00C01C7A">
            <w:pPr>
              <w:pStyle w:val="ListParagraph"/>
              <w:spacing w:line="276" w:lineRule="auto"/>
              <w:ind w:left="360"/>
              <w:rPr>
                <w:sz w:val="10"/>
                <w:szCs w:val="10"/>
              </w:rPr>
            </w:pPr>
          </w:p>
        </w:tc>
      </w:tr>
      <w:tr w:rsidR="00BC5D69" w:rsidRPr="008A68E8" w14:paraId="38801EC5" w14:textId="77777777" w:rsidTr="00C01C7A">
        <w:trPr>
          <w:trHeight w:val="50"/>
        </w:trPr>
        <w:tc>
          <w:tcPr>
            <w:cnfStyle w:val="001000000000" w:firstRow="0" w:lastRow="0" w:firstColumn="1" w:lastColumn="0" w:oddVBand="0" w:evenVBand="0" w:oddHBand="0" w:evenHBand="0" w:firstRowFirstColumn="0" w:firstRowLastColumn="0" w:lastRowFirstColumn="0" w:lastRowLastColumn="0"/>
            <w:tcW w:w="1399" w:type="dxa"/>
            <w:vMerge w:val="restart"/>
            <w:tcBorders>
              <w:top w:val="single" w:sz="4" w:space="0" w:color="A5A5A5" w:themeColor="accent3"/>
            </w:tcBorders>
          </w:tcPr>
          <w:p w14:paraId="1D704794" w14:textId="77777777" w:rsidR="00BC5D69" w:rsidRPr="008A68E8" w:rsidRDefault="00BC5D69" w:rsidP="00C01C7A">
            <w:pPr>
              <w:spacing w:line="276" w:lineRule="auto"/>
              <w:jc w:val="left"/>
              <w:rPr>
                <w:b w:val="0"/>
                <w:bCs w:val="0"/>
                <w:sz w:val="22"/>
              </w:rPr>
            </w:pPr>
            <w:r w:rsidRPr="008A68E8">
              <w:rPr>
                <w:b w:val="0"/>
                <w:bCs w:val="0"/>
                <w:sz w:val="22"/>
              </w:rPr>
              <w:lastRenderedPageBreak/>
              <w:t>Analysis</w:t>
            </w:r>
          </w:p>
        </w:tc>
        <w:tc>
          <w:tcPr>
            <w:tcW w:w="3456" w:type="dxa"/>
            <w:tcBorders>
              <w:top w:val="single" w:sz="4" w:space="0" w:color="A5A5A5" w:themeColor="accent3"/>
            </w:tcBorders>
          </w:tcPr>
          <w:p w14:paraId="7776A8B7"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Analysing rather than just paraphrasing or describing the data.</w:t>
            </w:r>
          </w:p>
        </w:tc>
        <w:tc>
          <w:tcPr>
            <w:tcW w:w="7614" w:type="dxa"/>
            <w:tcBorders>
              <w:top w:val="single" w:sz="4" w:space="0" w:color="A5A5A5" w:themeColor="accent3"/>
            </w:tcBorders>
          </w:tcPr>
          <w:p w14:paraId="1E337E47" w14:textId="587F222D"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combined semantic and latent approaches to generate the themes. In both cases, the analysis went beyond the data content to explore meanings. </w:t>
            </w:r>
          </w:p>
        </w:tc>
      </w:tr>
      <w:tr w:rsidR="00BC5D69" w:rsidRPr="008A68E8" w14:paraId="1463CA6A" w14:textId="77777777" w:rsidTr="00C01C7A">
        <w:trPr>
          <w:trHeight w:val="592"/>
        </w:trPr>
        <w:tc>
          <w:tcPr>
            <w:cnfStyle w:val="001000000000" w:firstRow="0" w:lastRow="0" w:firstColumn="1" w:lastColumn="0" w:oddVBand="0" w:evenVBand="0" w:oddHBand="0" w:evenHBand="0" w:firstRowFirstColumn="0" w:firstRowLastColumn="0" w:lastRowFirstColumn="0" w:lastRowLastColumn="0"/>
            <w:tcW w:w="1399" w:type="dxa"/>
            <w:vMerge/>
          </w:tcPr>
          <w:p w14:paraId="26292F27"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1502BEDE"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Matching between data extracts and analytic claims.</w:t>
            </w:r>
          </w:p>
        </w:tc>
        <w:tc>
          <w:tcPr>
            <w:tcW w:w="7614" w:type="dxa"/>
            <w:tcBorders>
              <w:top w:val="single" w:sz="4" w:space="0" w:color="A5A5A5" w:themeColor="accent3"/>
            </w:tcBorders>
          </w:tcPr>
          <w:p w14:paraId="2560FA01" w14:textId="72C3D68D"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chose data extracts that best illustrate the themes.</w:t>
            </w:r>
          </w:p>
        </w:tc>
      </w:tr>
      <w:tr w:rsidR="00BC5D69" w:rsidRPr="008A68E8" w14:paraId="35F090E0" w14:textId="77777777" w:rsidTr="00C01C7A">
        <w:trPr>
          <w:trHeight w:val="517"/>
        </w:trPr>
        <w:tc>
          <w:tcPr>
            <w:cnfStyle w:val="001000000000" w:firstRow="0" w:lastRow="0" w:firstColumn="1" w:lastColumn="0" w:oddVBand="0" w:evenVBand="0" w:oddHBand="0" w:evenHBand="0" w:firstRowFirstColumn="0" w:firstRowLastColumn="0" w:lastRowFirstColumn="0" w:lastRowLastColumn="0"/>
            <w:tcW w:w="1399" w:type="dxa"/>
            <w:vMerge/>
          </w:tcPr>
          <w:p w14:paraId="5358F403"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1695F713"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Telling a well-organised story about the data and topic.</w:t>
            </w:r>
          </w:p>
        </w:tc>
        <w:tc>
          <w:tcPr>
            <w:tcW w:w="7614" w:type="dxa"/>
            <w:tcBorders>
              <w:top w:val="single" w:sz="4" w:space="0" w:color="A5A5A5" w:themeColor="accent3"/>
            </w:tcBorders>
          </w:tcPr>
          <w:p w14:paraId="12346188" w14:textId="77777777" w:rsidR="00BC5D69" w:rsidRPr="008A68E8" w:rsidRDefault="00BC5D69"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Data extracts were embedded within an analytic narrative to tell a coherent story. </w:t>
            </w:r>
          </w:p>
          <w:p w14:paraId="7E8E58C6" w14:textId="4E0A1F31"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created a thematic map that shows how themes relate to each other to tell a convincing story about the data and answer the research question.</w:t>
            </w:r>
          </w:p>
        </w:tc>
      </w:tr>
      <w:tr w:rsidR="00BC5D69" w:rsidRPr="008A68E8" w14:paraId="20346708" w14:textId="77777777" w:rsidTr="00C01C7A">
        <w:trPr>
          <w:trHeight w:val="313"/>
        </w:trPr>
        <w:tc>
          <w:tcPr>
            <w:cnfStyle w:val="001000000000" w:firstRow="0" w:lastRow="0" w:firstColumn="1" w:lastColumn="0" w:oddVBand="0" w:evenVBand="0" w:oddHBand="0" w:evenHBand="0" w:firstRowFirstColumn="0" w:firstRowLastColumn="0" w:lastRowFirstColumn="0" w:lastRowLastColumn="0"/>
            <w:tcW w:w="1399" w:type="dxa"/>
            <w:vMerge/>
          </w:tcPr>
          <w:p w14:paraId="68F2BF68"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43A5F769"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Good balance between data extracts and analytic narrative.</w:t>
            </w:r>
          </w:p>
        </w:tc>
        <w:tc>
          <w:tcPr>
            <w:tcW w:w="7614" w:type="dxa"/>
            <w:tcBorders>
              <w:top w:val="single" w:sz="4" w:space="0" w:color="A5A5A5" w:themeColor="accent3"/>
            </w:tcBorders>
          </w:tcPr>
          <w:p w14:paraId="51114FEF" w14:textId="4FC2B0FC"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supported each theme with a range of data extracts.</w:t>
            </w:r>
          </w:p>
        </w:tc>
      </w:tr>
      <w:tr w:rsidR="00BC5D69" w:rsidRPr="008A68E8" w14:paraId="54504DAF"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15616444" w14:textId="77777777" w:rsidR="00BC5D69" w:rsidRPr="008A68E8" w:rsidRDefault="00BC5D69" w:rsidP="00C01C7A">
            <w:pPr>
              <w:pStyle w:val="ListParagraph"/>
              <w:spacing w:line="276" w:lineRule="auto"/>
              <w:ind w:left="360"/>
              <w:rPr>
                <w:sz w:val="10"/>
                <w:szCs w:val="10"/>
              </w:rPr>
            </w:pPr>
          </w:p>
        </w:tc>
      </w:tr>
      <w:tr w:rsidR="00BC5D69" w:rsidRPr="008A68E8" w14:paraId="177E2128" w14:textId="77777777" w:rsidTr="00C01C7A">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A5A5A5" w:themeColor="accent3"/>
              <w:bottom w:val="single" w:sz="4" w:space="0" w:color="A5A5A5" w:themeColor="accent3"/>
            </w:tcBorders>
          </w:tcPr>
          <w:p w14:paraId="27C10945" w14:textId="77777777" w:rsidR="00BC5D69" w:rsidRPr="008A68E8" w:rsidRDefault="00BC5D69" w:rsidP="00C01C7A">
            <w:pPr>
              <w:spacing w:line="276" w:lineRule="auto"/>
              <w:jc w:val="left"/>
              <w:rPr>
                <w:b w:val="0"/>
                <w:bCs w:val="0"/>
                <w:sz w:val="22"/>
              </w:rPr>
            </w:pPr>
            <w:r w:rsidRPr="008A68E8">
              <w:rPr>
                <w:b w:val="0"/>
                <w:bCs w:val="0"/>
                <w:sz w:val="22"/>
              </w:rPr>
              <w:t>Overall</w:t>
            </w:r>
          </w:p>
        </w:tc>
        <w:tc>
          <w:tcPr>
            <w:tcW w:w="3456" w:type="dxa"/>
            <w:tcBorders>
              <w:top w:val="single" w:sz="4" w:space="0" w:color="A5A5A5" w:themeColor="accent3"/>
              <w:bottom w:val="single" w:sz="4" w:space="0" w:color="A5A5A5" w:themeColor="accent3"/>
            </w:tcBorders>
          </w:tcPr>
          <w:p w14:paraId="338D559D"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Allocating enough time to complete all analysis phases.</w:t>
            </w:r>
          </w:p>
        </w:tc>
        <w:tc>
          <w:tcPr>
            <w:tcW w:w="7614" w:type="dxa"/>
            <w:tcBorders>
              <w:top w:val="single" w:sz="4" w:space="0" w:color="A5A5A5" w:themeColor="accent3"/>
              <w:bottom w:val="single" w:sz="4" w:space="0" w:color="A5A5A5" w:themeColor="accent3"/>
            </w:tcBorders>
          </w:tcPr>
          <w:p w14:paraId="501A2EB1" w14:textId="1C3A0D10" w:rsidR="00BC5D69" w:rsidRPr="008A68E8" w:rsidRDefault="00BC5D69"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It took </w:t>
            </w:r>
            <w:r w:rsidR="00F118F8">
              <w:t>BR</w:t>
            </w:r>
            <w:r w:rsidRPr="008A68E8">
              <w:t xml:space="preserve"> about one year to complete the analysis which provided an in-depth understanding of the data.</w:t>
            </w:r>
          </w:p>
        </w:tc>
      </w:tr>
      <w:tr w:rsidR="00BC5D69" w:rsidRPr="008A68E8" w14:paraId="69775111"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5CCAC1BD" w14:textId="77777777" w:rsidR="00BC5D69" w:rsidRPr="008A68E8" w:rsidRDefault="00BC5D69" w:rsidP="00C01C7A">
            <w:pPr>
              <w:pStyle w:val="ListParagraph"/>
              <w:spacing w:line="276" w:lineRule="auto"/>
              <w:ind w:left="360"/>
              <w:rPr>
                <w:sz w:val="10"/>
                <w:szCs w:val="10"/>
              </w:rPr>
            </w:pPr>
          </w:p>
        </w:tc>
      </w:tr>
      <w:tr w:rsidR="00BC5D69" w:rsidRPr="008A68E8" w14:paraId="46BEC877"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val="restart"/>
            <w:tcBorders>
              <w:top w:val="single" w:sz="4" w:space="0" w:color="A5A5A5" w:themeColor="accent3"/>
            </w:tcBorders>
          </w:tcPr>
          <w:p w14:paraId="216DD81D" w14:textId="77777777" w:rsidR="00BC5D69" w:rsidRPr="008A68E8" w:rsidRDefault="00BC5D69" w:rsidP="00C01C7A">
            <w:pPr>
              <w:spacing w:line="276" w:lineRule="auto"/>
              <w:jc w:val="left"/>
              <w:rPr>
                <w:b w:val="0"/>
                <w:bCs w:val="0"/>
                <w:sz w:val="22"/>
              </w:rPr>
            </w:pPr>
            <w:r w:rsidRPr="008A68E8">
              <w:rPr>
                <w:b w:val="0"/>
                <w:bCs w:val="0"/>
                <w:sz w:val="22"/>
              </w:rPr>
              <w:t>Written Report</w:t>
            </w:r>
          </w:p>
        </w:tc>
        <w:tc>
          <w:tcPr>
            <w:tcW w:w="3456" w:type="dxa"/>
            <w:tcBorders>
              <w:top w:val="single" w:sz="4" w:space="0" w:color="A5A5A5" w:themeColor="accent3"/>
              <w:bottom w:val="single" w:sz="4" w:space="0" w:color="A5A5A5" w:themeColor="accent3"/>
            </w:tcBorders>
          </w:tcPr>
          <w:p w14:paraId="0E088956"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Explicating the assumptions about and approach to thematic analysis.</w:t>
            </w:r>
          </w:p>
        </w:tc>
        <w:tc>
          <w:tcPr>
            <w:tcW w:w="7614" w:type="dxa"/>
            <w:tcBorders>
              <w:top w:val="single" w:sz="4" w:space="0" w:color="A5A5A5" w:themeColor="accent3"/>
              <w:bottom w:val="single" w:sz="4" w:space="0" w:color="A5A5A5" w:themeColor="accent3"/>
            </w:tcBorders>
          </w:tcPr>
          <w:p w14:paraId="78894F94" w14:textId="27890ACD" w:rsidR="00BC5D69" w:rsidRPr="008A68E8" w:rsidRDefault="00F118F8"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discussed </w:t>
            </w:r>
            <w:r>
              <w:t>his</w:t>
            </w:r>
            <w:r w:rsidR="00BC5D69" w:rsidRPr="008A68E8">
              <w:t xml:space="preserve"> assumptions and illustrated the rationale of </w:t>
            </w:r>
            <w:r>
              <w:t>his</w:t>
            </w:r>
            <w:r w:rsidR="00BC5D69" w:rsidRPr="008A68E8">
              <w:t xml:space="preserve"> analysis approach (mainly inductive and semantic). </w:t>
            </w:r>
          </w:p>
        </w:tc>
      </w:tr>
      <w:tr w:rsidR="00BC5D69" w:rsidRPr="008A68E8" w14:paraId="123AA782"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tcPr>
          <w:p w14:paraId="201D660F"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22E10559"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Consistency between the described method and reported analysis.</w:t>
            </w:r>
          </w:p>
        </w:tc>
        <w:tc>
          <w:tcPr>
            <w:tcW w:w="7614" w:type="dxa"/>
            <w:tcBorders>
              <w:top w:val="single" w:sz="4" w:space="0" w:color="A5A5A5" w:themeColor="accent3"/>
            </w:tcBorders>
          </w:tcPr>
          <w:p w14:paraId="2D96EE24" w14:textId="04FB622B" w:rsidR="00BC5D69" w:rsidRPr="008A68E8" w:rsidRDefault="00F118F8"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checked the final report against the adopted method and epistemology to make sure that </w:t>
            </w:r>
            <w:r>
              <w:t>he</w:t>
            </w:r>
            <w:r w:rsidR="00BC5D69" w:rsidRPr="008A68E8">
              <w:t xml:space="preserve"> ha</w:t>
            </w:r>
            <w:r>
              <w:t>s</w:t>
            </w:r>
            <w:r w:rsidR="00BC5D69" w:rsidRPr="008A68E8">
              <w:t xml:space="preserve"> done what </w:t>
            </w:r>
            <w:r>
              <w:t>he</w:t>
            </w:r>
            <w:r w:rsidR="00BC5D69" w:rsidRPr="008A68E8">
              <w:t xml:space="preserve"> claimed to do.</w:t>
            </w:r>
          </w:p>
        </w:tc>
      </w:tr>
      <w:tr w:rsidR="00BC5D69" w:rsidRPr="008A68E8" w14:paraId="197BB852"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tcPr>
          <w:p w14:paraId="6F38E431"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74970DF4"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Consistency between the report language and concepts and the analysis epistemological position.</w:t>
            </w:r>
          </w:p>
        </w:tc>
        <w:tc>
          <w:tcPr>
            <w:tcW w:w="7614" w:type="dxa"/>
            <w:tcBorders>
              <w:top w:val="single" w:sz="4" w:space="0" w:color="A5A5A5" w:themeColor="accent3"/>
            </w:tcBorders>
          </w:tcPr>
          <w:p w14:paraId="61FF480B" w14:textId="0E3FE3F7" w:rsidR="00BC5D69" w:rsidRPr="008A68E8" w:rsidRDefault="00F118F8"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explained how reflexive thematic analysis is concordant with </w:t>
            </w:r>
            <w:r>
              <w:t>his</w:t>
            </w:r>
            <w:r w:rsidR="00BC5D69" w:rsidRPr="008A68E8">
              <w:t xml:space="preserve"> philosophical and theoretical assumptions (pragmatism and Normalisation Process Theory), which were reflected in the report language.</w:t>
            </w:r>
          </w:p>
        </w:tc>
      </w:tr>
      <w:tr w:rsidR="00BC5D69" w:rsidRPr="008A68E8" w14:paraId="56C88396"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tcPr>
          <w:p w14:paraId="3A5AF1F7"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4E0151D8"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Positioning the researcher as active in the research process.</w:t>
            </w:r>
          </w:p>
        </w:tc>
        <w:tc>
          <w:tcPr>
            <w:tcW w:w="7614" w:type="dxa"/>
            <w:tcBorders>
              <w:top w:val="single" w:sz="4" w:space="0" w:color="A5A5A5" w:themeColor="accent3"/>
            </w:tcBorders>
          </w:tcPr>
          <w:p w14:paraId="23AD9F64" w14:textId="3D579DCB" w:rsidR="00BC5D69" w:rsidRPr="008A68E8" w:rsidRDefault="00BC5D69"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Throughout the analysis process, </w:t>
            </w:r>
            <w:r w:rsidR="00F118F8">
              <w:t>BR</w:t>
            </w:r>
            <w:r w:rsidRPr="008A68E8">
              <w:t xml:space="preserve"> reflected on how </w:t>
            </w:r>
            <w:r w:rsidR="00F118F8">
              <w:t>his</w:t>
            </w:r>
            <w:r w:rsidRPr="008A68E8">
              <w:t xml:space="preserve"> assumptions, past experiences, and possible biases shaped </w:t>
            </w:r>
            <w:r w:rsidR="00F118F8">
              <w:t>his</w:t>
            </w:r>
            <w:r w:rsidRPr="008A68E8">
              <w:t xml:space="preserve"> interpretation of the results. Consequently, themes were developed, rather than emerged, from the data.</w:t>
            </w:r>
          </w:p>
        </w:tc>
      </w:tr>
    </w:tbl>
    <w:p w14:paraId="20998A11" w14:textId="1774E277" w:rsidR="004801C0" w:rsidRDefault="00BC5D69" w:rsidP="00BC5D69">
      <w:r w:rsidRPr="008A68E8">
        <w:t xml:space="preserve">   </w:t>
      </w:r>
    </w:p>
    <w:sectPr w:rsidR="004801C0" w:rsidSect="00BC5D6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7466"/>
    <w:multiLevelType w:val="hybridMultilevel"/>
    <w:tmpl w:val="E0A23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EE7DB0"/>
    <w:multiLevelType w:val="hybridMultilevel"/>
    <w:tmpl w:val="5B203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77E0953"/>
    <w:multiLevelType w:val="hybridMultilevel"/>
    <w:tmpl w:val="E48A2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58B341E"/>
    <w:multiLevelType w:val="hybridMultilevel"/>
    <w:tmpl w:val="3A006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0802214">
    <w:abstractNumId w:val="1"/>
  </w:num>
  <w:num w:numId="2" w16cid:durableId="414908891">
    <w:abstractNumId w:val="2"/>
  </w:num>
  <w:num w:numId="3" w16cid:durableId="1720396908">
    <w:abstractNumId w:val="0"/>
  </w:num>
  <w:num w:numId="4" w16cid:durableId="1617757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69"/>
    <w:rsid w:val="004801C0"/>
    <w:rsid w:val="00880F50"/>
    <w:rsid w:val="00BC5D69"/>
    <w:rsid w:val="00D60550"/>
    <w:rsid w:val="00F118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23E2"/>
  <w15:chartTrackingRefBased/>
  <w15:docId w15:val="{5C3E40B4-F3D0-4E90-B46B-EE725F11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D69"/>
    <w:pPr>
      <w:spacing w:line="360" w:lineRule="auto"/>
      <w:jc w:val="both"/>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BC5D69"/>
    <w:pPr>
      <w:spacing w:after="200" w:line="240" w:lineRule="auto"/>
      <w:jc w:val="left"/>
    </w:pPr>
    <w:rPr>
      <w:iCs/>
      <w:sz w:val="22"/>
    </w:rPr>
  </w:style>
  <w:style w:type="paragraph" w:styleId="ListParagraph">
    <w:name w:val="List Paragraph"/>
    <w:basedOn w:val="Normal"/>
    <w:uiPriority w:val="34"/>
    <w:qFormat/>
    <w:rsid w:val="00BC5D69"/>
    <w:pPr>
      <w:spacing w:line="259" w:lineRule="auto"/>
      <w:ind w:left="720"/>
      <w:contextualSpacing/>
      <w:jc w:val="left"/>
    </w:pPr>
    <w:rPr>
      <w:sz w:val="22"/>
    </w:rPr>
  </w:style>
  <w:style w:type="table" w:styleId="GridTable1Light">
    <w:name w:val="Grid Table 1 Light"/>
    <w:basedOn w:val="TableNormal"/>
    <w:uiPriority w:val="46"/>
    <w:rsid w:val="00BC5D69"/>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572</Words>
  <Characters>3366</Characters>
  <Application>Microsoft Office Word</Application>
  <DocSecurity>0</DocSecurity>
  <Lines>73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Remawi, Bader (Postgraduate Researcher)</dc:creator>
  <cp:keywords/>
  <dc:description/>
  <cp:lastModifiedBy>Remawi, Bader (Postgraduate Researcher)</cp:lastModifiedBy>
  <cp:revision>3</cp:revision>
  <dcterms:created xsi:type="dcterms:W3CDTF">2022-10-16T10:16:00Z</dcterms:created>
  <dcterms:modified xsi:type="dcterms:W3CDTF">2022-10-16T10:28:00Z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c6e45ac9-2298-4881-b3f9-653aee9db239</vt:lpwstr>
  </property>
</Properties>
</file>