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6E779" w14:textId="77777777" w:rsidR="005A245D" w:rsidRPr="00914AB8" w:rsidRDefault="005A245D" w:rsidP="005A245D">
      <w:pPr>
        <w:rPr>
          <w:rFonts w:ascii="Helvetica" w:eastAsia="Times New Roman" w:hAnsi="Helvetica" w:cs="Helvetica"/>
          <w:b/>
          <w:sz w:val="16"/>
          <w:szCs w:val="16"/>
        </w:rPr>
      </w:pPr>
      <w:bookmarkStart w:id="0" w:name="_Hlk122532350"/>
    </w:p>
    <w:tbl>
      <w:tblPr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2"/>
        <w:gridCol w:w="7517"/>
      </w:tblGrid>
      <w:tr w:rsidR="005A245D" w:rsidRPr="00914AB8" w14:paraId="1A5A7034" w14:textId="77777777" w:rsidTr="005A245D">
        <w:trPr>
          <w:trHeight w:val="136"/>
        </w:trPr>
        <w:tc>
          <w:tcPr>
            <w:tcW w:w="21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AE1DA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b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b/>
                <w:sz w:val="16"/>
                <w:szCs w:val="16"/>
              </w:rPr>
              <w:t xml:space="preserve">Identity </w:t>
            </w:r>
          </w:p>
        </w:tc>
        <w:tc>
          <w:tcPr>
            <w:tcW w:w="75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73A51" w14:textId="77777777" w:rsidR="005A245D" w:rsidRPr="00914AB8" w:rsidRDefault="005A245D" w:rsidP="004637AC">
            <w:pPr>
              <w:rPr>
                <w:rFonts w:ascii="Helvetica" w:eastAsia="Times New Roman" w:hAnsi="Helvetica" w:cs="Helvetica"/>
                <w:b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b/>
                <w:sz w:val="16"/>
                <w:szCs w:val="16"/>
              </w:rPr>
              <w:t>The signifying qualities of ecological phenomena and how these are enmeshed in processes of identity formation.</w:t>
            </w:r>
          </w:p>
          <w:p w14:paraId="63C51243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</w:p>
        </w:tc>
      </w:tr>
      <w:tr w:rsidR="005A245D" w:rsidRPr="00914AB8" w14:paraId="50FBC7F9" w14:textId="77777777" w:rsidTr="005A245D">
        <w:trPr>
          <w:trHeight w:val="136"/>
        </w:trPr>
        <w:tc>
          <w:tcPr>
            <w:tcW w:w="2122" w:type="dxa"/>
            <w:tcBorders>
              <w:lef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48E5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Rootedness</w:t>
            </w:r>
          </w:p>
        </w:tc>
        <w:tc>
          <w:tcPr>
            <w:tcW w:w="7517" w:type="dxa"/>
            <w:tcBorders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C300B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A connection to an ancestral home; feeling grounded, and established in a location through family and historical ties</w:t>
            </w:r>
          </w:p>
        </w:tc>
      </w:tr>
      <w:tr w:rsidR="005A245D" w:rsidRPr="00914AB8" w14:paraId="19436EE9" w14:textId="77777777" w:rsidTr="005A245D">
        <w:trPr>
          <w:cantSplit/>
          <w:trHeight w:val="136"/>
        </w:trPr>
        <w:tc>
          <w:tcPr>
            <w:tcW w:w="2122" w:type="dxa"/>
            <w:tcBorders>
              <w:lef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37B37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Sense of Space</w:t>
            </w:r>
          </w:p>
        </w:tc>
        <w:tc>
          <w:tcPr>
            <w:tcW w:w="7517" w:type="dxa"/>
            <w:tcBorders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ACC10" w14:textId="77777777" w:rsidR="005A245D" w:rsidRPr="00914AB8" w:rsidRDefault="005A245D" w:rsidP="004637AC">
            <w:pPr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 xml:space="preserve">Feeling as though a location has a deeper symbolic meaning; feeling bonded to an environment through appreciation for aesthetic traits </w:t>
            </w:r>
          </w:p>
        </w:tc>
      </w:tr>
      <w:tr w:rsidR="005A245D" w:rsidRPr="00914AB8" w14:paraId="225A01FA" w14:textId="77777777" w:rsidTr="005A245D">
        <w:trPr>
          <w:cantSplit/>
          <w:trHeight w:val="564"/>
        </w:trPr>
        <w:tc>
          <w:tcPr>
            <w:tcW w:w="2122" w:type="dxa"/>
            <w:tcBorders>
              <w:lef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A61A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Belonging</w:t>
            </w:r>
          </w:p>
        </w:tc>
        <w:tc>
          <w:tcPr>
            <w:tcW w:w="7517" w:type="dxa"/>
            <w:tcBorders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B1BE5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Feeling that you're a part of a community that is bigger than your individual self, to be rightly placed and welcomed</w:t>
            </w:r>
          </w:p>
        </w:tc>
      </w:tr>
      <w:tr w:rsidR="005A245D" w:rsidRPr="00914AB8" w14:paraId="1F769354" w14:textId="77777777" w:rsidTr="005A245D">
        <w:trPr>
          <w:cantSplit/>
          <w:trHeight w:val="136"/>
        </w:trPr>
        <w:tc>
          <w:tcPr>
            <w:tcW w:w="21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A88DE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Spirituality</w:t>
            </w:r>
          </w:p>
        </w:tc>
        <w:tc>
          <w:tcPr>
            <w:tcW w:w="75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9D91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The quality of believing in something greater than yourself</w:t>
            </w:r>
          </w:p>
        </w:tc>
      </w:tr>
      <w:tr w:rsidR="005A245D" w:rsidRPr="00914AB8" w14:paraId="56989947" w14:textId="77777777" w:rsidTr="005A245D">
        <w:trPr>
          <w:cantSplit/>
          <w:trHeight w:val="136"/>
        </w:trPr>
        <w:tc>
          <w:tcPr>
            <w:tcW w:w="21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B437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b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b/>
                <w:sz w:val="16"/>
                <w:szCs w:val="16"/>
              </w:rPr>
              <w:t>Experiences</w:t>
            </w:r>
          </w:p>
        </w:tc>
        <w:tc>
          <w:tcPr>
            <w:tcW w:w="75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46C63" w14:textId="77777777" w:rsidR="005A245D" w:rsidRPr="00914AB8" w:rsidRDefault="005A245D" w:rsidP="004637AC">
            <w:pPr>
              <w:rPr>
                <w:rFonts w:ascii="Helvetica" w:eastAsia="Times New Roman" w:hAnsi="Helvetica" w:cs="Helvetica"/>
                <w:b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b/>
                <w:sz w:val="16"/>
                <w:szCs w:val="16"/>
              </w:rPr>
              <w:t>The way ecological phenomena are encountered and understood through events. Experiences are benefits felt mentally or physically through contact with ecosystems.</w:t>
            </w:r>
          </w:p>
          <w:p w14:paraId="61CED39A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</w:p>
        </w:tc>
      </w:tr>
      <w:tr w:rsidR="005A245D" w:rsidRPr="00914AB8" w14:paraId="0EF2F7B2" w14:textId="77777777" w:rsidTr="005A245D">
        <w:trPr>
          <w:cantSplit/>
          <w:trHeight w:val="136"/>
        </w:trPr>
        <w:tc>
          <w:tcPr>
            <w:tcW w:w="2122" w:type="dxa"/>
            <w:tcBorders>
              <w:lef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D2CEF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Tranquility</w:t>
            </w:r>
          </w:p>
        </w:tc>
        <w:tc>
          <w:tcPr>
            <w:tcW w:w="7517" w:type="dxa"/>
            <w:tcBorders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9521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State of being tranquil, feelings of calmness, peacefulness, quiet, serenity</w:t>
            </w:r>
          </w:p>
        </w:tc>
      </w:tr>
      <w:tr w:rsidR="005A245D" w:rsidRPr="00914AB8" w14:paraId="6AE6E924" w14:textId="77777777" w:rsidTr="005A245D">
        <w:trPr>
          <w:cantSplit/>
          <w:trHeight w:val="136"/>
        </w:trPr>
        <w:tc>
          <w:tcPr>
            <w:tcW w:w="2122" w:type="dxa"/>
            <w:tcBorders>
              <w:lef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51FF0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Inspiration</w:t>
            </w:r>
          </w:p>
        </w:tc>
        <w:tc>
          <w:tcPr>
            <w:tcW w:w="7517" w:type="dxa"/>
            <w:tcBorders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6FD79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A force of influence that causes creativity, feeling desire to take action</w:t>
            </w:r>
          </w:p>
        </w:tc>
      </w:tr>
      <w:tr w:rsidR="005A245D" w:rsidRPr="00914AB8" w14:paraId="32DD3F59" w14:textId="77777777" w:rsidTr="005A245D">
        <w:trPr>
          <w:cantSplit/>
          <w:trHeight w:val="136"/>
        </w:trPr>
        <w:tc>
          <w:tcPr>
            <w:tcW w:w="2122" w:type="dxa"/>
            <w:tcBorders>
              <w:lef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F048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Escape</w:t>
            </w:r>
          </w:p>
        </w:tc>
        <w:tc>
          <w:tcPr>
            <w:tcW w:w="7517" w:type="dxa"/>
            <w:tcBorders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0CAB4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 xml:space="preserve">The act of leaving one situation in hopes of achieving tranquility, rest, freedom, or happiness; disconnecting from reality </w:t>
            </w:r>
          </w:p>
        </w:tc>
      </w:tr>
      <w:tr w:rsidR="005A245D" w:rsidRPr="00914AB8" w14:paraId="06F4A921" w14:textId="77777777" w:rsidTr="005A245D">
        <w:trPr>
          <w:cantSplit/>
          <w:trHeight w:val="136"/>
        </w:trPr>
        <w:tc>
          <w:tcPr>
            <w:tcW w:w="21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3F8A5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Discovery</w:t>
            </w:r>
          </w:p>
        </w:tc>
        <w:tc>
          <w:tcPr>
            <w:tcW w:w="75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BE71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An experience centered around exploration; finding and learning for the first time</w:t>
            </w:r>
          </w:p>
        </w:tc>
      </w:tr>
      <w:tr w:rsidR="005A245D" w:rsidRPr="00914AB8" w14:paraId="6F49D0BC" w14:textId="77777777" w:rsidTr="005A245D">
        <w:trPr>
          <w:cantSplit/>
          <w:trHeight w:val="527"/>
        </w:trPr>
        <w:tc>
          <w:tcPr>
            <w:tcW w:w="21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913AD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b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b/>
                <w:sz w:val="16"/>
                <w:szCs w:val="16"/>
              </w:rPr>
              <w:t xml:space="preserve">Capabilities </w:t>
            </w:r>
          </w:p>
        </w:tc>
        <w:tc>
          <w:tcPr>
            <w:tcW w:w="75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D8FF" w14:textId="77777777" w:rsidR="005A245D" w:rsidRPr="00914AB8" w:rsidRDefault="005A245D" w:rsidP="004637AC">
            <w:pPr>
              <w:rPr>
                <w:rFonts w:ascii="Helvetica" w:eastAsia="Times New Roman" w:hAnsi="Helvetica" w:cs="Helvetica"/>
                <w:b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b/>
                <w:sz w:val="16"/>
                <w:szCs w:val="16"/>
              </w:rPr>
              <w:t>The role that ecological phenomena play in shaping individual and social capacities to understand and do things.</w:t>
            </w:r>
          </w:p>
          <w:p w14:paraId="72457FEE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</w:p>
        </w:tc>
      </w:tr>
      <w:tr w:rsidR="005A245D" w:rsidRPr="00914AB8" w14:paraId="2DA4C82E" w14:textId="77777777" w:rsidTr="005A245D">
        <w:trPr>
          <w:cantSplit/>
          <w:trHeight w:val="136"/>
        </w:trPr>
        <w:tc>
          <w:tcPr>
            <w:tcW w:w="2122" w:type="dxa"/>
            <w:tcBorders>
              <w:lef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99F20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Knowledge</w:t>
            </w:r>
          </w:p>
        </w:tc>
        <w:tc>
          <w:tcPr>
            <w:tcW w:w="7517" w:type="dxa"/>
            <w:tcBorders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7EF2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Facts, information, and skills acquired through experience; awareness or familiarity gained through experience</w:t>
            </w:r>
          </w:p>
        </w:tc>
      </w:tr>
      <w:tr w:rsidR="005A245D" w:rsidRPr="00914AB8" w14:paraId="12B42BC1" w14:textId="77777777" w:rsidTr="005A245D">
        <w:trPr>
          <w:cantSplit/>
          <w:trHeight w:val="136"/>
        </w:trPr>
        <w:tc>
          <w:tcPr>
            <w:tcW w:w="2122" w:type="dxa"/>
            <w:tcBorders>
              <w:lef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6461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Health</w:t>
            </w:r>
          </w:p>
        </w:tc>
        <w:tc>
          <w:tcPr>
            <w:tcW w:w="7517" w:type="dxa"/>
            <w:tcBorders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A4A6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 xml:space="preserve">Physical wellbeing </w:t>
            </w:r>
          </w:p>
        </w:tc>
      </w:tr>
      <w:tr w:rsidR="005A245D" w:rsidRPr="00914AB8" w14:paraId="4B6ADD41" w14:textId="77777777" w:rsidTr="005A245D">
        <w:trPr>
          <w:cantSplit/>
          <w:trHeight w:val="136"/>
        </w:trPr>
        <w:tc>
          <w:tcPr>
            <w:tcW w:w="2122" w:type="dxa"/>
            <w:tcBorders>
              <w:lef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F4E7A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Dexterity</w:t>
            </w:r>
          </w:p>
        </w:tc>
        <w:tc>
          <w:tcPr>
            <w:tcW w:w="7517" w:type="dxa"/>
            <w:tcBorders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25D1C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Skill with hand and feet movement; athletic ability</w:t>
            </w:r>
          </w:p>
        </w:tc>
      </w:tr>
      <w:tr w:rsidR="005A245D" w:rsidRPr="00914AB8" w14:paraId="54379CDA" w14:textId="77777777" w:rsidTr="005A245D">
        <w:trPr>
          <w:cantSplit/>
          <w:trHeight w:val="136"/>
        </w:trPr>
        <w:tc>
          <w:tcPr>
            <w:tcW w:w="21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6D79C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Judgment</w:t>
            </w:r>
          </w:p>
        </w:tc>
        <w:tc>
          <w:tcPr>
            <w:tcW w:w="75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A6313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The ability to make responsible decisions formulated from past experiences</w:t>
            </w:r>
          </w:p>
        </w:tc>
      </w:tr>
      <w:tr w:rsidR="005A245D" w:rsidRPr="00914AB8" w14:paraId="10341983" w14:textId="77777777" w:rsidTr="005A245D">
        <w:trPr>
          <w:cantSplit/>
          <w:trHeight w:val="136"/>
        </w:trPr>
        <w:tc>
          <w:tcPr>
            <w:tcW w:w="21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945F0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b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b/>
                <w:sz w:val="16"/>
                <w:szCs w:val="16"/>
              </w:rPr>
              <w:t>Equity and Power</w:t>
            </w:r>
          </w:p>
        </w:tc>
        <w:tc>
          <w:tcPr>
            <w:tcW w:w="75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CF3DC" w14:textId="77777777" w:rsidR="005A245D" w:rsidRPr="00914AB8" w:rsidRDefault="005A245D" w:rsidP="004637AC">
            <w:pPr>
              <w:rPr>
                <w:rFonts w:ascii="Helvetica" w:eastAsia="Times New Roman" w:hAnsi="Helvetica" w:cs="Helvetica"/>
                <w:b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b/>
                <w:sz w:val="16"/>
                <w:szCs w:val="16"/>
              </w:rPr>
              <w:t>The co-evolution of authority and development that determines the power relations and inequity in an area.</w:t>
            </w:r>
          </w:p>
        </w:tc>
      </w:tr>
      <w:tr w:rsidR="005A245D" w:rsidRPr="00914AB8" w14:paraId="083E3171" w14:textId="77777777" w:rsidTr="005A245D">
        <w:trPr>
          <w:cantSplit/>
          <w:trHeight w:val="136"/>
        </w:trPr>
        <w:tc>
          <w:tcPr>
            <w:tcW w:w="2122" w:type="dxa"/>
            <w:tcBorders>
              <w:left w:val="single" w:sz="12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38138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Governance/Inclusivity</w:t>
            </w:r>
          </w:p>
        </w:tc>
        <w:tc>
          <w:tcPr>
            <w:tcW w:w="7517" w:type="dxa"/>
            <w:tcBorders>
              <w:right w:val="single" w:sz="12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117E3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 xml:space="preserve">How power relations underpin the governance and institutions that determine access to and control over ecosystem services, ability for all to have equal access to an asset </w:t>
            </w:r>
          </w:p>
        </w:tc>
      </w:tr>
      <w:tr w:rsidR="005A245D" w:rsidRPr="00914AB8" w14:paraId="252664D6" w14:textId="77777777" w:rsidTr="005A245D">
        <w:trPr>
          <w:cantSplit/>
          <w:trHeight w:val="136"/>
        </w:trPr>
        <w:tc>
          <w:tcPr>
            <w:tcW w:w="2122" w:type="dxa"/>
            <w:tcBorders>
              <w:left w:val="single" w:sz="12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B6496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Labor Relations</w:t>
            </w:r>
          </w:p>
        </w:tc>
        <w:tc>
          <w:tcPr>
            <w:tcW w:w="7517" w:type="dxa"/>
            <w:tcBorders>
              <w:right w:val="single" w:sz="12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B299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Relations between humans and nature that co-produces goods and services in a manner that impacts both human and environmental wellbeing</w:t>
            </w:r>
          </w:p>
        </w:tc>
      </w:tr>
      <w:tr w:rsidR="005A245D" w:rsidRPr="00914AB8" w14:paraId="7A7930A4" w14:textId="77777777" w:rsidTr="005A245D">
        <w:trPr>
          <w:cantSplit/>
          <w:trHeight w:val="136"/>
        </w:trPr>
        <w:tc>
          <w:tcPr>
            <w:tcW w:w="21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723A2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Historical Context</w:t>
            </w:r>
          </w:p>
        </w:tc>
        <w:tc>
          <w:tcPr>
            <w:tcW w:w="75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D90A" w14:textId="77777777" w:rsidR="005A245D" w:rsidRPr="00914AB8" w:rsidRDefault="005A245D" w:rsidP="004637AC">
            <w:pPr>
              <w:widowControl w:val="0"/>
              <w:spacing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914AB8">
              <w:rPr>
                <w:rFonts w:ascii="Helvetica" w:eastAsia="Times New Roman" w:hAnsi="Helvetica" w:cs="Helvetica"/>
                <w:sz w:val="16"/>
                <w:szCs w:val="16"/>
              </w:rPr>
              <w:t>The historical co-evolution of power relations and environmental change in shaping ecosystem services values</w:t>
            </w:r>
          </w:p>
        </w:tc>
      </w:tr>
    </w:tbl>
    <w:p w14:paraId="164C05E2" w14:textId="77777777" w:rsidR="005A245D" w:rsidRDefault="005A245D" w:rsidP="005A245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61199D7" w14:textId="68382C5F" w:rsidR="00E00A57" w:rsidRPr="00136F1A" w:rsidRDefault="005A245D">
      <w:pPr>
        <w:rPr>
          <w:rFonts w:ascii="Helvetica" w:eastAsia="Times New Roman" w:hAnsi="Helvetica" w:cs="Times New Roman"/>
          <w:sz w:val="20"/>
          <w:szCs w:val="20"/>
        </w:rPr>
      </w:pPr>
      <w:r w:rsidRPr="00EA7AEB">
        <w:rPr>
          <w:rFonts w:ascii="Helvetica" w:eastAsia="Times New Roman" w:hAnsi="Helvetica" w:cs="Times New Roman"/>
          <w:b/>
          <w:bCs/>
          <w:sz w:val="20"/>
          <w:szCs w:val="20"/>
        </w:rPr>
        <w:t xml:space="preserve">Table 1 </w:t>
      </w:r>
      <w:r w:rsidRPr="00EA7AEB">
        <w:rPr>
          <w:rFonts w:ascii="Helvetica" w:eastAsia="Times New Roman" w:hAnsi="Helvetica" w:cs="Times New Roman"/>
          <w:sz w:val="20"/>
          <w:szCs w:val="20"/>
        </w:rPr>
        <w:t>Operational definitions of each identified pillar and sub-pillar. Definitions extrapolated from Fish et al. 2016 (blue), and  Berbés-Blázquez et al. 2016 (orange)</w:t>
      </w:r>
      <w:bookmarkEnd w:id="0"/>
    </w:p>
    <w:sectPr w:rsidR="00E00A57" w:rsidRPr="00136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D"/>
    <w:rsid w:val="00136F1A"/>
    <w:rsid w:val="005A245D"/>
    <w:rsid w:val="00914AB8"/>
    <w:rsid w:val="00E0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B66A"/>
  <w15:chartTrackingRefBased/>
  <w15:docId w15:val="{9603B8C4-8F45-4473-96AA-1DBA722F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5D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Cinda Scott</dc:creator>
  <cp:keywords/>
  <dc:description/>
  <cp:lastModifiedBy>Poonam Mutha</cp:lastModifiedBy>
  <cp:revision>3</cp:revision>
  <dcterms:created xsi:type="dcterms:W3CDTF">2022-12-21T21:20:00Z</dcterms:created>
  <dcterms:modified xsi:type="dcterms:W3CDTF">2022-12-29T11:29:00Z</dcterms:modified>
</cp:coreProperties>
</file>